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A365A" w14:textId="4983B072" w:rsidR="00E97A39" w:rsidRPr="0008095C" w:rsidRDefault="003815F1" w:rsidP="0008095C">
      <w:pPr>
        <w:spacing w:line="360" w:lineRule="auto"/>
        <w:ind w:firstLine="0"/>
        <w:jc w:val="center"/>
        <w:rPr>
          <w:rFonts w:ascii="Times New Roman" w:hAnsi="Times New Roman" w:cs="Times New Roman"/>
          <w:b/>
          <w:bCs/>
          <w:sz w:val="28"/>
          <w:szCs w:val="28"/>
          <w:lang w:val="en-US"/>
        </w:rPr>
      </w:pPr>
      <w:bookmarkStart w:id="0" w:name="_Hlk165562528"/>
      <w:r>
        <w:rPr>
          <w:rFonts w:ascii="Times New Roman" w:hAnsi="Times New Roman" w:cs="Times New Roman"/>
          <w:b/>
          <w:bCs/>
          <w:sz w:val="28"/>
          <w:szCs w:val="28"/>
          <w:lang w:val="en-US"/>
        </w:rPr>
        <w:t xml:space="preserve"> </w:t>
      </w:r>
      <w:r w:rsidR="0008095C" w:rsidRPr="0008095C">
        <w:rPr>
          <w:rFonts w:ascii="Times New Roman" w:hAnsi="Times New Roman" w:cs="Times New Roman"/>
          <w:b/>
          <w:bCs/>
          <w:sz w:val="28"/>
          <w:szCs w:val="28"/>
          <w:lang w:val="en-US"/>
        </w:rPr>
        <w:t xml:space="preserve">An </w:t>
      </w:r>
      <w:r w:rsidR="00E3625E" w:rsidRPr="0008095C">
        <w:rPr>
          <w:rFonts w:ascii="Times New Roman" w:hAnsi="Times New Roman" w:cs="Times New Roman"/>
          <w:b/>
          <w:bCs/>
          <w:sz w:val="28"/>
          <w:szCs w:val="28"/>
          <w:lang w:val="en-US"/>
        </w:rPr>
        <w:t xml:space="preserve">examination of </w:t>
      </w:r>
      <w:bookmarkStart w:id="1" w:name="_Hlk207923016"/>
      <w:r w:rsidR="00E3625E" w:rsidRPr="0008095C">
        <w:rPr>
          <w:rFonts w:ascii="Times New Roman" w:hAnsi="Times New Roman" w:cs="Times New Roman"/>
          <w:b/>
          <w:bCs/>
          <w:sz w:val="28"/>
          <w:szCs w:val="28"/>
          <w:lang w:val="en-US"/>
        </w:rPr>
        <w:t xml:space="preserve">environmental disclosure </w:t>
      </w:r>
      <w:bookmarkEnd w:id="1"/>
      <w:r w:rsidR="00E3625E" w:rsidRPr="0008095C">
        <w:rPr>
          <w:rFonts w:ascii="Times New Roman" w:hAnsi="Times New Roman" w:cs="Times New Roman"/>
          <w:b/>
          <w:bCs/>
          <w:sz w:val="28"/>
          <w:szCs w:val="28"/>
          <w:lang w:val="en-US"/>
        </w:rPr>
        <w:t xml:space="preserve">practices in the non-profit sector: </w:t>
      </w:r>
      <w:r w:rsidR="00FB67AB" w:rsidRPr="00FB67AB">
        <w:rPr>
          <w:rFonts w:ascii="Times New Roman" w:hAnsi="Times New Roman" w:cs="Times New Roman"/>
          <w:b/>
          <w:bCs/>
          <w:sz w:val="28"/>
          <w:szCs w:val="28"/>
          <w:lang w:val="en-US"/>
        </w:rPr>
        <w:t xml:space="preserve">Do UK </w:t>
      </w:r>
      <w:r w:rsidR="00494A80" w:rsidRPr="00FB67AB">
        <w:rPr>
          <w:rFonts w:ascii="Times New Roman" w:hAnsi="Times New Roman" w:cs="Times New Roman"/>
          <w:b/>
          <w:bCs/>
          <w:sz w:val="28"/>
          <w:szCs w:val="28"/>
          <w:lang w:val="en-US"/>
        </w:rPr>
        <w:t xml:space="preserve">NGOs </w:t>
      </w:r>
      <w:r w:rsidR="00494A80">
        <w:rPr>
          <w:rFonts w:ascii="Times New Roman" w:hAnsi="Times New Roman" w:cs="Times New Roman"/>
          <w:b/>
          <w:bCs/>
          <w:sz w:val="28"/>
          <w:szCs w:val="28"/>
          <w:lang w:val="en-US"/>
        </w:rPr>
        <w:t>Walk</w:t>
      </w:r>
      <w:r w:rsidR="00E3625E" w:rsidRPr="00FB67AB">
        <w:rPr>
          <w:rFonts w:ascii="Times New Roman" w:hAnsi="Times New Roman" w:cs="Times New Roman"/>
          <w:b/>
          <w:bCs/>
          <w:sz w:val="28"/>
          <w:szCs w:val="28"/>
          <w:lang w:val="en-US"/>
        </w:rPr>
        <w:t xml:space="preserve"> the </w:t>
      </w:r>
      <w:r w:rsidR="00E3625E" w:rsidRPr="003C3B94">
        <w:rPr>
          <w:rFonts w:ascii="Times New Roman" w:hAnsi="Times New Roman" w:cs="Times New Roman"/>
          <w:b/>
          <w:bCs/>
          <w:i/>
          <w:iCs/>
          <w:sz w:val="28"/>
          <w:szCs w:val="28"/>
          <w:lang w:val="en-US"/>
        </w:rPr>
        <w:t>green talk</w:t>
      </w:r>
      <w:r w:rsidR="00E3625E" w:rsidRPr="00FB67AB">
        <w:rPr>
          <w:rFonts w:ascii="Times New Roman" w:hAnsi="Times New Roman" w:cs="Times New Roman"/>
          <w:b/>
          <w:bCs/>
          <w:sz w:val="28"/>
          <w:szCs w:val="28"/>
          <w:lang w:val="en-US"/>
        </w:rPr>
        <w:t>?</w:t>
      </w:r>
    </w:p>
    <w:p w14:paraId="60FCCC0E" w14:textId="77777777" w:rsidR="0008095C" w:rsidRDefault="0008095C" w:rsidP="00F6072E">
      <w:pPr>
        <w:spacing w:line="360" w:lineRule="auto"/>
        <w:ind w:firstLine="0"/>
        <w:rPr>
          <w:rFonts w:ascii="Times New Roman" w:hAnsi="Times New Roman" w:cs="Times New Roman"/>
          <w:b/>
          <w:bCs/>
          <w:sz w:val="24"/>
          <w:szCs w:val="24"/>
        </w:rPr>
      </w:pPr>
    </w:p>
    <w:p w14:paraId="614964A3" w14:textId="0D3C6509" w:rsidR="00761492" w:rsidRPr="00E97A39" w:rsidRDefault="00761492" w:rsidP="00F6072E">
      <w:pPr>
        <w:spacing w:line="360" w:lineRule="auto"/>
        <w:ind w:firstLine="0"/>
        <w:rPr>
          <w:rFonts w:ascii="Times New Roman" w:hAnsi="Times New Roman" w:cs="Times New Roman"/>
          <w:sz w:val="24"/>
          <w:szCs w:val="24"/>
        </w:rPr>
      </w:pPr>
      <w:r w:rsidRPr="008F14E9">
        <w:rPr>
          <w:rFonts w:ascii="Times New Roman" w:hAnsi="Times New Roman" w:cs="Times New Roman"/>
          <w:b/>
          <w:bCs/>
          <w:sz w:val="24"/>
          <w:szCs w:val="24"/>
        </w:rPr>
        <w:t>Abstract</w:t>
      </w:r>
    </w:p>
    <w:p w14:paraId="3E510678" w14:textId="67176AEA" w:rsidR="006D142D" w:rsidRPr="00631DE0" w:rsidRDefault="00122913" w:rsidP="00146467">
      <w:pPr>
        <w:spacing w:before="120" w:after="120" w:line="360" w:lineRule="auto"/>
        <w:ind w:firstLine="0"/>
        <w:rPr>
          <w:rFonts w:ascii="Times New Roman" w:eastAsia="Aptos" w:hAnsi="Times New Roman" w:cs="Times New Roman"/>
          <w:color w:val="000000" w:themeColor="text1"/>
          <w:kern w:val="0"/>
          <w:sz w:val="24"/>
          <w:szCs w:val="24"/>
          <w:lang w:val="en-US"/>
          <w14:ligatures w14:val="none"/>
        </w:rPr>
      </w:pPr>
      <w:r w:rsidRPr="00217B08">
        <w:rPr>
          <w:rFonts w:ascii="Times New Roman" w:eastAsia="Aptos" w:hAnsi="Times New Roman" w:cs="Times New Roman"/>
          <w:b/>
          <w:bCs/>
          <w:kern w:val="0"/>
          <w:sz w:val="24"/>
          <w:szCs w:val="24"/>
          <w:lang w:val="en-US"/>
          <w14:ligatures w14:val="none"/>
        </w:rPr>
        <w:t>Purpose</w:t>
      </w:r>
      <w:r w:rsidR="00F916EB" w:rsidRPr="00217B08">
        <w:rPr>
          <w:rFonts w:ascii="Times New Roman" w:eastAsia="Aptos" w:hAnsi="Times New Roman" w:cs="Times New Roman"/>
          <w:b/>
          <w:bCs/>
          <w:kern w:val="0"/>
          <w:sz w:val="24"/>
          <w:szCs w:val="24"/>
          <w:lang w:val="en-US"/>
          <w14:ligatures w14:val="none"/>
        </w:rPr>
        <w:t>:</w:t>
      </w:r>
      <w:r w:rsidRPr="00217B08">
        <w:rPr>
          <w:rFonts w:ascii="Times New Roman" w:eastAsia="Aptos" w:hAnsi="Times New Roman" w:cs="Times New Roman"/>
          <w:kern w:val="0"/>
          <w:sz w:val="24"/>
          <w:szCs w:val="24"/>
          <w:lang w:val="en-US"/>
          <w14:ligatures w14:val="none"/>
        </w:rPr>
        <w:t xml:space="preserve"> Drawing</w:t>
      </w:r>
      <w:r w:rsidR="006D142D" w:rsidRPr="00217B08">
        <w:rPr>
          <w:rFonts w:ascii="Times New Roman" w:eastAsia="Aptos" w:hAnsi="Times New Roman" w:cs="Times New Roman"/>
          <w:kern w:val="0"/>
          <w:sz w:val="24"/>
          <w:szCs w:val="24"/>
          <w:lang w:val="en-US"/>
          <w14:ligatures w14:val="none"/>
        </w:rPr>
        <w:t xml:space="preserve"> </w:t>
      </w:r>
      <w:r w:rsidR="006D142D" w:rsidRPr="00631DE0">
        <w:rPr>
          <w:rFonts w:ascii="Times New Roman" w:eastAsia="Aptos" w:hAnsi="Times New Roman" w:cs="Times New Roman"/>
          <w:color w:val="000000" w:themeColor="text1"/>
          <w:kern w:val="0"/>
          <w:sz w:val="24"/>
          <w:szCs w:val="24"/>
          <w:lang w:val="en-US"/>
          <w14:ligatures w14:val="none"/>
        </w:rPr>
        <w:t>on legitimacy theory, this study examines whether UK NGOs have improved the quality and quantity of their environmental disclosures over a decade, in line with societal expectations for transparency and accountability.</w:t>
      </w:r>
    </w:p>
    <w:p w14:paraId="1DFBBE64" w14:textId="7318EEAB" w:rsidR="00132762" w:rsidRPr="00631DE0" w:rsidRDefault="006D142D" w:rsidP="00146467">
      <w:pPr>
        <w:spacing w:after="120" w:line="360" w:lineRule="auto"/>
        <w:ind w:firstLine="0"/>
        <w:rPr>
          <w:rFonts w:ascii="Times New Roman" w:eastAsia="Aptos" w:hAnsi="Times New Roman" w:cs="Times New Roman"/>
          <w:color w:val="000000" w:themeColor="text1"/>
          <w:sz w:val="24"/>
          <w:szCs w:val="24"/>
        </w:rPr>
      </w:pPr>
      <w:r w:rsidRPr="00631DE0">
        <w:rPr>
          <w:rFonts w:ascii="Times New Roman" w:eastAsia="Aptos" w:hAnsi="Times New Roman" w:cs="Times New Roman"/>
          <w:b/>
          <w:bCs/>
          <w:color w:val="000000" w:themeColor="text1"/>
          <w:kern w:val="0"/>
          <w:sz w:val="24"/>
          <w:szCs w:val="24"/>
          <w:lang w:val="en-US"/>
          <w14:ligatures w14:val="none"/>
        </w:rPr>
        <w:t>Design</w:t>
      </w:r>
      <w:r w:rsidR="00122913" w:rsidRPr="00631DE0">
        <w:rPr>
          <w:rFonts w:ascii="Times New Roman" w:eastAsia="Aptos" w:hAnsi="Times New Roman" w:cs="Times New Roman"/>
          <w:b/>
          <w:bCs/>
          <w:color w:val="000000" w:themeColor="text1"/>
          <w:kern w:val="0"/>
          <w:sz w:val="24"/>
          <w:szCs w:val="24"/>
          <w:lang w:val="en-US"/>
          <w14:ligatures w14:val="none"/>
        </w:rPr>
        <w:t xml:space="preserve">, </w:t>
      </w:r>
      <w:r w:rsidRPr="00631DE0">
        <w:rPr>
          <w:rFonts w:ascii="Times New Roman" w:eastAsia="Aptos" w:hAnsi="Times New Roman" w:cs="Times New Roman"/>
          <w:b/>
          <w:bCs/>
          <w:color w:val="000000" w:themeColor="text1"/>
          <w:kern w:val="0"/>
          <w:sz w:val="24"/>
          <w:szCs w:val="24"/>
          <w:lang w:val="en-US"/>
          <w14:ligatures w14:val="none"/>
        </w:rPr>
        <w:t>methodology</w:t>
      </w:r>
      <w:r w:rsidR="00122913" w:rsidRPr="00631DE0">
        <w:rPr>
          <w:rFonts w:ascii="Times New Roman" w:eastAsia="Aptos" w:hAnsi="Times New Roman" w:cs="Times New Roman"/>
          <w:b/>
          <w:bCs/>
          <w:color w:val="000000" w:themeColor="text1"/>
          <w:kern w:val="0"/>
          <w:sz w:val="24"/>
          <w:szCs w:val="24"/>
          <w:lang w:val="en-US"/>
          <w14:ligatures w14:val="none"/>
        </w:rPr>
        <w:t xml:space="preserve"> and approach</w:t>
      </w:r>
      <w:r w:rsidR="00F916EB" w:rsidRPr="00631DE0">
        <w:rPr>
          <w:rFonts w:ascii="Times New Roman" w:eastAsia="Aptos" w:hAnsi="Times New Roman" w:cs="Times New Roman"/>
          <w:b/>
          <w:bCs/>
          <w:color w:val="000000" w:themeColor="text1"/>
          <w:kern w:val="0"/>
          <w:sz w:val="24"/>
          <w:szCs w:val="24"/>
          <w:lang w:val="en-US"/>
          <w14:ligatures w14:val="none"/>
        </w:rPr>
        <w:t>:</w:t>
      </w:r>
      <w:r w:rsidR="00122913" w:rsidRPr="00631DE0">
        <w:rPr>
          <w:rFonts w:ascii="Times New Roman" w:eastAsia="Aptos" w:hAnsi="Times New Roman" w:cs="Times New Roman"/>
          <w:color w:val="000000" w:themeColor="text1"/>
          <w:kern w:val="0"/>
          <w:sz w:val="24"/>
          <w:szCs w:val="24"/>
          <w:lang w:val="en-US"/>
          <w14:ligatures w14:val="none"/>
        </w:rPr>
        <w:t xml:space="preserve"> </w:t>
      </w:r>
      <w:r w:rsidR="00132762" w:rsidRPr="00631DE0">
        <w:rPr>
          <w:rFonts w:ascii="Times New Roman" w:eastAsia="Aptos" w:hAnsi="Times New Roman" w:cs="Times New Roman"/>
          <w:color w:val="000000" w:themeColor="text1"/>
          <w:sz w:val="24"/>
          <w:szCs w:val="24"/>
        </w:rPr>
        <w:t xml:space="preserve">We conducted a manual content analysis of annual reports from 35 leading UK NGOs, comparing environmental disclosures from 2013 and 2023. Drawing on established literature, we identified relevant keywords to assess disclosure quality. Consistent with prior studies, disclosures </w:t>
      </w:r>
      <w:r w:rsidR="00F00574" w:rsidRPr="00631DE0">
        <w:rPr>
          <w:rFonts w:ascii="Times New Roman" w:eastAsia="Aptos" w:hAnsi="Times New Roman" w:cs="Times New Roman"/>
          <w:color w:val="000000" w:themeColor="text1"/>
          <w:sz w:val="24"/>
          <w:szCs w:val="24"/>
        </w:rPr>
        <w:t xml:space="preserve">quality </w:t>
      </w:r>
      <w:r w:rsidR="00A57537" w:rsidRPr="00631DE0">
        <w:rPr>
          <w:rFonts w:ascii="Times New Roman" w:eastAsia="Aptos" w:hAnsi="Times New Roman" w:cs="Times New Roman"/>
          <w:color w:val="000000" w:themeColor="text1"/>
          <w:sz w:val="24"/>
          <w:szCs w:val="24"/>
        </w:rPr>
        <w:t>was</w:t>
      </w:r>
      <w:r w:rsidR="00132762" w:rsidRPr="00631DE0">
        <w:rPr>
          <w:rFonts w:ascii="Times New Roman" w:eastAsia="Aptos" w:hAnsi="Times New Roman" w:cs="Times New Roman"/>
          <w:color w:val="000000" w:themeColor="text1"/>
          <w:sz w:val="24"/>
          <w:szCs w:val="24"/>
        </w:rPr>
        <w:t xml:space="preserve"> coded into four categories: narrative (NAR), numerical (NUM), policy/targets (P/T), and operational activities (OA). Each disclosure was further classified as internally or externally oriented. To evaluate changes over time, we applied t-tests to examine the statistical significance of variations in disclosure patterns. The analysis compared hand-collected data from 2013 with matched data from 2023. This approach enabled a robust assessment of</w:t>
      </w:r>
      <w:r w:rsidR="00472F08" w:rsidRPr="00631DE0">
        <w:rPr>
          <w:rFonts w:ascii="Times New Roman" w:eastAsia="Aptos" w:hAnsi="Times New Roman" w:cs="Times New Roman"/>
          <w:color w:val="000000" w:themeColor="text1"/>
          <w:sz w:val="24"/>
          <w:szCs w:val="24"/>
        </w:rPr>
        <w:t xml:space="preserve"> periodic</w:t>
      </w:r>
      <w:r w:rsidR="00132762" w:rsidRPr="00631DE0">
        <w:rPr>
          <w:rFonts w:ascii="Times New Roman" w:eastAsia="Aptos" w:hAnsi="Times New Roman" w:cs="Times New Roman"/>
          <w:color w:val="000000" w:themeColor="text1"/>
          <w:sz w:val="24"/>
          <w:szCs w:val="24"/>
        </w:rPr>
        <w:t xml:space="preserve"> shifts in environmental reporting practices within the UK NGO sector.</w:t>
      </w:r>
    </w:p>
    <w:p w14:paraId="43FFF3B8" w14:textId="3956B997" w:rsidR="006D142D" w:rsidRPr="00631DE0" w:rsidRDefault="00122913" w:rsidP="00146467">
      <w:pPr>
        <w:spacing w:before="120" w:after="120" w:line="360" w:lineRule="auto"/>
        <w:ind w:firstLine="0"/>
        <w:rPr>
          <w:rFonts w:ascii="Times New Roman" w:eastAsia="Aptos" w:hAnsi="Times New Roman" w:cs="Times New Roman"/>
          <w:color w:val="000000" w:themeColor="text1"/>
          <w:kern w:val="0"/>
          <w:sz w:val="24"/>
          <w:szCs w:val="24"/>
          <w:lang w:val="en-US"/>
          <w14:ligatures w14:val="none"/>
        </w:rPr>
      </w:pPr>
      <w:r w:rsidRPr="00631DE0">
        <w:rPr>
          <w:rFonts w:ascii="Times New Roman" w:eastAsia="Aptos" w:hAnsi="Times New Roman" w:cs="Times New Roman"/>
          <w:b/>
          <w:bCs/>
          <w:color w:val="000000" w:themeColor="text1"/>
          <w:kern w:val="0"/>
          <w:sz w:val="24"/>
          <w:szCs w:val="24"/>
          <w:lang w:val="en-US"/>
          <w14:ligatures w14:val="none"/>
        </w:rPr>
        <w:t>Findings</w:t>
      </w:r>
      <w:r w:rsidR="00F916EB" w:rsidRPr="00631DE0">
        <w:rPr>
          <w:rFonts w:ascii="Times New Roman" w:eastAsia="Aptos" w:hAnsi="Times New Roman" w:cs="Times New Roman"/>
          <w:b/>
          <w:bCs/>
          <w:color w:val="000000" w:themeColor="text1"/>
          <w:kern w:val="0"/>
          <w:sz w:val="24"/>
          <w:szCs w:val="24"/>
          <w:lang w:val="en-US"/>
          <w14:ligatures w14:val="none"/>
        </w:rPr>
        <w:t>:</w:t>
      </w:r>
      <w:r w:rsidRPr="00631DE0">
        <w:rPr>
          <w:rFonts w:ascii="Times New Roman" w:eastAsia="Aptos" w:hAnsi="Times New Roman" w:cs="Times New Roman"/>
          <w:color w:val="000000" w:themeColor="text1"/>
          <w:kern w:val="0"/>
          <w:sz w:val="24"/>
          <w:szCs w:val="24"/>
          <w:lang w:val="en-US"/>
          <w14:ligatures w14:val="none"/>
        </w:rPr>
        <w:t xml:space="preserve"> Results</w:t>
      </w:r>
      <w:r w:rsidR="006D142D" w:rsidRPr="00631DE0">
        <w:rPr>
          <w:rFonts w:ascii="Times New Roman" w:eastAsia="Aptos" w:hAnsi="Times New Roman" w:cs="Times New Roman"/>
          <w:color w:val="000000" w:themeColor="text1"/>
          <w:kern w:val="0"/>
          <w:sz w:val="24"/>
          <w:szCs w:val="24"/>
          <w:lang w:val="en-US"/>
          <w14:ligatures w14:val="none"/>
        </w:rPr>
        <w:t xml:space="preserve"> show a significant increase in both the volume and quality of environmental disclosures over time. Numerical and operational disclosures, deemed </w:t>
      </w:r>
      <w:r w:rsidR="00217B08" w:rsidRPr="00631DE0">
        <w:rPr>
          <w:rFonts w:ascii="Times New Roman" w:eastAsia="Aptos" w:hAnsi="Times New Roman" w:cs="Times New Roman"/>
          <w:color w:val="000000" w:themeColor="text1"/>
          <w:kern w:val="0"/>
          <w:sz w:val="24"/>
          <w:szCs w:val="24"/>
          <w:lang w:val="en-US"/>
          <w14:ligatures w14:val="none"/>
        </w:rPr>
        <w:t xml:space="preserve">to be of </w:t>
      </w:r>
      <w:r w:rsidR="006D142D" w:rsidRPr="00631DE0">
        <w:rPr>
          <w:rFonts w:ascii="Times New Roman" w:eastAsia="Aptos" w:hAnsi="Times New Roman" w:cs="Times New Roman"/>
          <w:color w:val="000000" w:themeColor="text1"/>
          <w:kern w:val="0"/>
          <w:sz w:val="24"/>
          <w:szCs w:val="24"/>
          <w:lang w:val="en-US"/>
          <w14:ligatures w14:val="none"/>
        </w:rPr>
        <w:t>higher</w:t>
      </w:r>
      <w:r w:rsidR="00217B08" w:rsidRPr="00631DE0">
        <w:rPr>
          <w:rFonts w:ascii="Times New Roman" w:eastAsia="Aptos" w:hAnsi="Times New Roman" w:cs="Times New Roman"/>
          <w:color w:val="000000" w:themeColor="text1"/>
          <w:kern w:val="0"/>
          <w:sz w:val="24"/>
          <w:szCs w:val="24"/>
          <w:lang w:val="en-US"/>
          <w14:ligatures w14:val="none"/>
        </w:rPr>
        <w:t xml:space="preserve"> </w:t>
      </w:r>
      <w:r w:rsidR="006D142D" w:rsidRPr="00631DE0">
        <w:rPr>
          <w:rFonts w:ascii="Times New Roman" w:eastAsia="Aptos" w:hAnsi="Times New Roman" w:cs="Times New Roman"/>
          <w:color w:val="000000" w:themeColor="text1"/>
          <w:kern w:val="0"/>
          <w:sz w:val="24"/>
          <w:szCs w:val="24"/>
          <w:lang w:val="en-US"/>
          <w14:ligatures w14:val="none"/>
        </w:rPr>
        <w:t xml:space="preserve">quality, rose more than narrative and policy disclosures. Internal-facing disclosures also grew </w:t>
      </w:r>
      <w:r w:rsidR="00EB04C0" w:rsidRPr="00631DE0">
        <w:rPr>
          <w:rFonts w:ascii="Times New Roman" w:eastAsia="Aptos" w:hAnsi="Times New Roman" w:cs="Times New Roman"/>
          <w:color w:val="000000" w:themeColor="text1"/>
          <w:kern w:val="0"/>
          <w:sz w:val="24"/>
          <w:szCs w:val="24"/>
          <w:lang w:val="en-US"/>
          <w14:ligatures w14:val="none"/>
        </w:rPr>
        <w:t>to a higher degree, compared to</w:t>
      </w:r>
      <w:r w:rsidR="006D142D" w:rsidRPr="00631DE0">
        <w:rPr>
          <w:rFonts w:ascii="Times New Roman" w:eastAsia="Aptos" w:hAnsi="Times New Roman" w:cs="Times New Roman"/>
          <w:color w:val="000000" w:themeColor="text1"/>
          <w:kern w:val="0"/>
          <w:sz w:val="24"/>
          <w:szCs w:val="24"/>
          <w:lang w:val="en-US"/>
          <w14:ligatures w14:val="none"/>
        </w:rPr>
        <w:t xml:space="preserve"> external-facing, highlighting NGOs’ commitment to organizational environmental accountability.</w:t>
      </w:r>
    </w:p>
    <w:p w14:paraId="4D35A658" w14:textId="3A5D4DDB" w:rsidR="006D142D" w:rsidRPr="00631DE0" w:rsidRDefault="00755F09" w:rsidP="00146467">
      <w:pPr>
        <w:spacing w:before="120" w:after="480" w:line="360" w:lineRule="auto"/>
        <w:ind w:firstLine="0"/>
        <w:rPr>
          <w:rFonts w:ascii="Times New Roman" w:eastAsia="Aptos" w:hAnsi="Times New Roman" w:cs="Times New Roman"/>
          <w:color w:val="000000" w:themeColor="text1"/>
          <w:kern w:val="0"/>
          <w:sz w:val="24"/>
          <w:szCs w:val="24"/>
          <w:lang w:val="en-US"/>
          <w14:ligatures w14:val="none"/>
        </w:rPr>
      </w:pPr>
      <w:r w:rsidRPr="00631DE0">
        <w:rPr>
          <w:rFonts w:ascii="Times New Roman" w:eastAsia="Aptos" w:hAnsi="Times New Roman" w:cs="Times New Roman"/>
          <w:b/>
          <w:bCs/>
          <w:color w:val="000000" w:themeColor="text1"/>
          <w:kern w:val="0"/>
          <w:sz w:val="24"/>
          <w:szCs w:val="24"/>
          <w:lang w:val="en-US"/>
          <w14:ligatures w14:val="none"/>
        </w:rPr>
        <w:t>Originality</w:t>
      </w:r>
      <w:r w:rsidR="00F916EB" w:rsidRPr="00631DE0">
        <w:rPr>
          <w:rFonts w:ascii="Times New Roman" w:eastAsia="Aptos" w:hAnsi="Times New Roman" w:cs="Times New Roman"/>
          <w:b/>
          <w:bCs/>
          <w:color w:val="000000" w:themeColor="text1"/>
          <w:kern w:val="0"/>
          <w:sz w:val="24"/>
          <w:szCs w:val="24"/>
          <w:lang w:val="en-US"/>
          <w14:ligatures w14:val="none"/>
        </w:rPr>
        <w:t>:</w:t>
      </w:r>
      <w:r w:rsidRPr="00631DE0">
        <w:rPr>
          <w:rFonts w:ascii="Times New Roman" w:eastAsia="Aptos" w:hAnsi="Times New Roman" w:cs="Times New Roman"/>
          <w:b/>
          <w:bCs/>
          <w:color w:val="000000" w:themeColor="text1"/>
          <w:kern w:val="0"/>
          <w:sz w:val="24"/>
          <w:szCs w:val="24"/>
          <w:lang w:val="en-US"/>
          <w14:ligatures w14:val="none"/>
        </w:rPr>
        <w:t xml:space="preserve"> </w:t>
      </w:r>
      <w:r w:rsidRPr="00631DE0">
        <w:rPr>
          <w:rFonts w:ascii="Times New Roman" w:eastAsia="Aptos" w:hAnsi="Times New Roman" w:cs="Times New Roman"/>
          <w:color w:val="000000" w:themeColor="text1"/>
          <w:kern w:val="0"/>
          <w:sz w:val="24"/>
          <w:szCs w:val="24"/>
          <w:lang w:val="en-US"/>
          <w14:ligatures w14:val="none"/>
        </w:rPr>
        <w:t>This</w:t>
      </w:r>
      <w:r w:rsidR="006D142D" w:rsidRPr="00631DE0">
        <w:rPr>
          <w:rFonts w:ascii="Times New Roman" w:eastAsia="Aptos" w:hAnsi="Times New Roman" w:cs="Times New Roman"/>
          <w:color w:val="000000" w:themeColor="text1"/>
          <w:kern w:val="0"/>
          <w:sz w:val="24"/>
          <w:szCs w:val="24"/>
          <w:lang w:val="en-US"/>
          <w14:ligatures w14:val="none"/>
        </w:rPr>
        <w:t xml:space="preserve"> study provides the first evidence that </w:t>
      </w:r>
      <w:r w:rsidR="00622676" w:rsidRPr="00631DE0">
        <w:rPr>
          <w:rFonts w:ascii="Times New Roman" w:eastAsia="Aptos" w:hAnsi="Times New Roman" w:cs="Times New Roman"/>
          <w:color w:val="000000" w:themeColor="text1"/>
          <w:kern w:val="0"/>
          <w:sz w:val="24"/>
          <w:szCs w:val="24"/>
          <w:lang w:val="en-US"/>
          <w14:ligatures w14:val="none"/>
        </w:rPr>
        <w:t xml:space="preserve">over the passage of time, </w:t>
      </w:r>
      <w:r w:rsidR="006D142D" w:rsidRPr="00631DE0">
        <w:rPr>
          <w:rFonts w:ascii="Times New Roman" w:eastAsia="Aptos" w:hAnsi="Times New Roman" w:cs="Times New Roman"/>
          <w:color w:val="000000" w:themeColor="text1"/>
          <w:kern w:val="0"/>
          <w:sz w:val="24"/>
          <w:szCs w:val="24"/>
          <w:lang w:val="en-US"/>
          <w14:ligatures w14:val="none"/>
        </w:rPr>
        <w:t>NGOs, like publicly listed firms, are adopting high-quality environmental reporting practices. It advances legitimacy theory and contributes to the understanding of NGO accountability.</w:t>
      </w:r>
    </w:p>
    <w:p w14:paraId="538E32E7" w14:textId="77777777" w:rsidR="000F362D" w:rsidRPr="00631DE0" w:rsidRDefault="000F362D" w:rsidP="00146467">
      <w:pPr>
        <w:spacing w:before="120" w:after="480" w:line="360" w:lineRule="auto"/>
        <w:ind w:firstLine="0"/>
        <w:rPr>
          <w:rFonts w:ascii="Times New Roman" w:eastAsia="Aptos" w:hAnsi="Times New Roman" w:cs="Times New Roman"/>
          <w:color w:val="000000" w:themeColor="text1"/>
          <w:kern w:val="0"/>
          <w:sz w:val="24"/>
          <w:szCs w:val="24"/>
          <w:lang w:val="en-US"/>
          <w14:ligatures w14:val="none"/>
        </w:rPr>
      </w:pPr>
    </w:p>
    <w:p w14:paraId="1E3B6945" w14:textId="77777777" w:rsidR="006D142D" w:rsidRPr="00631DE0" w:rsidRDefault="006D142D" w:rsidP="00146467">
      <w:pPr>
        <w:spacing w:before="180" w:after="120" w:line="360" w:lineRule="auto"/>
        <w:ind w:firstLine="0"/>
        <w:rPr>
          <w:rFonts w:ascii="Times New Roman" w:eastAsia="Aptos" w:hAnsi="Times New Roman" w:cs="Times New Roman"/>
          <w:color w:val="000000" w:themeColor="text1"/>
          <w:kern w:val="0"/>
          <w:sz w:val="24"/>
          <w:szCs w:val="24"/>
          <w:lang w:val="en-US"/>
          <w14:ligatures w14:val="none"/>
        </w:rPr>
      </w:pPr>
      <w:r w:rsidRPr="00631DE0">
        <w:rPr>
          <w:rFonts w:ascii="Times New Roman" w:eastAsia="Aptos" w:hAnsi="Times New Roman" w:cs="Times New Roman"/>
          <w:b/>
          <w:bCs/>
          <w:color w:val="000000" w:themeColor="text1"/>
          <w:kern w:val="0"/>
          <w:sz w:val="24"/>
          <w:szCs w:val="24"/>
          <w:lang w:val="en-US"/>
          <w14:ligatures w14:val="none"/>
        </w:rPr>
        <w:t>Keywords</w:t>
      </w:r>
      <w:r w:rsidRPr="00631DE0">
        <w:rPr>
          <w:rFonts w:ascii="Times New Roman" w:eastAsia="Aptos" w:hAnsi="Times New Roman" w:cs="Times New Roman"/>
          <w:color w:val="000000" w:themeColor="text1"/>
          <w:kern w:val="0"/>
          <w:sz w:val="24"/>
          <w:szCs w:val="24"/>
          <w:lang w:val="en-US"/>
          <w14:ligatures w14:val="none"/>
        </w:rPr>
        <w:t>: Environmental disclosure, legitimacy theory, NGOs, ecosystems, climate change, environmental management</w:t>
      </w:r>
    </w:p>
    <w:p w14:paraId="7EE2BD62" w14:textId="77777777" w:rsidR="000F362D" w:rsidRPr="00631DE0" w:rsidRDefault="000F362D" w:rsidP="000F362D">
      <w:pPr>
        <w:spacing w:after="120" w:line="360" w:lineRule="auto"/>
        <w:ind w:firstLine="0"/>
        <w:rPr>
          <w:rFonts w:ascii="Times New Roman" w:eastAsia="Aptos" w:hAnsi="Times New Roman" w:cs="Times New Roman"/>
          <w:color w:val="000000" w:themeColor="text1"/>
          <w:kern w:val="0"/>
          <w:sz w:val="24"/>
          <w:szCs w:val="24"/>
          <w:lang w:val="en-US"/>
          <w14:ligatures w14:val="none"/>
        </w:rPr>
      </w:pPr>
    </w:p>
    <w:p w14:paraId="5874C9E4" w14:textId="77777777" w:rsidR="000A088F" w:rsidRPr="00631DE0" w:rsidRDefault="000A088F" w:rsidP="00146467">
      <w:pPr>
        <w:spacing w:after="120" w:line="360" w:lineRule="auto"/>
        <w:ind w:firstLine="0"/>
        <w:outlineLvl w:val="1"/>
        <w:rPr>
          <w:rFonts w:ascii="Times New Roman" w:eastAsia="Times New Roman" w:hAnsi="Times New Roman" w:cs="Times New Roman"/>
          <w:b/>
          <w:bCs/>
          <w:color w:val="000000" w:themeColor="text1"/>
          <w:kern w:val="0"/>
          <w:sz w:val="24"/>
          <w:szCs w:val="24"/>
          <w:lang w:eastAsia="en-GB"/>
          <w14:ligatures w14:val="none"/>
        </w:rPr>
      </w:pPr>
      <w:r w:rsidRPr="00631DE0">
        <w:rPr>
          <w:rFonts w:ascii="Times New Roman" w:eastAsia="Times New Roman" w:hAnsi="Times New Roman" w:cs="Times New Roman"/>
          <w:b/>
          <w:bCs/>
          <w:color w:val="000000" w:themeColor="text1"/>
          <w:kern w:val="0"/>
          <w:sz w:val="24"/>
          <w:szCs w:val="24"/>
          <w:lang w:eastAsia="en-GB"/>
          <w14:ligatures w14:val="none"/>
        </w:rPr>
        <w:lastRenderedPageBreak/>
        <w:t>1. Introduction</w:t>
      </w:r>
    </w:p>
    <w:p w14:paraId="21343CD8" w14:textId="4ECD0F12" w:rsidR="00353CF5" w:rsidRPr="00631DE0" w:rsidRDefault="00353CF5" w:rsidP="00146467">
      <w:pPr>
        <w:spacing w:after="120" w:line="360" w:lineRule="auto"/>
        <w:ind w:firstLine="0"/>
        <w:rPr>
          <w:rFonts w:ascii="Times New Roman" w:eastAsia="Times New Roman" w:hAnsi="Times New Roman" w:cs="Times New Roman"/>
          <w:color w:val="000000" w:themeColor="text1"/>
          <w:kern w:val="0"/>
          <w:sz w:val="24"/>
          <w:szCs w:val="24"/>
          <w:lang w:eastAsia="en-GB"/>
          <w14:ligatures w14:val="none"/>
        </w:rPr>
      </w:pPr>
      <w:r w:rsidRPr="00631DE0">
        <w:rPr>
          <w:rFonts w:ascii="Times New Roman" w:eastAsia="Times New Roman" w:hAnsi="Times New Roman" w:cs="Times New Roman"/>
          <w:color w:val="000000" w:themeColor="text1"/>
          <w:kern w:val="0"/>
          <w:sz w:val="24"/>
          <w:szCs w:val="24"/>
          <w:lang w:eastAsia="en-GB"/>
          <w14:ligatures w14:val="none"/>
        </w:rPr>
        <w:t>Environmental risks have intensified globally, with a 151% increase in disaster occurrences over recent decades, posing severe socio-economic threats (Haque &amp; Irvine, 2018; Raimo et al., 2021). Environmental degradation, climate change, and biodiversity loss have emerged as some of the most pressing global challenges of the 21st century (Fernando et al., 2019; Nyberg &amp; Wright, 2022). In response, international frameworks such as the United Nations Global Compact, the Kyoto Protocol (1997), the Paris Agreement (2015), and the Sustainable Development Goals (SDGs) have urged enhanced environmental commitments across sectors, including corporations and non-profit organisations (Almond et al., 2020; WEF, 2020; UNDP, 2020). These pressures have elevated the importance of environmental disclosures in</w:t>
      </w:r>
      <w:r w:rsidR="00323612" w:rsidRPr="00631DE0">
        <w:rPr>
          <w:rFonts w:ascii="Times New Roman" w:eastAsia="Times New Roman" w:hAnsi="Times New Roman" w:cs="Times New Roman"/>
          <w:color w:val="000000" w:themeColor="text1"/>
          <w:kern w:val="0"/>
          <w:sz w:val="24"/>
          <w:szCs w:val="24"/>
          <w:lang w:eastAsia="en-GB"/>
          <w14:ligatures w14:val="none"/>
        </w:rPr>
        <w:t xml:space="preserve"> both</w:t>
      </w:r>
      <w:r w:rsidRPr="00631DE0">
        <w:rPr>
          <w:rFonts w:ascii="Times New Roman" w:eastAsia="Times New Roman" w:hAnsi="Times New Roman" w:cs="Times New Roman"/>
          <w:color w:val="000000" w:themeColor="text1"/>
          <w:kern w:val="0"/>
          <w:sz w:val="24"/>
          <w:szCs w:val="24"/>
          <w:lang w:eastAsia="en-GB"/>
          <w14:ligatures w14:val="none"/>
        </w:rPr>
        <w:t xml:space="preserve"> annual or sustainability reports, which provide stakeholders with insights into organisations environmental performance and accountability (Homroy &amp; Slechten, 2019; </w:t>
      </w:r>
      <w:bookmarkStart w:id="2" w:name="_Hlk210497314"/>
      <w:r w:rsidRPr="00631DE0">
        <w:rPr>
          <w:rFonts w:ascii="Times New Roman" w:eastAsia="Times New Roman" w:hAnsi="Times New Roman" w:cs="Times New Roman"/>
          <w:color w:val="000000" w:themeColor="text1"/>
          <w:kern w:val="0"/>
          <w:sz w:val="24"/>
          <w:szCs w:val="24"/>
          <w:lang w:eastAsia="en-GB"/>
          <w14:ligatures w14:val="none"/>
        </w:rPr>
        <w:t xml:space="preserve">Pariag-Maraye et </w:t>
      </w:r>
      <w:bookmarkEnd w:id="2"/>
      <w:r w:rsidRPr="00631DE0">
        <w:rPr>
          <w:rFonts w:ascii="Times New Roman" w:eastAsia="Times New Roman" w:hAnsi="Times New Roman" w:cs="Times New Roman"/>
          <w:color w:val="000000" w:themeColor="text1"/>
          <w:kern w:val="0"/>
          <w:sz w:val="24"/>
          <w:szCs w:val="24"/>
          <w:lang w:eastAsia="en-GB"/>
          <w14:ligatures w14:val="none"/>
        </w:rPr>
        <w:t xml:space="preserve">al., 2022; Nicolò et al., 2020; Sparks, 2016). </w:t>
      </w:r>
      <w:r w:rsidR="00323612" w:rsidRPr="00631DE0">
        <w:rPr>
          <w:rFonts w:ascii="Times New Roman" w:eastAsia="Times New Roman" w:hAnsi="Times New Roman" w:cs="Times New Roman"/>
          <w:color w:val="000000" w:themeColor="text1"/>
          <w:kern w:val="0"/>
          <w:sz w:val="24"/>
          <w:szCs w:val="24"/>
          <w:lang w:eastAsia="en-GB"/>
          <w14:ligatures w14:val="none"/>
        </w:rPr>
        <w:t>As echoed by various scholars (Giannarakis et al., 2019; Ho et al., 2018; Poddar et al., 2019), s</w:t>
      </w:r>
      <w:r w:rsidRPr="00631DE0">
        <w:rPr>
          <w:rFonts w:ascii="Times New Roman" w:eastAsia="Times New Roman" w:hAnsi="Times New Roman" w:cs="Times New Roman"/>
          <w:color w:val="000000" w:themeColor="text1"/>
          <w:kern w:val="0"/>
          <w:sz w:val="24"/>
          <w:szCs w:val="24"/>
          <w:lang w:eastAsia="en-GB"/>
          <w14:ligatures w14:val="none"/>
        </w:rPr>
        <w:t>uch disclosures are not merely compliance tools but also serve as mechanisms to reduce information asymmetry, build trust, and demonstrate alignment with societal expectations.</w:t>
      </w:r>
    </w:p>
    <w:p w14:paraId="097C6E04" w14:textId="779152E3" w:rsidR="00353CF5" w:rsidRPr="00631DE0" w:rsidRDefault="00353CF5" w:rsidP="00146467">
      <w:pPr>
        <w:spacing w:after="120" w:line="360" w:lineRule="auto"/>
        <w:ind w:firstLine="0"/>
        <w:rPr>
          <w:rFonts w:ascii="Times New Roman" w:eastAsia="Times New Roman" w:hAnsi="Times New Roman" w:cs="Times New Roman"/>
          <w:color w:val="000000" w:themeColor="text1"/>
          <w:kern w:val="0"/>
          <w:sz w:val="24"/>
          <w:szCs w:val="24"/>
          <w:lang w:eastAsia="en-GB"/>
          <w14:ligatures w14:val="none"/>
        </w:rPr>
      </w:pPr>
      <w:r w:rsidRPr="00631DE0">
        <w:rPr>
          <w:rFonts w:ascii="Times New Roman" w:eastAsia="Times New Roman" w:hAnsi="Times New Roman" w:cs="Times New Roman"/>
          <w:color w:val="000000" w:themeColor="text1"/>
          <w:kern w:val="0"/>
          <w:sz w:val="24"/>
          <w:szCs w:val="24"/>
          <w:lang w:eastAsia="en-GB"/>
          <w14:ligatures w14:val="none"/>
        </w:rPr>
        <w:t>Accordingly, non-governmental organisations (NGOs) play a pivotal role in addressing environmental challenges, often embedding sustainability into their core missions through advocacy, disaster response, and operational initiatives (Asogwa, 2023; Leardini et al., 2020; Baier et al., 2020; Diesendorf, 2010; Haque &amp; Irvine, 2018). Unlike  profit-</w:t>
      </w:r>
      <w:r w:rsidR="003F2E24" w:rsidRPr="00631DE0">
        <w:rPr>
          <w:rFonts w:ascii="Times New Roman" w:eastAsia="Times New Roman" w:hAnsi="Times New Roman" w:cs="Times New Roman"/>
          <w:color w:val="000000" w:themeColor="text1"/>
          <w:kern w:val="0"/>
          <w:sz w:val="24"/>
          <w:szCs w:val="24"/>
          <w:lang w:eastAsia="en-GB"/>
          <w14:ligatures w14:val="none"/>
        </w:rPr>
        <w:t xml:space="preserve">oriented </w:t>
      </w:r>
      <w:r w:rsidRPr="00631DE0">
        <w:rPr>
          <w:rFonts w:ascii="Times New Roman" w:eastAsia="Times New Roman" w:hAnsi="Times New Roman" w:cs="Times New Roman"/>
          <w:color w:val="000000" w:themeColor="text1"/>
          <w:kern w:val="0"/>
          <w:sz w:val="24"/>
          <w:szCs w:val="24"/>
          <w:lang w:eastAsia="en-GB"/>
          <w14:ligatures w14:val="none"/>
        </w:rPr>
        <w:t>firms, NGOs rely heavily on public trust, donor funding, and societal support to sustain operations, making transparent environmental reporting crucial for maintaining their ‘license to operate’ (Agyemang et al., 2019; O’Dwyer &amp; Boomsma, 2015). However, despite societal assumptions that NGOs lead in ethical and environmental responsibility, empirical evidence on their disclosure practices remains limited. The present study is thus motivated by the need to examine whether UK NGOs are improving their environmental disclosures over time, amid rising stakeholder demands for accountability.</w:t>
      </w:r>
    </w:p>
    <w:p w14:paraId="04CA7E30" w14:textId="4B208E5A" w:rsidR="002B0A55" w:rsidRPr="00631DE0" w:rsidRDefault="002B0A55" w:rsidP="002B0A55">
      <w:pPr>
        <w:spacing w:after="120" w:line="360" w:lineRule="auto"/>
        <w:ind w:firstLine="0"/>
        <w:rPr>
          <w:rFonts w:ascii="Times New Roman" w:eastAsia="Times New Roman" w:hAnsi="Times New Roman" w:cs="Times New Roman"/>
          <w:color w:val="000000" w:themeColor="text1"/>
          <w:kern w:val="0"/>
          <w:sz w:val="24"/>
          <w:szCs w:val="24"/>
          <w:lang w:eastAsia="en-GB"/>
          <w14:ligatures w14:val="none"/>
        </w:rPr>
      </w:pPr>
      <w:r w:rsidRPr="00631DE0">
        <w:rPr>
          <w:rFonts w:ascii="Times New Roman" w:eastAsia="Times New Roman" w:hAnsi="Times New Roman" w:cs="Times New Roman"/>
          <w:color w:val="000000" w:themeColor="text1"/>
          <w:kern w:val="0"/>
          <w:sz w:val="24"/>
          <w:szCs w:val="24"/>
          <w:lang w:eastAsia="en-GB"/>
          <w14:ligatures w14:val="none"/>
        </w:rPr>
        <w:t xml:space="preserve">This motivation stems from the escalating global scrutiny on environmental accountability, where NGOs are positioned as key actors but face unique constraints such as limited resources and diffuse incentives compared to listed firms (Costa &amp; Andreaus, 2021; Haque &amp; Irvine, 2018; Asogwa et al., 2021; Harris &amp; Neely, 2018). Besides, prior studies on environmental disclosures have predominantly focused on </w:t>
      </w:r>
      <w:bookmarkStart w:id="3" w:name="_Hlk207923258"/>
      <w:r w:rsidRPr="00631DE0">
        <w:rPr>
          <w:rFonts w:ascii="Times New Roman" w:eastAsia="Times New Roman" w:hAnsi="Times New Roman" w:cs="Times New Roman"/>
          <w:color w:val="000000" w:themeColor="text1"/>
          <w:kern w:val="0"/>
          <w:sz w:val="24"/>
          <w:szCs w:val="24"/>
          <w:lang w:eastAsia="en-GB"/>
          <w14:ligatures w14:val="none"/>
        </w:rPr>
        <w:t>(profit-oriented) corporate entities</w:t>
      </w:r>
      <w:bookmarkEnd w:id="3"/>
      <w:r w:rsidRPr="00631DE0">
        <w:rPr>
          <w:rFonts w:ascii="Times New Roman" w:eastAsia="Times New Roman" w:hAnsi="Times New Roman" w:cs="Times New Roman"/>
          <w:color w:val="000000" w:themeColor="text1"/>
          <w:kern w:val="0"/>
          <w:sz w:val="24"/>
          <w:szCs w:val="24"/>
          <w:lang w:eastAsia="en-GB"/>
          <w14:ligatures w14:val="none"/>
        </w:rPr>
        <w:t xml:space="preserve">, revealing increases in volume and quality to legitimise operations (Deegan, 2017; Garcia-Sanchez, 2020; </w:t>
      </w:r>
      <w:r w:rsidRPr="00631DE0">
        <w:rPr>
          <w:rFonts w:ascii="Times New Roman" w:eastAsia="Times New Roman" w:hAnsi="Times New Roman" w:cs="Times New Roman"/>
          <w:color w:val="000000" w:themeColor="text1"/>
          <w:kern w:val="0"/>
          <w:sz w:val="24"/>
          <w:szCs w:val="24"/>
          <w:lang w:eastAsia="en-GB"/>
          <w14:ligatures w14:val="none"/>
        </w:rPr>
        <w:lastRenderedPageBreak/>
        <w:t xml:space="preserve">Stuebs &amp; Sun, 2015). Nevertheless, the NGO-specific research is sparse and exhibits key weaknesses, since existing studies are cross-sectional and lacking longitudinal analysis to track changes over time (e.g., Asogwa, 2023; Haque &amp; Irvine, 2018). Also, the existing NGO-focussed studies often overlook disclosure quality metrics, such as numerical versus narrative formats or operational versus policy-oriented content (Lim &amp; Mali, 2022; Agyemang et al., 2019; Bourveau et al., 2022). Not least, NGO-focussed studies </w:t>
      </w:r>
      <w:r w:rsidR="006F01D0">
        <w:rPr>
          <w:rFonts w:ascii="Times New Roman" w:eastAsia="Times New Roman" w:hAnsi="Times New Roman" w:cs="Times New Roman"/>
          <w:color w:val="000000" w:themeColor="text1"/>
          <w:kern w:val="0"/>
          <w:sz w:val="24"/>
          <w:szCs w:val="24"/>
          <w:lang w:eastAsia="en-GB"/>
          <w14:ligatures w14:val="none"/>
        </w:rPr>
        <w:t>rarely</w:t>
      </w:r>
      <w:r w:rsidR="006F01D0" w:rsidRPr="00631DE0">
        <w:rPr>
          <w:rFonts w:ascii="Times New Roman" w:eastAsia="Times New Roman" w:hAnsi="Times New Roman" w:cs="Times New Roman"/>
          <w:color w:val="000000" w:themeColor="text1"/>
          <w:kern w:val="0"/>
          <w:sz w:val="24"/>
          <w:szCs w:val="24"/>
          <w:lang w:eastAsia="en-GB"/>
          <w14:ligatures w14:val="none"/>
        </w:rPr>
        <w:t xml:space="preserve"> </w:t>
      </w:r>
      <w:r w:rsidRPr="00631DE0">
        <w:rPr>
          <w:rFonts w:ascii="Times New Roman" w:eastAsia="Times New Roman" w:hAnsi="Times New Roman" w:cs="Times New Roman"/>
          <w:color w:val="000000" w:themeColor="text1"/>
          <w:kern w:val="0"/>
          <w:sz w:val="24"/>
          <w:szCs w:val="24"/>
          <w:lang w:eastAsia="en-GB"/>
          <w14:ligatures w14:val="none"/>
        </w:rPr>
        <w:t>distinguish between internal/organisational and external/societal orientations, potentially masking symbolic rather than substantive practices (Asogwa et al., 2021; Oliveira Neto et al., 2018). Thus, these gaps create uncertainty about whether NGOs, notwithstanding their mission-driven ethos, can produce high-quality disclosures or if resource limitations hinder their progress.</w:t>
      </w:r>
    </w:p>
    <w:p w14:paraId="2C4575AF" w14:textId="01367608" w:rsidR="002B0A55" w:rsidRPr="00631DE0" w:rsidRDefault="002B0A55" w:rsidP="006821D8">
      <w:pPr>
        <w:spacing w:after="120" w:line="360" w:lineRule="auto"/>
        <w:ind w:firstLine="0"/>
        <w:rPr>
          <w:rFonts w:ascii="Times New Roman" w:eastAsia="Times New Roman" w:hAnsi="Times New Roman" w:cs="Times New Roman"/>
          <w:color w:val="000000" w:themeColor="text1"/>
          <w:kern w:val="0"/>
          <w:sz w:val="24"/>
          <w:szCs w:val="24"/>
          <w:lang w:eastAsia="en-GB"/>
          <w14:ligatures w14:val="none"/>
        </w:rPr>
      </w:pPr>
      <w:r w:rsidRPr="00631DE0">
        <w:rPr>
          <w:rFonts w:ascii="Times New Roman" w:eastAsia="Times New Roman" w:hAnsi="Times New Roman" w:cs="Times New Roman"/>
          <w:color w:val="000000" w:themeColor="text1"/>
          <w:kern w:val="0"/>
          <w:sz w:val="24"/>
          <w:szCs w:val="24"/>
          <w:lang w:eastAsia="en-GB"/>
          <w14:ligatures w14:val="none"/>
        </w:rPr>
        <w:t>Theoretically, our study draws on legitimacy theory, which posits that organisations align disclosures with societal values</w:t>
      </w:r>
      <w:r w:rsidR="006821D8" w:rsidRPr="00631DE0">
        <w:rPr>
          <w:rFonts w:ascii="Times New Roman" w:eastAsia="Times New Roman" w:hAnsi="Times New Roman" w:cs="Times New Roman"/>
          <w:color w:val="000000" w:themeColor="text1"/>
          <w:kern w:val="0"/>
          <w:sz w:val="24"/>
          <w:szCs w:val="24"/>
          <w:lang w:eastAsia="en-GB"/>
          <w14:ligatures w14:val="none"/>
        </w:rPr>
        <w:t xml:space="preserve">/expectations in order </w:t>
      </w:r>
      <w:r w:rsidRPr="00631DE0">
        <w:rPr>
          <w:rFonts w:ascii="Times New Roman" w:eastAsia="Times New Roman" w:hAnsi="Times New Roman" w:cs="Times New Roman"/>
          <w:color w:val="000000" w:themeColor="text1"/>
          <w:kern w:val="0"/>
          <w:sz w:val="24"/>
          <w:szCs w:val="24"/>
          <w:lang w:eastAsia="en-GB"/>
          <w14:ligatures w14:val="none"/>
        </w:rPr>
        <w:t>to secure approval and resources (Deegan, 2017; Suchman, 1995; Deephouse et al., 2017).</w:t>
      </w:r>
      <w:r w:rsidR="006821D8" w:rsidRPr="00631DE0">
        <w:rPr>
          <w:rFonts w:ascii="Times New Roman" w:eastAsia="Times New Roman" w:hAnsi="Times New Roman" w:cs="Times New Roman"/>
          <w:color w:val="000000" w:themeColor="text1"/>
          <w:kern w:val="0"/>
          <w:sz w:val="24"/>
          <w:szCs w:val="24"/>
          <w:lang w:eastAsia="en-GB"/>
          <w14:ligatures w14:val="none"/>
        </w:rPr>
        <w:t xml:space="preserve"> Notably, </w:t>
      </w:r>
      <w:r w:rsidRPr="00631DE0">
        <w:rPr>
          <w:rFonts w:ascii="Times New Roman" w:eastAsia="Times New Roman" w:hAnsi="Times New Roman" w:cs="Times New Roman"/>
          <w:color w:val="000000" w:themeColor="text1"/>
          <w:kern w:val="0"/>
          <w:sz w:val="24"/>
          <w:szCs w:val="24"/>
          <w:lang w:eastAsia="en-GB"/>
          <w14:ligatures w14:val="none"/>
        </w:rPr>
        <w:t>legitimacy is vital for</w:t>
      </w:r>
      <w:r w:rsidR="006821D8" w:rsidRPr="00631DE0">
        <w:rPr>
          <w:rFonts w:ascii="Times New Roman" w:eastAsia="Times New Roman" w:hAnsi="Times New Roman" w:cs="Times New Roman"/>
          <w:color w:val="000000" w:themeColor="text1"/>
          <w:kern w:val="0"/>
          <w:sz w:val="24"/>
          <w:szCs w:val="24"/>
          <w:lang w:eastAsia="en-GB"/>
          <w14:ligatures w14:val="none"/>
        </w:rPr>
        <w:t xml:space="preserve"> NGOs in order to safeguard </w:t>
      </w:r>
      <w:r w:rsidRPr="00631DE0">
        <w:rPr>
          <w:rFonts w:ascii="Times New Roman" w:eastAsia="Times New Roman" w:hAnsi="Times New Roman" w:cs="Times New Roman"/>
          <w:color w:val="000000" w:themeColor="text1"/>
          <w:kern w:val="0"/>
          <w:sz w:val="24"/>
          <w:szCs w:val="24"/>
          <w:lang w:eastAsia="en-GB"/>
          <w14:ligatures w14:val="none"/>
        </w:rPr>
        <w:t xml:space="preserve">donor retention and operational continuity, </w:t>
      </w:r>
      <w:r w:rsidR="006821D8" w:rsidRPr="00631DE0">
        <w:rPr>
          <w:rFonts w:ascii="Times New Roman" w:eastAsia="Times New Roman" w:hAnsi="Times New Roman" w:cs="Times New Roman"/>
          <w:color w:val="000000" w:themeColor="text1"/>
          <w:kern w:val="0"/>
          <w:sz w:val="24"/>
          <w:szCs w:val="24"/>
          <w:lang w:eastAsia="en-GB"/>
          <w14:ligatures w14:val="none"/>
        </w:rPr>
        <w:t xml:space="preserve">although their </w:t>
      </w:r>
      <w:r w:rsidRPr="00631DE0">
        <w:rPr>
          <w:rFonts w:ascii="Times New Roman" w:eastAsia="Times New Roman" w:hAnsi="Times New Roman" w:cs="Times New Roman"/>
          <w:color w:val="000000" w:themeColor="text1"/>
          <w:kern w:val="0"/>
          <w:sz w:val="24"/>
          <w:szCs w:val="24"/>
          <w:lang w:eastAsia="en-GB"/>
          <w14:ligatures w14:val="none"/>
        </w:rPr>
        <w:t>incentives differ from corporations</w:t>
      </w:r>
      <w:r w:rsidR="006821D8" w:rsidRPr="00631DE0">
        <w:rPr>
          <w:rFonts w:ascii="Times New Roman" w:eastAsia="Times New Roman" w:hAnsi="Times New Roman" w:cs="Times New Roman"/>
          <w:color w:val="000000" w:themeColor="text1"/>
          <w:kern w:val="0"/>
          <w:sz w:val="24"/>
          <w:szCs w:val="24"/>
          <w:lang w:eastAsia="en-GB"/>
          <w14:ligatures w14:val="none"/>
        </w:rPr>
        <w:t xml:space="preserve">. For example, </w:t>
      </w:r>
      <w:r w:rsidRPr="00631DE0">
        <w:rPr>
          <w:rFonts w:ascii="Times New Roman" w:eastAsia="Times New Roman" w:hAnsi="Times New Roman" w:cs="Times New Roman"/>
          <w:color w:val="000000" w:themeColor="text1"/>
          <w:kern w:val="0"/>
          <w:sz w:val="24"/>
          <w:szCs w:val="24"/>
          <w:lang w:eastAsia="en-GB"/>
          <w14:ligatures w14:val="none"/>
        </w:rPr>
        <w:t xml:space="preserve">NGOs face less regulatory pressure but </w:t>
      </w:r>
      <w:r w:rsidR="006821D8" w:rsidRPr="00631DE0">
        <w:rPr>
          <w:rFonts w:ascii="Times New Roman" w:eastAsia="Times New Roman" w:hAnsi="Times New Roman" w:cs="Times New Roman"/>
          <w:color w:val="000000" w:themeColor="text1"/>
          <w:kern w:val="0"/>
          <w:sz w:val="24"/>
          <w:szCs w:val="24"/>
          <w:lang w:eastAsia="en-GB"/>
          <w14:ligatures w14:val="none"/>
        </w:rPr>
        <w:t xml:space="preserve">face </w:t>
      </w:r>
      <w:r w:rsidRPr="00631DE0">
        <w:rPr>
          <w:rFonts w:ascii="Times New Roman" w:eastAsia="Times New Roman" w:hAnsi="Times New Roman" w:cs="Times New Roman"/>
          <w:color w:val="000000" w:themeColor="text1"/>
          <w:kern w:val="0"/>
          <w:sz w:val="24"/>
          <w:szCs w:val="24"/>
          <w:lang w:eastAsia="en-GB"/>
          <w14:ligatures w14:val="none"/>
        </w:rPr>
        <w:t xml:space="preserve">greater moral imperatives tied to their advocacy roles (Kamal &amp; Deegan, 2013; Asogwa et al., 2021). </w:t>
      </w:r>
      <w:r w:rsidR="006821D8" w:rsidRPr="00631DE0">
        <w:rPr>
          <w:rFonts w:ascii="Times New Roman" w:eastAsia="Times New Roman" w:hAnsi="Times New Roman" w:cs="Times New Roman"/>
          <w:color w:val="000000" w:themeColor="text1"/>
          <w:kern w:val="0"/>
          <w:sz w:val="24"/>
          <w:szCs w:val="24"/>
          <w:lang w:eastAsia="en-GB"/>
          <w14:ligatures w14:val="none"/>
        </w:rPr>
        <w:t>In light of this background, the e</w:t>
      </w:r>
      <w:r w:rsidRPr="00631DE0">
        <w:rPr>
          <w:rFonts w:ascii="Times New Roman" w:eastAsia="Times New Roman" w:hAnsi="Times New Roman" w:cs="Times New Roman"/>
          <w:color w:val="000000" w:themeColor="text1"/>
          <w:kern w:val="0"/>
          <w:sz w:val="24"/>
          <w:szCs w:val="24"/>
          <w:lang w:eastAsia="en-GB"/>
          <w14:ligatures w14:val="none"/>
        </w:rPr>
        <w:t>mpirical motivation</w:t>
      </w:r>
      <w:r w:rsidR="006821D8" w:rsidRPr="00631DE0">
        <w:rPr>
          <w:rFonts w:ascii="Times New Roman" w:eastAsia="Times New Roman" w:hAnsi="Times New Roman" w:cs="Times New Roman"/>
          <w:color w:val="000000" w:themeColor="text1"/>
          <w:kern w:val="0"/>
          <w:sz w:val="24"/>
          <w:szCs w:val="24"/>
          <w:lang w:eastAsia="en-GB"/>
          <w14:ligatures w14:val="none"/>
        </w:rPr>
        <w:t xml:space="preserve"> for our study is inspired by</w:t>
      </w:r>
      <w:r w:rsidRPr="00631DE0">
        <w:rPr>
          <w:rFonts w:ascii="Times New Roman" w:eastAsia="Times New Roman" w:hAnsi="Times New Roman" w:cs="Times New Roman"/>
          <w:color w:val="000000" w:themeColor="text1"/>
          <w:kern w:val="0"/>
          <w:sz w:val="24"/>
          <w:szCs w:val="24"/>
          <w:lang w:eastAsia="en-GB"/>
          <w14:ligatures w14:val="none"/>
        </w:rPr>
        <w:t xml:space="preserve"> the untested assumption that NGOs adapt reporting practices over time, particularly in domains like environmental management (ENVMGT), climate change (CC), and ecosystems (ECO). Without longitudinal evidence, it remains unclear </w:t>
      </w:r>
      <w:r w:rsidR="006821D8" w:rsidRPr="00631DE0">
        <w:rPr>
          <w:rFonts w:ascii="Times New Roman" w:eastAsia="Times New Roman" w:hAnsi="Times New Roman" w:cs="Times New Roman"/>
          <w:color w:val="000000" w:themeColor="text1"/>
          <w:kern w:val="0"/>
          <w:sz w:val="24"/>
          <w:szCs w:val="24"/>
          <w:lang w:eastAsia="en-GB"/>
          <w14:ligatures w14:val="none"/>
        </w:rPr>
        <w:t xml:space="preserve">whether </w:t>
      </w:r>
      <w:r w:rsidRPr="00631DE0">
        <w:rPr>
          <w:rFonts w:ascii="Times New Roman" w:eastAsia="Times New Roman" w:hAnsi="Times New Roman" w:cs="Times New Roman"/>
          <w:color w:val="000000" w:themeColor="text1"/>
          <w:kern w:val="0"/>
          <w:sz w:val="24"/>
          <w:szCs w:val="24"/>
          <w:lang w:eastAsia="en-GB"/>
          <w14:ligatures w14:val="none"/>
        </w:rPr>
        <w:t>NGOs are enhancing disclosure quantity (</w:t>
      </w:r>
      <w:r w:rsidR="006821D8" w:rsidRPr="00631DE0">
        <w:rPr>
          <w:rFonts w:ascii="Times New Roman" w:eastAsia="Times New Roman" w:hAnsi="Times New Roman" w:cs="Times New Roman"/>
          <w:color w:val="000000" w:themeColor="text1"/>
          <w:kern w:val="0"/>
          <w:sz w:val="24"/>
          <w:szCs w:val="24"/>
          <w:lang w:eastAsia="en-GB"/>
          <w14:ligatures w14:val="none"/>
        </w:rPr>
        <w:t xml:space="preserve">i.e. </w:t>
      </w:r>
      <w:r w:rsidRPr="00631DE0">
        <w:rPr>
          <w:rFonts w:ascii="Times New Roman" w:eastAsia="Times New Roman" w:hAnsi="Times New Roman" w:cs="Times New Roman"/>
          <w:color w:val="000000" w:themeColor="text1"/>
          <w:kern w:val="0"/>
          <w:sz w:val="24"/>
          <w:szCs w:val="24"/>
          <w:lang w:eastAsia="en-GB"/>
          <w14:ligatures w14:val="none"/>
        </w:rPr>
        <w:t>total volume</w:t>
      </w:r>
      <w:r w:rsidR="006821D8" w:rsidRPr="00631DE0">
        <w:rPr>
          <w:rFonts w:ascii="Times New Roman" w:eastAsia="Times New Roman" w:hAnsi="Times New Roman" w:cs="Times New Roman"/>
          <w:color w:val="000000" w:themeColor="text1"/>
          <w:kern w:val="0"/>
          <w:sz w:val="24"/>
          <w:szCs w:val="24"/>
          <w:lang w:eastAsia="en-GB"/>
          <w14:ligatures w14:val="none"/>
        </w:rPr>
        <w:t xml:space="preserve"> of information disclosed</w:t>
      </w:r>
      <w:r w:rsidRPr="00631DE0">
        <w:rPr>
          <w:rFonts w:ascii="Times New Roman" w:eastAsia="Times New Roman" w:hAnsi="Times New Roman" w:cs="Times New Roman"/>
          <w:color w:val="000000" w:themeColor="text1"/>
          <w:kern w:val="0"/>
          <w:sz w:val="24"/>
          <w:szCs w:val="24"/>
          <w:lang w:eastAsia="en-GB"/>
          <w14:ligatures w14:val="none"/>
        </w:rPr>
        <w:t xml:space="preserve">) and quality (e.g., verifiable numerical data over descriptive narratives) to bridge </w:t>
      </w:r>
      <w:r w:rsidR="006821D8" w:rsidRPr="00631DE0">
        <w:rPr>
          <w:rFonts w:ascii="Times New Roman" w:eastAsia="Times New Roman" w:hAnsi="Times New Roman" w:cs="Times New Roman"/>
          <w:color w:val="000000" w:themeColor="text1"/>
          <w:kern w:val="0"/>
          <w:sz w:val="24"/>
          <w:szCs w:val="24"/>
          <w:lang w:eastAsia="en-GB"/>
          <w14:ligatures w14:val="none"/>
        </w:rPr>
        <w:t xml:space="preserve">the </w:t>
      </w:r>
      <w:r w:rsidRPr="00631DE0">
        <w:rPr>
          <w:rFonts w:ascii="Times New Roman" w:eastAsia="Times New Roman" w:hAnsi="Times New Roman" w:cs="Times New Roman"/>
          <w:color w:val="000000" w:themeColor="text1"/>
          <w:kern w:val="0"/>
          <w:sz w:val="24"/>
          <w:szCs w:val="24"/>
          <w:lang w:eastAsia="en-GB"/>
          <w14:ligatures w14:val="none"/>
        </w:rPr>
        <w:t>performance-information asymmetries (Arena et al., 2015; Cordery et al., 2019).</w:t>
      </w:r>
    </w:p>
    <w:p w14:paraId="64A2C66B" w14:textId="7153F94D" w:rsidR="00860F27" w:rsidRPr="00631DE0" w:rsidRDefault="00860F27" w:rsidP="003F2E24">
      <w:pPr>
        <w:spacing w:after="120" w:line="360" w:lineRule="auto"/>
        <w:ind w:firstLine="0"/>
        <w:rPr>
          <w:rFonts w:ascii="Times New Roman" w:eastAsia="Times New Roman" w:hAnsi="Times New Roman" w:cs="Times New Roman"/>
          <w:color w:val="000000" w:themeColor="text1"/>
          <w:kern w:val="0"/>
          <w:sz w:val="24"/>
          <w:szCs w:val="24"/>
          <w:lang w:eastAsia="en-GB"/>
          <w14:ligatures w14:val="none"/>
        </w:rPr>
      </w:pPr>
      <w:r w:rsidRPr="00631DE0">
        <w:rPr>
          <w:rFonts w:ascii="Times New Roman" w:eastAsia="Times New Roman" w:hAnsi="Times New Roman" w:cs="Times New Roman"/>
          <w:color w:val="000000" w:themeColor="text1"/>
          <w:kern w:val="0"/>
          <w:sz w:val="24"/>
          <w:szCs w:val="24"/>
          <w:lang w:eastAsia="en-GB"/>
          <w14:ligatures w14:val="none"/>
        </w:rPr>
        <w:t>To address these gaps, the present study</w:t>
      </w:r>
      <w:r w:rsidR="003F2E24" w:rsidRPr="00631DE0">
        <w:rPr>
          <w:rFonts w:ascii="Times New Roman" w:eastAsia="Times New Roman" w:hAnsi="Times New Roman" w:cs="Times New Roman"/>
          <w:color w:val="000000" w:themeColor="text1"/>
          <w:kern w:val="0"/>
          <w:sz w:val="24"/>
          <w:szCs w:val="24"/>
          <w:lang w:eastAsia="en-GB"/>
          <w14:ligatures w14:val="none"/>
        </w:rPr>
        <w:t xml:space="preserve"> is guided by </w:t>
      </w:r>
      <w:r w:rsidRPr="00631DE0">
        <w:rPr>
          <w:rFonts w:ascii="Times New Roman" w:eastAsia="Times New Roman" w:hAnsi="Times New Roman" w:cs="Times New Roman"/>
          <w:color w:val="000000" w:themeColor="text1"/>
          <w:kern w:val="0"/>
          <w:sz w:val="24"/>
          <w:szCs w:val="24"/>
          <w:lang w:eastAsia="en-GB"/>
          <w14:ligatures w14:val="none"/>
        </w:rPr>
        <w:t xml:space="preserve">the following central research question: </w:t>
      </w:r>
      <w:r w:rsidRPr="00631DE0">
        <w:rPr>
          <w:rFonts w:ascii="Times New Roman" w:eastAsia="Times New Roman" w:hAnsi="Times New Roman" w:cs="Times New Roman"/>
          <w:i/>
          <w:iCs/>
          <w:color w:val="000000" w:themeColor="text1"/>
          <w:kern w:val="0"/>
          <w:sz w:val="24"/>
          <w:szCs w:val="24"/>
          <w:lang w:eastAsia="en-GB"/>
          <w14:ligatures w14:val="none"/>
        </w:rPr>
        <w:t>Have the quality and quantity of environmental disclosures by UK NGOs increased between 2013 and 2023 in their annual reports?</w:t>
      </w:r>
      <w:r w:rsidRPr="00631DE0">
        <w:rPr>
          <w:rFonts w:ascii="Times New Roman" w:eastAsia="Times New Roman" w:hAnsi="Times New Roman" w:cs="Times New Roman"/>
          <w:color w:val="000000" w:themeColor="text1"/>
          <w:kern w:val="0"/>
          <w:sz w:val="24"/>
          <w:szCs w:val="24"/>
          <w:lang w:eastAsia="en-GB"/>
          <w14:ligatures w14:val="none"/>
        </w:rPr>
        <w:t xml:space="preserve"> </w:t>
      </w:r>
      <w:r w:rsidR="003F2E24" w:rsidRPr="00631DE0">
        <w:rPr>
          <w:rFonts w:ascii="Times New Roman" w:eastAsia="Times New Roman" w:hAnsi="Times New Roman" w:cs="Times New Roman"/>
          <w:color w:val="000000" w:themeColor="text1"/>
          <w:kern w:val="0"/>
          <w:sz w:val="24"/>
          <w:szCs w:val="24"/>
          <w:lang w:eastAsia="en-GB"/>
          <w14:ligatures w14:val="none"/>
        </w:rPr>
        <w:t xml:space="preserve">In order to address the research question effectively, our study sets out to achieve the following </w:t>
      </w:r>
      <w:r w:rsidRPr="00631DE0">
        <w:rPr>
          <w:rFonts w:ascii="Times New Roman" w:eastAsia="Times New Roman" w:hAnsi="Times New Roman" w:cs="Times New Roman"/>
          <w:color w:val="000000" w:themeColor="text1"/>
          <w:kern w:val="0"/>
          <w:sz w:val="24"/>
          <w:szCs w:val="24"/>
          <w:lang w:eastAsia="en-GB"/>
          <w14:ligatures w14:val="none"/>
        </w:rPr>
        <w:t>objectives: (</w:t>
      </w:r>
      <w:r w:rsidR="003F2E24" w:rsidRPr="00631DE0">
        <w:rPr>
          <w:rFonts w:ascii="Times New Roman" w:eastAsia="Times New Roman" w:hAnsi="Times New Roman" w:cs="Times New Roman"/>
          <w:color w:val="000000" w:themeColor="text1"/>
          <w:kern w:val="0"/>
          <w:sz w:val="24"/>
          <w:szCs w:val="24"/>
          <w:lang w:eastAsia="en-GB"/>
          <w14:ligatures w14:val="none"/>
        </w:rPr>
        <w:t>i</w:t>
      </w:r>
      <w:r w:rsidRPr="00631DE0">
        <w:rPr>
          <w:rFonts w:ascii="Times New Roman" w:eastAsia="Times New Roman" w:hAnsi="Times New Roman" w:cs="Times New Roman"/>
          <w:color w:val="000000" w:themeColor="text1"/>
          <w:kern w:val="0"/>
          <w:sz w:val="24"/>
          <w:szCs w:val="24"/>
          <w:lang w:eastAsia="en-GB"/>
          <w14:ligatures w14:val="none"/>
        </w:rPr>
        <w:t xml:space="preserve">) assess changes in overall </w:t>
      </w:r>
      <w:r w:rsidR="003F2E24" w:rsidRPr="00631DE0">
        <w:rPr>
          <w:rFonts w:ascii="Times New Roman" w:eastAsia="Times New Roman" w:hAnsi="Times New Roman" w:cs="Times New Roman"/>
          <w:color w:val="000000" w:themeColor="text1"/>
          <w:kern w:val="0"/>
          <w:sz w:val="24"/>
          <w:szCs w:val="24"/>
          <w:lang w:eastAsia="en-GB"/>
          <w14:ligatures w14:val="none"/>
        </w:rPr>
        <w:t xml:space="preserve">environmental </w:t>
      </w:r>
      <w:r w:rsidRPr="00631DE0">
        <w:rPr>
          <w:rFonts w:ascii="Times New Roman" w:eastAsia="Times New Roman" w:hAnsi="Times New Roman" w:cs="Times New Roman"/>
          <w:color w:val="000000" w:themeColor="text1"/>
          <w:kern w:val="0"/>
          <w:sz w:val="24"/>
          <w:szCs w:val="24"/>
          <w:lang w:eastAsia="en-GB"/>
          <w14:ligatures w14:val="none"/>
        </w:rPr>
        <w:t>disclosure volume</w:t>
      </w:r>
      <w:r w:rsidR="003F2E24" w:rsidRPr="00631DE0">
        <w:rPr>
          <w:rFonts w:ascii="Times New Roman" w:eastAsia="Times New Roman" w:hAnsi="Times New Roman" w:cs="Times New Roman"/>
          <w:color w:val="000000" w:themeColor="text1"/>
          <w:kern w:val="0"/>
          <w:sz w:val="24"/>
          <w:szCs w:val="24"/>
          <w:lang w:eastAsia="en-GB"/>
          <w14:ligatures w14:val="none"/>
        </w:rPr>
        <w:t xml:space="preserve"> of UK NGOs, </w:t>
      </w:r>
      <w:r w:rsidRPr="00631DE0">
        <w:rPr>
          <w:rFonts w:ascii="Times New Roman" w:eastAsia="Times New Roman" w:hAnsi="Times New Roman" w:cs="Times New Roman"/>
          <w:color w:val="000000" w:themeColor="text1"/>
          <w:kern w:val="0"/>
          <w:sz w:val="24"/>
          <w:szCs w:val="24"/>
          <w:lang w:eastAsia="en-GB"/>
          <w14:ligatures w14:val="none"/>
        </w:rPr>
        <w:t>(</w:t>
      </w:r>
      <w:r w:rsidR="003F2E24" w:rsidRPr="00631DE0">
        <w:rPr>
          <w:rFonts w:ascii="Times New Roman" w:eastAsia="Times New Roman" w:hAnsi="Times New Roman" w:cs="Times New Roman"/>
          <w:color w:val="000000" w:themeColor="text1"/>
          <w:kern w:val="0"/>
          <w:sz w:val="24"/>
          <w:szCs w:val="24"/>
          <w:lang w:eastAsia="en-GB"/>
          <w14:ligatures w14:val="none"/>
        </w:rPr>
        <w:t>ii</w:t>
      </w:r>
      <w:r w:rsidRPr="00631DE0">
        <w:rPr>
          <w:rFonts w:ascii="Times New Roman" w:eastAsia="Times New Roman" w:hAnsi="Times New Roman" w:cs="Times New Roman"/>
          <w:color w:val="000000" w:themeColor="text1"/>
          <w:kern w:val="0"/>
          <w:sz w:val="24"/>
          <w:szCs w:val="24"/>
          <w:lang w:eastAsia="en-GB"/>
          <w14:ligatures w14:val="none"/>
        </w:rPr>
        <w:t>) evaluat</w:t>
      </w:r>
      <w:r w:rsidR="003F2E24" w:rsidRPr="00631DE0">
        <w:rPr>
          <w:rFonts w:ascii="Times New Roman" w:eastAsia="Times New Roman" w:hAnsi="Times New Roman" w:cs="Times New Roman"/>
          <w:color w:val="000000" w:themeColor="text1"/>
          <w:kern w:val="0"/>
          <w:sz w:val="24"/>
          <w:szCs w:val="24"/>
          <w:lang w:eastAsia="en-GB"/>
          <w14:ligatures w14:val="none"/>
        </w:rPr>
        <w:t>e</w:t>
      </w:r>
      <w:r w:rsidRPr="00631DE0">
        <w:rPr>
          <w:rFonts w:ascii="Times New Roman" w:eastAsia="Times New Roman" w:hAnsi="Times New Roman" w:cs="Times New Roman"/>
          <w:color w:val="000000" w:themeColor="text1"/>
          <w:kern w:val="0"/>
          <w:sz w:val="24"/>
          <w:szCs w:val="24"/>
          <w:lang w:eastAsia="en-GB"/>
          <w14:ligatures w14:val="none"/>
        </w:rPr>
        <w:t xml:space="preserve"> shifts toward higher-quality </w:t>
      </w:r>
      <w:r w:rsidR="003F2E24" w:rsidRPr="00631DE0">
        <w:rPr>
          <w:rFonts w:ascii="Times New Roman" w:eastAsia="Times New Roman" w:hAnsi="Times New Roman" w:cs="Times New Roman"/>
          <w:color w:val="000000" w:themeColor="text1"/>
          <w:kern w:val="0"/>
          <w:sz w:val="24"/>
          <w:szCs w:val="24"/>
          <w:lang w:eastAsia="en-GB"/>
          <w14:ligatures w14:val="none"/>
        </w:rPr>
        <w:t xml:space="preserve">environmental disclosure </w:t>
      </w:r>
      <w:r w:rsidRPr="00631DE0">
        <w:rPr>
          <w:rFonts w:ascii="Times New Roman" w:eastAsia="Times New Roman" w:hAnsi="Times New Roman" w:cs="Times New Roman"/>
          <w:color w:val="000000" w:themeColor="text1"/>
          <w:kern w:val="0"/>
          <w:sz w:val="24"/>
          <w:szCs w:val="24"/>
          <w:lang w:eastAsia="en-GB"/>
          <w14:ligatures w14:val="none"/>
        </w:rPr>
        <w:t>formats (</w:t>
      </w:r>
      <w:r w:rsidR="003F2E24" w:rsidRPr="00631DE0">
        <w:rPr>
          <w:rFonts w:ascii="Times New Roman" w:eastAsia="Times New Roman" w:hAnsi="Times New Roman" w:cs="Times New Roman"/>
          <w:color w:val="000000" w:themeColor="text1"/>
          <w:kern w:val="0"/>
          <w:sz w:val="24"/>
          <w:szCs w:val="24"/>
          <w:lang w:eastAsia="en-GB"/>
          <w14:ligatures w14:val="none"/>
        </w:rPr>
        <w:t xml:space="preserve">i.e. </w:t>
      </w:r>
      <w:r w:rsidRPr="00631DE0">
        <w:rPr>
          <w:rFonts w:ascii="Times New Roman" w:eastAsia="Times New Roman" w:hAnsi="Times New Roman" w:cs="Times New Roman"/>
          <w:color w:val="000000" w:themeColor="text1"/>
          <w:kern w:val="0"/>
          <w:sz w:val="24"/>
          <w:szCs w:val="24"/>
          <w:lang w:eastAsia="en-GB"/>
          <w14:ligatures w14:val="none"/>
        </w:rPr>
        <w:t>numerical over narrative)</w:t>
      </w:r>
      <w:r w:rsidR="003F2E24" w:rsidRPr="00631DE0">
        <w:rPr>
          <w:rFonts w:ascii="Times New Roman" w:eastAsia="Times New Roman" w:hAnsi="Times New Roman" w:cs="Times New Roman"/>
          <w:color w:val="000000" w:themeColor="text1"/>
          <w:kern w:val="0"/>
          <w:sz w:val="24"/>
          <w:szCs w:val="24"/>
          <w:lang w:eastAsia="en-GB"/>
          <w14:ligatures w14:val="none"/>
        </w:rPr>
        <w:t xml:space="preserve"> and/or vice versa, </w:t>
      </w:r>
      <w:r w:rsidRPr="00631DE0">
        <w:rPr>
          <w:rFonts w:ascii="Times New Roman" w:eastAsia="Times New Roman" w:hAnsi="Times New Roman" w:cs="Times New Roman"/>
          <w:color w:val="000000" w:themeColor="text1"/>
          <w:kern w:val="0"/>
          <w:sz w:val="24"/>
          <w:szCs w:val="24"/>
          <w:lang w:eastAsia="en-GB"/>
          <w14:ligatures w14:val="none"/>
        </w:rPr>
        <w:t>(</w:t>
      </w:r>
      <w:r w:rsidR="003F2E24" w:rsidRPr="00631DE0">
        <w:rPr>
          <w:rFonts w:ascii="Times New Roman" w:eastAsia="Times New Roman" w:hAnsi="Times New Roman" w:cs="Times New Roman"/>
          <w:color w:val="000000" w:themeColor="text1"/>
          <w:kern w:val="0"/>
          <w:sz w:val="24"/>
          <w:szCs w:val="24"/>
          <w:lang w:eastAsia="en-GB"/>
          <w14:ligatures w14:val="none"/>
        </w:rPr>
        <w:t>iii</w:t>
      </w:r>
      <w:r w:rsidRPr="00631DE0">
        <w:rPr>
          <w:rFonts w:ascii="Times New Roman" w:eastAsia="Times New Roman" w:hAnsi="Times New Roman" w:cs="Times New Roman"/>
          <w:color w:val="000000" w:themeColor="text1"/>
          <w:kern w:val="0"/>
          <w:sz w:val="24"/>
          <w:szCs w:val="24"/>
          <w:lang w:eastAsia="en-GB"/>
          <w14:ligatures w14:val="none"/>
        </w:rPr>
        <w:t>) examin</w:t>
      </w:r>
      <w:r w:rsidR="003F2E24" w:rsidRPr="00631DE0">
        <w:rPr>
          <w:rFonts w:ascii="Times New Roman" w:eastAsia="Times New Roman" w:hAnsi="Times New Roman" w:cs="Times New Roman"/>
          <w:color w:val="000000" w:themeColor="text1"/>
          <w:kern w:val="0"/>
          <w:sz w:val="24"/>
          <w:szCs w:val="24"/>
          <w:lang w:eastAsia="en-GB"/>
          <w14:ligatures w14:val="none"/>
        </w:rPr>
        <w:t>e</w:t>
      </w:r>
      <w:r w:rsidRPr="00631DE0">
        <w:rPr>
          <w:rFonts w:ascii="Times New Roman" w:eastAsia="Times New Roman" w:hAnsi="Times New Roman" w:cs="Times New Roman"/>
          <w:color w:val="000000" w:themeColor="text1"/>
          <w:kern w:val="0"/>
          <w:sz w:val="24"/>
          <w:szCs w:val="24"/>
          <w:lang w:eastAsia="en-GB"/>
          <w14:ligatures w14:val="none"/>
        </w:rPr>
        <w:t xml:space="preserve"> the prevalence of operational activities versus policy/target statements</w:t>
      </w:r>
      <w:r w:rsidR="003F2E24" w:rsidRPr="00631DE0">
        <w:rPr>
          <w:rFonts w:ascii="Times New Roman" w:eastAsia="Times New Roman" w:hAnsi="Times New Roman" w:cs="Times New Roman"/>
          <w:color w:val="000000" w:themeColor="text1"/>
          <w:kern w:val="0"/>
          <w:sz w:val="24"/>
          <w:szCs w:val="24"/>
          <w:lang w:eastAsia="en-GB"/>
          <w14:ligatures w14:val="none"/>
        </w:rPr>
        <w:t xml:space="preserve"> in UK NGOs environmental disclosures, </w:t>
      </w:r>
      <w:r w:rsidRPr="00631DE0">
        <w:rPr>
          <w:rFonts w:ascii="Times New Roman" w:eastAsia="Times New Roman" w:hAnsi="Times New Roman" w:cs="Times New Roman"/>
          <w:color w:val="000000" w:themeColor="text1"/>
          <w:kern w:val="0"/>
          <w:sz w:val="24"/>
          <w:szCs w:val="24"/>
          <w:lang w:eastAsia="en-GB"/>
          <w14:ligatures w14:val="none"/>
        </w:rPr>
        <w:t>and (</w:t>
      </w:r>
      <w:r w:rsidR="003F2E24" w:rsidRPr="00631DE0">
        <w:rPr>
          <w:rFonts w:ascii="Times New Roman" w:eastAsia="Times New Roman" w:hAnsi="Times New Roman" w:cs="Times New Roman"/>
          <w:color w:val="000000" w:themeColor="text1"/>
          <w:kern w:val="0"/>
          <w:sz w:val="24"/>
          <w:szCs w:val="24"/>
          <w:lang w:eastAsia="en-GB"/>
          <w14:ligatures w14:val="none"/>
        </w:rPr>
        <w:t>iv</w:t>
      </w:r>
      <w:r w:rsidRPr="00631DE0">
        <w:rPr>
          <w:rFonts w:ascii="Times New Roman" w:eastAsia="Times New Roman" w:hAnsi="Times New Roman" w:cs="Times New Roman"/>
          <w:color w:val="000000" w:themeColor="text1"/>
          <w:kern w:val="0"/>
          <w:sz w:val="24"/>
          <w:szCs w:val="24"/>
          <w:lang w:eastAsia="en-GB"/>
          <w14:ligatures w14:val="none"/>
        </w:rPr>
        <w:t>) distinguish</w:t>
      </w:r>
      <w:r w:rsidR="003F2E24" w:rsidRPr="00631DE0">
        <w:rPr>
          <w:rFonts w:ascii="Times New Roman" w:eastAsia="Times New Roman" w:hAnsi="Times New Roman" w:cs="Times New Roman"/>
          <w:color w:val="000000" w:themeColor="text1"/>
          <w:kern w:val="0"/>
          <w:sz w:val="24"/>
          <w:szCs w:val="24"/>
          <w:lang w:eastAsia="en-GB"/>
          <w14:ligatures w14:val="none"/>
        </w:rPr>
        <w:t xml:space="preserve"> </w:t>
      </w:r>
      <w:r w:rsidRPr="00631DE0">
        <w:rPr>
          <w:rFonts w:ascii="Times New Roman" w:eastAsia="Times New Roman" w:hAnsi="Times New Roman" w:cs="Times New Roman"/>
          <w:color w:val="000000" w:themeColor="text1"/>
          <w:kern w:val="0"/>
          <w:sz w:val="24"/>
          <w:szCs w:val="24"/>
          <w:lang w:eastAsia="en-GB"/>
          <w14:ligatures w14:val="none"/>
        </w:rPr>
        <w:t>internal versus external orientations to gauge substantive commitment</w:t>
      </w:r>
      <w:r w:rsidR="003F2E24" w:rsidRPr="00631DE0">
        <w:rPr>
          <w:rFonts w:ascii="Times New Roman" w:eastAsia="Times New Roman" w:hAnsi="Times New Roman" w:cs="Times New Roman"/>
          <w:color w:val="000000" w:themeColor="text1"/>
          <w:kern w:val="0"/>
          <w:sz w:val="24"/>
          <w:szCs w:val="24"/>
          <w:lang w:eastAsia="en-GB"/>
          <w14:ligatures w14:val="none"/>
        </w:rPr>
        <w:t xml:space="preserve"> to environmental disclosure.</w:t>
      </w:r>
    </w:p>
    <w:p w14:paraId="1025477C" w14:textId="5AAB2588" w:rsidR="003F2E24" w:rsidRPr="00631DE0" w:rsidRDefault="003F2E24" w:rsidP="003F2E24">
      <w:pPr>
        <w:spacing w:after="120" w:line="360" w:lineRule="auto"/>
        <w:ind w:firstLine="0"/>
        <w:rPr>
          <w:rFonts w:ascii="Times New Roman" w:eastAsia="Times New Roman" w:hAnsi="Times New Roman" w:cs="Times New Roman"/>
          <w:color w:val="000000" w:themeColor="text1"/>
          <w:kern w:val="0"/>
          <w:sz w:val="24"/>
          <w:szCs w:val="24"/>
          <w:lang w:eastAsia="en-GB"/>
          <w14:ligatures w14:val="none"/>
        </w:rPr>
      </w:pPr>
      <w:r w:rsidRPr="00631DE0">
        <w:rPr>
          <w:rFonts w:ascii="Times New Roman" w:eastAsia="Times New Roman" w:hAnsi="Times New Roman" w:cs="Times New Roman"/>
          <w:color w:val="000000" w:themeColor="text1"/>
          <w:kern w:val="0"/>
          <w:sz w:val="24"/>
          <w:szCs w:val="24"/>
          <w:lang w:eastAsia="en-GB"/>
          <w14:ligatures w14:val="none"/>
        </w:rPr>
        <w:lastRenderedPageBreak/>
        <w:t>This study contributes to the literature in several ways. Theoretically, our study advances legitimacy theory by demonstrating its application in the non-profit sector beyond the profit-oriented corporate entities, as well as highlighting how NGOs use disclosures to construct moral and pragmatic legitimacy amid resource constraints (Deegan, 2019; Nicolò et al., 2021). Empirically, and to the best of our knowledge, our study provides the one of the first longitudinal evidence of NGO environmental reporting trends, addressing weaknesses in prior cross-sectional studies and introducing granular classifications (e.g., internal/external) that reveal NGOs shift toward verifiable practices (</w:t>
      </w:r>
      <w:r w:rsidR="00F65007">
        <w:rPr>
          <w:rFonts w:ascii="Times New Roman" w:eastAsia="Times New Roman" w:hAnsi="Times New Roman" w:cs="Times New Roman"/>
          <w:color w:val="000000" w:themeColor="text1"/>
          <w:kern w:val="0"/>
          <w:sz w:val="24"/>
          <w:szCs w:val="24"/>
          <w:lang w:eastAsia="en-GB"/>
          <w14:ligatures w14:val="none"/>
        </w:rPr>
        <w:t xml:space="preserve">see </w:t>
      </w:r>
      <w:r w:rsidRPr="00631DE0">
        <w:rPr>
          <w:rFonts w:ascii="Times New Roman" w:eastAsia="Times New Roman" w:hAnsi="Times New Roman" w:cs="Times New Roman"/>
          <w:color w:val="000000" w:themeColor="text1"/>
          <w:kern w:val="0"/>
          <w:sz w:val="24"/>
          <w:szCs w:val="24"/>
          <w:lang w:eastAsia="en-GB"/>
          <w14:ligatures w14:val="none"/>
        </w:rPr>
        <w:t>Lim &amp; Mali, 2022; Jarvinen et al., 2022).</w:t>
      </w:r>
      <w:r w:rsidR="008C5699" w:rsidRPr="00631DE0">
        <w:rPr>
          <w:rFonts w:ascii="Times New Roman" w:eastAsia="Times New Roman" w:hAnsi="Times New Roman" w:cs="Times New Roman"/>
          <w:color w:val="000000" w:themeColor="text1"/>
          <w:kern w:val="0"/>
          <w:sz w:val="24"/>
          <w:szCs w:val="24"/>
          <w:lang w:eastAsia="en-GB"/>
          <w14:ligatures w14:val="none"/>
        </w:rPr>
        <w:t xml:space="preserve"> Lastly, </w:t>
      </w:r>
      <w:r w:rsidRPr="00631DE0">
        <w:rPr>
          <w:rFonts w:ascii="Times New Roman" w:eastAsia="Times New Roman" w:hAnsi="Times New Roman" w:cs="Times New Roman"/>
          <w:color w:val="000000" w:themeColor="text1"/>
          <w:kern w:val="0"/>
          <w:sz w:val="24"/>
          <w:szCs w:val="24"/>
          <w:lang w:eastAsia="en-GB"/>
          <w14:ligatures w14:val="none"/>
        </w:rPr>
        <w:t xml:space="preserve">the findings </w:t>
      </w:r>
      <w:r w:rsidR="008C5699" w:rsidRPr="00631DE0">
        <w:rPr>
          <w:rFonts w:ascii="Times New Roman" w:eastAsia="Times New Roman" w:hAnsi="Times New Roman" w:cs="Times New Roman"/>
          <w:color w:val="000000" w:themeColor="text1"/>
          <w:kern w:val="0"/>
          <w:sz w:val="24"/>
          <w:szCs w:val="24"/>
          <w:lang w:eastAsia="en-GB"/>
          <w14:ligatures w14:val="none"/>
        </w:rPr>
        <w:t xml:space="preserve">from our study have implications for practice by </w:t>
      </w:r>
      <w:r w:rsidRPr="00631DE0">
        <w:rPr>
          <w:rFonts w:ascii="Times New Roman" w:eastAsia="Times New Roman" w:hAnsi="Times New Roman" w:cs="Times New Roman"/>
          <w:color w:val="000000" w:themeColor="text1"/>
          <w:kern w:val="0"/>
          <w:sz w:val="24"/>
          <w:szCs w:val="24"/>
          <w:lang w:eastAsia="en-GB"/>
          <w14:ligatures w14:val="none"/>
        </w:rPr>
        <w:t>inform</w:t>
      </w:r>
      <w:r w:rsidR="008C5699" w:rsidRPr="00631DE0">
        <w:rPr>
          <w:rFonts w:ascii="Times New Roman" w:eastAsia="Times New Roman" w:hAnsi="Times New Roman" w:cs="Times New Roman"/>
          <w:color w:val="000000" w:themeColor="text1"/>
          <w:kern w:val="0"/>
          <w:sz w:val="24"/>
          <w:szCs w:val="24"/>
          <w:lang w:eastAsia="en-GB"/>
          <w14:ligatures w14:val="none"/>
        </w:rPr>
        <w:t>ing</w:t>
      </w:r>
      <w:r w:rsidRPr="00631DE0">
        <w:rPr>
          <w:rFonts w:ascii="Times New Roman" w:eastAsia="Times New Roman" w:hAnsi="Times New Roman" w:cs="Times New Roman"/>
          <w:color w:val="000000" w:themeColor="text1"/>
          <w:kern w:val="0"/>
          <w:sz w:val="24"/>
          <w:szCs w:val="24"/>
          <w:lang w:eastAsia="en-GB"/>
          <w14:ligatures w14:val="none"/>
        </w:rPr>
        <w:t xml:space="preserve"> NGO managers, donors, and policymakers on </w:t>
      </w:r>
      <w:r w:rsidR="008C5699" w:rsidRPr="00631DE0">
        <w:rPr>
          <w:rFonts w:ascii="Times New Roman" w:eastAsia="Times New Roman" w:hAnsi="Times New Roman" w:cs="Times New Roman"/>
          <w:color w:val="000000" w:themeColor="text1"/>
          <w:kern w:val="0"/>
          <w:sz w:val="24"/>
          <w:szCs w:val="24"/>
          <w:lang w:eastAsia="en-GB"/>
          <w14:ligatures w14:val="none"/>
        </w:rPr>
        <w:t xml:space="preserve">how to </w:t>
      </w:r>
      <w:r w:rsidRPr="00631DE0">
        <w:rPr>
          <w:rFonts w:ascii="Times New Roman" w:eastAsia="Times New Roman" w:hAnsi="Times New Roman" w:cs="Times New Roman"/>
          <w:color w:val="000000" w:themeColor="text1"/>
          <w:kern w:val="0"/>
          <w:sz w:val="24"/>
          <w:szCs w:val="24"/>
          <w:lang w:eastAsia="en-GB"/>
          <w14:ligatures w14:val="none"/>
        </w:rPr>
        <w:t>enhanc</w:t>
      </w:r>
      <w:r w:rsidR="008C5699" w:rsidRPr="00631DE0">
        <w:rPr>
          <w:rFonts w:ascii="Times New Roman" w:eastAsia="Times New Roman" w:hAnsi="Times New Roman" w:cs="Times New Roman"/>
          <w:color w:val="000000" w:themeColor="text1"/>
          <w:kern w:val="0"/>
          <w:sz w:val="24"/>
          <w:szCs w:val="24"/>
          <w:lang w:eastAsia="en-GB"/>
          <w14:ligatures w14:val="none"/>
        </w:rPr>
        <w:t xml:space="preserve">e </w:t>
      </w:r>
      <w:r w:rsidRPr="00631DE0">
        <w:rPr>
          <w:rFonts w:ascii="Times New Roman" w:eastAsia="Times New Roman" w:hAnsi="Times New Roman" w:cs="Times New Roman"/>
          <w:color w:val="000000" w:themeColor="text1"/>
          <w:kern w:val="0"/>
          <w:sz w:val="24"/>
          <w:szCs w:val="24"/>
          <w:lang w:eastAsia="en-GB"/>
          <w14:ligatures w14:val="none"/>
        </w:rPr>
        <w:t xml:space="preserve">accountability, aligning with </w:t>
      </w:r>
      <w:r w:rsidR="008C5699" w:rsidRPr="00631DE0">
        <w:rPr>
          <w:rFonts w:ascii="Times New Roman" w:eastAsia="Times New Roman" w:hAnsi="Times New Roman" w:cs="Times New Roman"/>
          <w:color w:val="000000" w:themeColor="text1"/>
          <w:kern w:val="0"/>
          <w:sz w:val="24"/>
          <w:szCs w:val="24"/>
          <w:lang w:eastAsia="en-GB"/>
          <w14:ligatures w14:val="none"/>
        </w:rPr>
        <w:t xml:space="preserve">global frameworks such as </w:t>
      </w:r>
      <w:r w:rsidRPr="00631DE0">
        <w:rPr>
          <w:rFonts w:ascii="Times New Roman" w:eastAsia="Times New Roman" w:hAnsi="Times New Roman" w:cs="Times New Roman"/>
          <w:color w:val="000000" w:themeColor="text1"/>
          <w:kern w:val="0"/>
          <w:sz w:val="24"/>
          <w:szCs w:val="24"/>
          <w:lang w:eastAsia="en-GB"/>
          <w14:ligatures w14:val="none"/>
        </w:rPr>
        <w:t>SDG 13 and the UN Global Compact, while exposing areas for improvement in under-resourced sectors.</w:t>
      </w:r>
    </w:p>
    <w:p w14:paraId="758A7C33" w14:textId="3891F889" w:rsidR="008C5699" w:rsidRPr="00631DE0" w:rsidRDefault="008C5699" w:rsidP="008C5699">
      <w:pPr>
        <w:spacing w:after="120" w:line="360" w:lineRule="auto"/>
        <w:ind w:firstLine="0"/>
        <w:rPr>
          <w:rFonts w:ascii="Times New Roman" w:eastAsia="Times New Roman" w:hAnsi="Times New Roman" w:cs="Times New Roman"/>
          <w:color w:val="000000" w:themeColor="text1"/>
          <w:kern w:val="0"/>
          <w:sz w:val="24"/>
          <w:szCs w:val="24"/>
          <w:lang w:eastAsia="en-GB"/>
          <w14:ligatures w14:val="none"/>
        </w:rPr>
      </w:pPr>
      <w:r w:rsidRPr="00631DE0">
        <w:rPr>
          <w:rFonts w:ascii="Times New Roman" w:eastAsia="Times New Roman" w:hAnsi="Times New Roman" w:cs="Times New Roman"/>
          <w:color w:val="000000" w:themeColor="text1"/>
          <w:kern w:val="0"/>
          <w:sz w:val="24"/>
          <w:szCs w:val="24"/>
          <w:lang w:eastAsia="en-GB"/>
          <w14:ligatures w14:val="none"/>
        </w:rPr>
        <w:t>Our study employs a manual content analysis of annual reports from 35 leading UK NGOs selected by donation size. We compare disclosures from 2013 and 2023 using keywords across ENVMGT, CC, and ECO themes. The results indicate that there are significant increases in volume and quality of environmental disclosures, with numerical and operational disclosures improving more prominently and inspired by legitimacy-driven adaptations. The results also show that internal disclosures grew faster than external, suggesting organisational stewardship is an important driver of environmental disclosure in UK NGOs.</w:t>
      </w:r>
      <w:r w:rsidR="008F5203">
        <w:rPr>
          <w:rFonts w:ascii="Times New Roman" w:eastAsia="Times New Roman" w:hAnsi="Times New Roman" w:cs="Times New Roman"/>
          <w:color w:val="000000" w:themeColor="text1"/>
          <w:kern w:val="0"/>
          <w:sz w:val="24"/>
          <w:szCs w:val="24"/>
          <w:lang w:eastAsia="en-GB"/>
          <w14:ligatures w14:val="none"/>
        </w:rPr>
        <w:t xml:space="preserve"> When an automated text mining </w:t>
      </w:r>
      <w:r w:rsidR="003344BC">
        <w:rPr>
          <w:rFonts w:ascii="Times New Roman" w:eastAsia="Times New Roman" w:hAnsi="Times New Roman" w:cs="Times New Roman"/>
          <w:color w:val="000000" w:themeColor="text1"/>
          <w:kern w:val="0"/>
          <w:sz w:val="24"/>
          <w:szCs w:val="24"/>
          <w:lang w:eastAsia="en-GB"/>
          <w14:ligatures w14:val="none"/>
        </w:rPr>
        <w:t>(</w:t>
      </w:r>
      <w:r w:rsidR="008F5203">
        <w:rPr>
          <w:rFonts w:ascii="Times New Roman" w:eastAsia="Times New Roman" w:hAnsi="Times New Roman" w:cs="Times New Roman"/>
          <w:color w:val="000000" w:themeColor="text1"/>
          <w:kern w:val="0"/>
          <w:sz w:val="24"/>
          <w:szCs w:val="24"/>
          <w:lang w:eastAsia="en-GB"/>
          <w14:ligatures w14:val="none"/>
        </w:rPr>
        <w:t>additional</w:t>
      </w:r>
      <w:r w:rsidR="003344BC">
        <w:rPr>
          <w:rFonts w:ascii="Times New Roman" w:eastAsia="Times New Roman" w:hAnsi="Times New Roman" w:cs="Times New Roman"/>
          <w:color w:val="000000" w:themeColor="text1"/>
          <w:kern w:val="0"/>
          <w:sz w:val="24"/>
          <w:szCs w:val="24"/>
          <w:lang w:eastAsia="en-GB"/>
          <w14:ligatures w14:val="none"/>
        </w:rPr>
        <w:t>)</w:t>
      </w:r>
      <w:r w:rsidR="008F5203">
        <w:rPr>
          <w:rFonts w:ascii="Times New Roman" w:eastAsia="Times New Roman" w:hAnsi="Times New Roman" w:cs="Times New Roman"/>
          <w:color w:val="000000" w:themeColor="text1"/>
          <w:kern w:val="0"/>
          <w:sz w:val="24"/>
          <w:szCs w:val="24"/>
          <w:lang w:eastAsia="en-GB"/>
          <w14:ligatures w14:val="none"/>
        </w:rPr>
        <w:t xml:space="preserve"> analysis is conducted</w:t>
      </w:r>
      <w:r w:rsidR="00AA188B">
        <w:rPr>
          <w:rFonts w:ascii="Times New Roman" w:eastAsia="Times New Roman" w:hAnsi="Times New Roman" w:cs="Times New Roman"/>
          <w:color w:val="000000" w:themeColor="text1"/>
          <w:kern w:val="0"/>
          <w:sz w:val="24"/>
          <w:szCs w:val="24"/>
          <w:lang w:eastAsia="en-GB"/>
          <w14:ligatures w14:val="none"/>
        </w:rPr>
        <w:t xml:space="preserve"> using 2013 as a benchmark, </w:t>
      </w:r>
      <w:r w:rsidR="003344BC">
        <w:rPr>
          <w:rFonts w:ascii="Times New Roman" w:eastAsia="Times New Roman" w:hAnsi="Times New Roman" w:cs="Times New Roman"/>
          <w:color w:val="000000" w:themeColor="text1"/>
          <w:kern w:val="0"/>
          <w:sz w:val="24"/>
          <w:szCs w:val="24"/>
          <w:lang w:eastAsia="en-GB"/>
          <w14:ligatures w14:val="none"/>
        </w:rPr>
        <w:t xml:space="preserve">empirical </w:t>
      </w:r>
      <w:r w:rsidR="00AA188B">
        <w:rPr>
          <w:rFonts w:ascii="Times New Roman" w:eastAsia="Times New Roman" w:hAnsi="Times New Roman" w:cs="Times New Roman"/>
          <w:color w:val="000000" w:themeColor="text1"/>
          <w:kern w:val="0"/>
          <w:sz w:val="24"/>
          <w:szCs w:val="24"/>
          <w:lang w:eastAsia="en-GB"/>
          <w14:ligatures w14:val="none"/>
        </w:rPr>
        <w:t xml:space="preserve">results reveal that it has taken 8-9 years for NGOs to enhance environmental disclosure </w:t>
      </w:r>
      <w:r w:rsidR="009D071D">
        <w:rPr>
          <w:rFonts w:ascii="Times New Roman" w:eastAsia="Times New Roman" w:hAnsi="Times New Roman" w:cs="Times New Roman"/>
          <w:color w:val="000000" w:themeColor="text1"/>
          <w:kern w:val="0"/>
          <w:sz w:val="24"/>
          <w:szCs w:val="24"/>
          <w:lang w:eastAsia="en-GB"/>
          <w14:ligatures w14:val="none"/>
        </w:rPr>
        <w:t>availability</w:t>
      </w:r>
      <w:r w:rsidR="003344BC">
        <w:rPr>
          <w:rFonts w:ascii="Times New Roman" w:eastAsia="Times New Roman" w:hAnsi="Times New Roman" w:cs="Times New Roman"/>
          <w:color w:val="000000" w:themeColor="text1"/>
          <w:kern w:val="0"/>
          <w:sz w:val="24"/>
          <w:szCs w:val="24"/>
          <w:lang w:eastAsia="en-GB"/>
          <w14:ligatures w14:val="none"/>
        </w:rPr>
        <w:t>,</w:t>
      </w:r>
      <w:r w:rsidR="009D071D">
        <w:rPr>
          <w:rFonts w:ascii="Times New Roman" w:eastAsia="Times New Roman" w:hAnsi="Times New Roman" w:cs="Times New Roman"/>
          <w:color w:val="000000" w:themeColor="text1"/>
          <w:kern w:val="0"/>
          <w:sz w:val="24"/>
          <w:szCs w:val="24"/>
          <w:lang w:eastAsia="en-GB"/>
          <w14:ligatures w14:val="none"/>
        </w:rPr>
        <w:t xml:space="preserve"> </w:t>
      </w:r>
      <w:r w:rsidR="003344BC">
        <w:rPr>
          <w:rFonts w:ascii="Times New Roman" w:eastAsia="Times New Roman" w:hAnsi="Times New Roman" w:cs="Times New Roman"/>
          <w:color w:val="000000" w:themeColor="text1"/>
          <w:kern w:val="0"/>
          <w:sz w:val="24"/>
          <w:szCs w:val="24"/>
          <w:lang w:eastAsia="en-GB"/>
          <w14:ligatures w14:val="none"/>
        </w:rPr>
        <w:t>at a statistically significant level.</w:t>
      </w:r>
    </w:p>
    <w:p w14:paraId="54956EE2" w14:textId="3B01F65A" w:rsidR="008C5699" w:rsidRPr="00631DE0" w:rsidRDefault="00116F5A" w:rsidP="008C5699">
      <w:pPr>
        <w:spacing w:after="120" w:line="360" w:lineRule="auto"/>
        <w:ind w:firstLine="0"/>
        <w:rPr>
          <w:rFonts w:ascii="Times New Roman" w:eastAsia="Times New Roman" w:hAnsi="Times New Roman" w:cs="Times New Roman"/>
          <w:color w:val="000000" w:themeColor="text1"/>
          <w:kern w:val="0"/>
          <w:sz w:val="24"/>
          <w:szCs w:val="24"/>
          <w:lang w:eastAsia="en-GB"/>
          <w14:ligatures w14:val="none"/>
        </w:rPr>
      </w:pPr>
      <w:r>
        <w:rPr>
          <w:rFonts w:ascii="Times New Roman" w:eastAsia="Times New Roman" w:hAnsi="Times New Roman" w:cs="Times New Roman"/>
          <w:color w:val="000000" w:themeColor="text1"/>
          <w:kern w:val="0"/>
          <w:sz w:val="24"/>
          <w:szCs w:val="24"/>
          <w:lang w:eastAsia="en-GB"/>
          <w14:ligatures w14:val="none"/>
        </w:rPr>
        <w:t>T</w:t>
      </w:r>
      <w:r w:rsidR="008C5699" w:rsidRPr="00631DE0">
        <w:rPr>
          <w:rFonts w:ascii="Times New Roman" w:eastAsia="Times New Roman" w:hAnsi="Times New Roman" w:cs="Times New Roman"/>
          <w:color w:val="000000" w:themeColor="text1"/>
          <w:kern w:val="0"/>
          <w:sz w:val="24"/>
          <w:szCs w:val="24"/>
          <w:lang w:eastAsia="en-GB"/>
          <w14:ligatures w14:val="none"/>
        </w:rPr>
        <w:t>he remainder of this paper is structured as follows: Section 2 reviews the literature and develops hypotheses; Section 3 details the methodology; Section 4 presents empirical results; and Section 5 discusses contributions, implications, limitations, and future research directions.</w:t>
      </w:r>
    </w:p>
    <w:p w14:paraId="1E457B51" w14:textId="33236FE9" w:rsidR="008C5699" w:rsidRPr="005B5DB4" w:rsidRDefault="005756A5" w:rsidP="00000292">
      <w:pPr>
        <w:spacing w:after="120"/>
        <w:ind w:firstLine="0"/>
        <w:rPr>
          <w:rFonts w:ascii="Times New Roman" w:eastAsia="Times New Roman" w:hAnsi="Times New Roman" w:cs="Times New Roman"/>
          <w:b/>
          <w:bCs/>
          <w:color w:val="FF0000"/>
          <w:kern w:val="0"/>
          <w:sz w:val="24"/>
          <w:szCs w:val="24"/>
          <w:lang w:eastAsia="en-GB"/>
          <w14:ligatures w14:val="none"/>
        </w:rPr>
      </w:pPr>
      <w:r w:rsidRPr="005B5DB4">
        <w:rPr>
          <w:rFonts w:ascii="Times New Roman" w:eastAsia="Times New Roman" w:hAnsi="Times New Roman" w:cs="Times New Roman"/>
          <w:b/>
          <w:bCs/>
          <w:color w:val="FF0000"/>
          <w:kern w:val="0"/>
          <w:sz w:val="24"/>
          <w:szCs w:val="24"/>
          <w:lang w:eastAsia="en-GB"/>
          <w14:ligatures w14:val="none"/>
        </w:rPr>
        <w:t>2</w:t>
      </w:r>
      <w:r w:rsidRPr="005B5DB4">
        <w:rPr>
          <w:rFonts w:ascii="Times New Roman" w:eastAsia="Times New Roman" w:hAnsi="Times New Roman" w:cs="Times New Roman"/>
          <w:color w:val="FF0000"/>
          <w:kern w:val="0"/>
          <w:sz w:val="24"/>
          <w:szCs w:val="24"/>
          <w:lang w:eastAsia="en-GB"/>
          <w14:ligatures w14:val="none"/>
        </w:rPr>
        <w:t xml:space="preserve">. </w:t>
      </w:r>
      <w:r w:rsidR="005B5DB4" w:rsidRPr="005B5DB4">
        <w:rPr>
          <w:rFonts w:ascii="Times New Roman" w:eastAsia="Times New Roman" w:hAnsi="Times New Roman" w:cs="Times New Roman"/>
          <w:b/>
          <w:bCs/>
          <w:color w:val="FF0000"/>
          <w:kern w:val="0"/>
          <w:sz w:val="24"/>
          <w:szCs w:val="24"/>
          <w:lang w:eastAsia="en-GB"/>
          <w14:ligatures w14:val="none"/>
        </w:rPr>
        <w:t>NGO</w:t>
      </w:r>
      <w:r w:rsidRPr="005B5DB4">
        <w:rPr>
          <w:rFonts w:ascii="Times New Roman" w:eastAsia="Times New Roman" w:hAnsi="Times New Roman" w:cs="Times New Roman"/>
          <w:b/>
          <w:bCs/>
          <w:color w:val="FF0000"/>
          <w:kern w:val="0"/>
          <w:sz w:val="24"/>
          <w:szCs w:val="24"/>
          <w:lang w:eastAsia="en-GB"/>
          <w14:ligatures w14:val="none"/>
        </w:rPr>
        <w:t xml:space="preserve"> Setting in United Kingdom</w:t>
      </w:r>
    </w:p>
    <w:p w14:paraId="0286E069" w14:textId="73FECD17" w:rsidR="00E661F1" w:rsidRPr="005B5DB4" w:rsidRDefault="00A57537" w:rsidP="003A0692">
      <w:pPr>
        <w:spacing w:after="120" w:line="360" w:lineRule="auto"/>
        <w:ind w:firstLine="0"/>
        <w:rPr>
          <w:rFonts w:ascii="Times New Roman" w:eastAsia="Times New Roman" w:hAnsi="Times New Roman" w:cs="Times New Roman"/>
          <w:color w:val="FF0000"/>
          <w:kern w:val="0"/>
          <w:sz w:val="24"/>
          <w:szCs w:val="24"/>
          <w:lang w:eastAsia="en-GB"/>
          <w14:ligatures w14:val="none"/>
        </w:rPr>
      </w:pPr>
      <w:r w:rsidRPr="005B5DB4">
        <w:rPr>
          <w:rFonts w:ascii="Times New Roman" w:eastAsia="Times New Roman" w:hAnsi="Times New Roman" w:cs="Times New Roman"/>
          <w:color w:val="FF0000"/>
          <w:kern w:val="0"/>
          <w:sz w:val="24"/>
          <w:szCs w:val="24"/>
          <w:lang w:eastAsia="en-GB"/>
          <w14:ligatures w14:val="none"/>
        </w:rPr>
        <w:t>Similar to other nations, the NGO sector in the UK functions within the third sector</w:t>
      </w:r>
      <w:r w:rsidR="00E6466E">
        <w:rPr>
          <w:rFonts w:ascii="Times New Roman" w:eastAsia="Times New Roman" w:hAnsi="Times New Roman" w:cs="Times New Roman"/>
          <w:color w:val="FF0000"/>
          <w:kern w:val="0"/>
          <w:sz w:val="24"/>
          <w:szCs w:val="24"/>
          <w:lang w:eastAsia="en-GB"/>
          <w14:ligatures w14:val="none"/>
        </w:rPr>
        <w:t>,</w:t>
      </w:r>
      <w:r w:rsidRPr="005B5DB4">
        <w:rPr>
          <w:rFonts w:ascii="Times New Roman" w:eastAsia="Times New Roman" w:hAnsi="Times New Roman" w:cs="Times New Roman"/>
          <w:color w:val="FF0000"/>
          <w:kern w:val="0"/>
          <w:sz w:val="24"/>
          <w:szCs w:val="24"/>
          <w:lang w:eastAsia="en-GB"/>
          <w14:ligatures w14:val="none"/>
        </w:rPr>
        <w:t xml:space="preserve"> majorly funded from various sources of income, including donations, public funds, grants, sponsorship, and the sale of goods and services (Connolly &amp; Hyndman, 2013; Salamon &amp; Sokowski, 2016). The sector has over 200,000 registered charities supported by about 924,000 employees, with a projected yearly income of £97 billion (Charity Commission for England and Wales, 2025). In legal form, the sector varies depending on whether the NGO has been registered as a </w:t>
      </w:r>
      <w:r w:rsidRPr="005B5DB4">
        <w:rPr>
          <w:rFonts w:ascii="Times New Roman" w:eastAsia="Times New Roman" w:hAnsi="Times New Roman" w:cs="Times New Roman"/>
          <w:color w:val="FF0000"/>
          <w:kern w:val="0"/>
          <w:sz w:val="24"/>
          <w:szCs w:val="24"/>
          <w:lang w:eastAsia="en-GB"/>
          <w14:ligatures w14:val="none"/>
        </w:rPr>
        <w:lastRenderedPageBreak/>
        <w:t xml:space="preserve">company limited by guarantee, a trust, a community association or an incorporated association (Bellante </w:t>
      </w:r>
      <w:r w:rsidRPr="005B5DB4">
        <w:rPr>
          <w:rFonts w:ascii="Times New Roman" w:eastAsia="Times New Roman" w:hAnsi="Times New Roman" w:cs="Times New Roman"/>
          <w:i/>
          <w:iCs/>
          <w:color w:val="FF0000"/>
          <w:kern w:val="0"/>
          <w:sz w:val="24"/>
          <w:szCs w:val="24"/>
          <w:lang w:eastAsia="en-GB"/>
          <w14:ligatures w14:val="none"/>
        </w:rPr>
        <w:t>et al</w:t>
      </w:r>
      <w:r w:rsidRPr="005B5DB4">
        <w:rPr>
          <w:rFonts w:ascii="Times New Roman" w:eastAsia="Times New Roman" w:hAnsi="Times New Roman" w:cs="Times New Roman"/>
          <w:color w:val="FF0000"/>
          <w:kern w:val="0"/>
          <w:sz w:val="24"/>
          <w:szCs w:val="24"/>
          <w:lang w:eastAsia="en-GB"/>
          <w14:ligatures w14:val="none"/>
        </w:rPr>
        <w:t>., 2016; Hyndman &amp; McConville, 2018). Despite the differences, NGOs in the UK aim to advance the society</w:t>
      </w:r>
      <w:r w:rsidR="00550130">
        <w:rPr>
          <w:rFonts w:ascii="Times New Roman" w:eastAsia="Times New Roman" w:hAnsi="Times New Roman" w:cs="Times New Roman"/>
          <w:color w:val="FF0000"/>
          <w:kern w:val="0"/>
          <w:sz w:val="24"/>
          <w:szCs w:val="24"/>
          <w:lang w:eastAsia="en-GB"/>
          <w14:ligatures w14:val="none"/>
        </w:rPr>
        <w:t>’</w:t>
      </w:r>
      <w:r w:rsidRPr="005B5DB4">
        <w:rPr>
          <w:rFonts w:ascii="Times New Roman" w:eastAsia="Times New Roman" w:hAnsi="Times New Roman" w:cs="Times New Roman"/>
          <w:color w:val="FF0000"/>
          <w:kern w:val="0"/>
          <w:sz w:val="24"/>
          <w:szCs w:val="24"/>
          <w:lang w:eastAsia="en-GB"/>
          <w14:ligatures w14:val="none"/>
        </w:rPr>
        <w:t xml:space="preserve">s wellbeing, spanning from social services and public welfare (Dhanani &amp; Connolly, 2012; Worth, 2020). In recent years, there has been a growing demand for accountability and transparency in the sector (Connolly </w:t>
      </w:r>
      <w:r w:rsidRPr="005B5DB4">
        <w:rPr>
          <w:rFonts w:ascii="Times New Roman" w:eastAsia="Times New Roman" w:hAnsi="Times New Roman" w:cs="Times New Roman"/>
          <w:i/>
          <w:iCs/>
          <w:color w:val="FF0000"/>
          <w:kern w:val="0"/>
          <w:sz w:val="24"/>
          <w:szCs w:val="24"/>
          <w:lang w:eastAsia="en-GB"/>
          <w14:ligatures w14:val="none"/>
        </w:rPr>
        <w:t>et al</w:t>
      </w:r>
      <w:r w:rsidRPr="005B5DB4">
        <w:rPr>
          <w:rFonts w:ascii="Times New Roman" w:eastAsia="Times New Roman" w:hAnsi="Times New Roman" w:cs="Times New Roman"/>
          <w:color w:val="FF0000"/>
          <w:kern w:val="0"/>
          <w:sz w:val="24"/>
          <w:szCs w:val="24"/>
          <w:lang w:eastAsia="en-GB"/>
          <w14:ligatures w14:val="none"/>
        </w:rPr>
        <w:t>., 2017; Hyndman &amp; McKillop, 2018). Central is the petition requiring the sector to emulate their charitable ethos given declining public trust and confidence in their accountability mechanisms (Bryce, 2016; Hyndman &amp; McConville, 2018; Kemp &amp; Morgan, 2019). Accordingly, literature suggests that NGOs in the UK face challenges in reporting their social impact performance, albeit a stream of studies acknowledging that disclosure promotes NGOs</w:t>
      </w:r>
      <w:r w:rsidR="00367D48">
        <w:rPr>
          <w:rFonts w:ascii="Times New Roman" w:eastAsia="Times New Roman" w:hAnsi="Times New Roman" w:cs="Times New Roman"/>
          <w:color w:val="FF0000"/>
          <w:kern w:val="0"/>
          <w:sz w:val="24"/>
          <w:szCs w:val="24"/>
          <w:lang w:eastAsia="en-GB"/>
          <w14:ligatures w14:val="none"/>
        </w:rPr>
        <w:t>’</w:t>
      </w:r>
      <w:r w:rsidRPr="005B5DB4">
        <w:rPr>
          <w:rFonts w:ascii="Times New Roman" w:eastAsia="Times New Roman" w:hAnsi="Times New Roman" w:cs="Times New Roman"/>
          <w:color w:val="FF0000"/>
          <w:kern w:val="0"/>
          <w:sz w:val="24"/>
          <w:szCs w:val="24"/>
          <w:lang w:eastAsia="en-GB"/>
          <w14:ligatures w14:val="none"/>
        </w:rPr>
        <w:t xml:space="preserve"> legitimacy (Connolly &amp; Hyndman, 2016; Lokman </w:t>
      </w:r>
      <w:r w:rsidRPr="005B5DB4">
        <w:rPr>
          <w:rFonts w:ascii="Times New Roman" w:eastAsia="Times New Roman" w:hAnsi="Times New Roman" w:cs="Times New Roman"/>
          <w:i/>
          <w:iCs/>
          <w:color w:val="FF0000"/>
          <w:kern w:val="0"/>
          <w:sz w:val="24"/>
          <w:szCs w:val="24"/>
          <w:lang w:eastAsia="en-GB"/>
          <w14:ligatures w14:val="none"/>
        </w:rPr>
        <w:t>et al</w:t>
      </w:r>
      <w:r w:rsidRPr="005B5DB4">
        <w:rPr>
          <w:rFonts w:ascii="Times New Roman" w:eastAsia="Times New Roman" w:hAnsi="Times New Roman" w:cs="Times New Roman"/>
          <w:color w:val="FF0000"/>
          <w:kern w:val="0"/>
          <w:sz w:val="24"/>
          <w:szCs w:val="24"/>
          <w:lang w:eastAsia="en-GB"/>
          <w14:ligatures w14:val="none"/>
        </w:rPr>
        <w:t xml:space="preserve">., 2023). For example, Kemp &amp; Morgan (2019) </w:t>
      </w:r>
      <w:r w:rsidR="00DC3B7F">
        <w:rPr>
          <w:rFonts w:ascii="Times New Roman" w:eastAsia="Times New Roman" w:hAnsi="Times New Roman" w:cs="Times New Roman"/>
          <w:color w:val="FF0000"/>
          <w:kern w:val="0"/>
          <w:sz w:val="24"/>
          <w:szCs w:val="24"/>
          <w:lang w:eastAsia="en-GB"/>
          <w14:ligatures w14:val="none"/>
        </w:rPr>
        <w:t>reports</w:t>
      </w:r>
      <w:r w:rsidR="00DC3B7F" w:rsidRPr="005B5DB4">
        <w:rPr>
          <w:rFonts w:ascii="Times New Roman" w:eastAsia="Times New Roman" w:hAnsi="Times New Roman" w:cs="Times New Roman"/>
          <w:color w:val="FF0000"/>
          <w:kern w:val="0"/>
          <w:sz w:val="24"/>
          <w:szCs w:val="24"/>
          <w:lang w:eastAsia="en-GB"/>
          <w14:ligatures w14:val="none"/>
        </w:rPr>
        <w:t xml:space="preserve"> </w:t>
      </w:r>
      <w:r w:rsidRPr="005B5DB4">
        <w:rPr>
          <w:rFonts w:ascii="Times New Roman" w:eastAsia="Times New Roman" w:hAnsi="Times New Roman" w:cs="Times New Roman"/>
          <w:color w:val="FF0000"/>
          <w:kern w:val="0"/>
          <w:sz w:val="24"/>
          <w:szCs w:val="24"/>
          <w:lang w:eastAsia="en-GB"/>
          <w14:ligatures w14:val="none"/>
        </w:rPr>
        <w:t xml:space="preserve">that UK NGOs, particularly the small ones, face challenges in reporting non-financial information. </w:t>
      </w:r>
      <w:r w:rsidR="00011FBE" w:rsidRPr="005B5DB4">
        <w:rPr>
          <w:rFonts w:ascii="Times New Roman" w:eastAsia="Times New Roman" w:hAnsi="Times New Roman" w:cs="Times New Roman"/>
          <w:color w:val="FF0000"/>
          <w:kern w:val="0"/>
          <w:sz w:val="24"/>
          <w:szCs w:val="24"/>
          <w:lang w:eastAsia="en-GB"/>
          <w14:ligatures w14:val="none"/>
        </w:rPr>
        <w:t xml:space="preserve">As suggested by researchers (Ebrahim, 2013; Ngo </w:t>
      </w:r>
      <w:r w:rsidR="00011FBE" w:rsidRPr="005B5DB4">
        <w:rPr>
          <w:rFonts w:ascii="Times New Roman" w:eastAsia="Times New Roman" w:hAnsi="Times New Roman" w:cs="Times New Roman"/>
          <w:i/>
          <w:iCs/>
          <w:color w:val="FF0000"/>
          <w:kern w:val="0"/>
          <w:sz w:val="24"/>
          <w:szCs w:val="24"/>
          <w:lang w:eastAsia="en-GB"/>
          <w14:ligatures w14:val="none"/>
        </w:rPr>
        <w:t>et al</w:t>
      </w:r>
      <w:r w:rsidR="00011FBE" w:rsidRPr="005B5DB4">
        <w:rPr>
          <w:rFonts w:ascii="Times New Roman" w:eastAsia="Times New Roman" w:hAnsi="Times New Roman" w:cs="Times New Roman"/>
          <w:color w:val="FF0000"/>
          <w:kern w:val="0"/>
          <w:sz w:val="24"/>
          <w:szCs w:val="24"/>
          <w:lang w:eastAsia="en-GB"/>
          <w14:ligatures w14:val="none"/>
        </w:rPr>
        <w:t>., 2024), t</w:t>
      </w:r>
      <w:r w:rsidRPr="005B5DB4">
        <w:rPr>
          <w:rFonts w:ascii="Times New Roman" w:eastAsia="Times New Roman" w:hAnsi="Times New Roman" w:cs="Times New Roman"/>
          <w:color w:val="FF0000"/>
          <w:kern w:val="0"/>
          <w:sz w:val="24"/>
          <w:szCs w:val="24"/>
          <w:lang w:eastAsia="en-GB"/>
          <w14:ligatures w14:val="none"/>
        </w:rPr>
        <w:t>hese problems arise from</w:t>
      </w:r>
      <w:r w:rsidR="00011FBE" w:rsidRPr="005B5DB4">
        <w:rPr>
          <w:rFonts w:ascii="Times New Roman" w:eastAsia="Times New Roman" w:hAnsi="Times New Roman" w:cs="Times New Roman"/>
          <w:color w:val="FF0000"/>
          <w:kern w:val="0"/>
          <w:sz w:val="24"/>
          <w:szCs w:val="24"/>
          <w:lang w:eastAsia="en-GB"/>
          <w14:ligatures w14:val="none"/>
        </w:rPr>
        <w:t xml:space="preserve"> </w:t>
      </w:r>
      <w:r w:rsidRPr="005B5DB4">
        <w:rPr>
          <w:rFonts w:ascii="Times New Roman" w:eastAsia="Times New Roman" w:hAnsi="Times New Roman" w:cs="Times New Roman"/>
          <w:color w:val="FF0000"/>
          <w:kern w:val="0"/>
          <w:sz w:val="24"/>
          <w:szCs w:val="24"/>
          <w:lang w:eastAsia="en-GB"/>
          <w14:ligatures w14:val="none"/>
        </w:rPr>
        <w:t>lack of adequate resources, inadequate training and paucity of guidelines</w:t>
      </w:r>
      <w:r w:rsidR="00011FBE" w:rsidRPr="005B5DB4">
        <w:rPr>
          <w:rFonts w:ascii="Times New Roman" w:eastAsia="Times New Roman" w:hAnsi="Times New Roman" w:cs="Times New Roman"/>
          <w:color w:val="FF0000"/>
          <w:kern w:val="0"/>
          <w:sz w:val="24"/>
          <w:szCs w:val="24"/>
          <w:lang w:eastAsia="en-GB"/>
          <w14:ligatures w14:val="none"/>
        </w:rPr>
        <w:t>, among others.</w:t>
      </w:r>
      <w:r w:rsidRPr="005B5DB4">
        <w:rPr>
          <w:rFonts w:ascii="Times New Roman" w:eastAsia="Times New Roman" w:hAnsi="Times New Roman" w:cs="Times New Roman"/>
          <w:color w:val="FF0000"/>
          <w:kern w:val="0"/>
          <w:sz w:val="24"/>
          <w:szCs w:val="24"/>
          <w:lang w:eastAsia="en-GB"/>
          <w14:ligatures w14:val="none"/>
        </w:rPr>
        <w:t xml:space="preserve"> </w:t>
      </w:r>
      <w:r w:rsidR="004A3096">
        <w:rPr>
          <w:rFonts w:ascii="Times New Roman" w:eastAsia="Times New Roman" w:hAnsi="Times New Roman" w:cs="Times New Roman"/>
          <w:color w:val="FF0000"/>
          <w:kern w:val="0"/>
          <w:sz w:val="24"/>
          <w:szCs w:val="24"/>
          <w:lang w:eastAsia="en-GB"/>
          <w14:ligatures w14:val="none"/>
        </w:rPr>
        <w:t>Given these constraints, academic tension exists at to whether NGOs may meet their non-financial reporting expectations.</w:t>
      </w:r>
    </w:p>
    <w:p w14:paraId="08A89106" w14:textId="110EEA23" w:rsidR="002F1381" w:rsidRPr="005B5DB4" w:rsidRDefault="00E661F1" w:rsidP="003A0692">
      <w:pPr>
        <w:spacing w:after="120" w:line="360" w:lineRule="auto"/>
        <w:ind w:firstLine="0"/>
        <w:rPr>
          <w:rFonts w:ascii="Times New Roman" w:eastAsia="Times New Roman" w:hAnsi="Times New Roman" w:cs="Times New Roman"/>
          <w:color w:val="FF0000"/>
          <w:kern w:val="0"/>
          <w:sz w:val="24"/>
          <w:szCs w:val="24"/>
          <w:lang w:eastAsia="en-GB"/>
          <w14:ligatures w14:val="none"/>
        </w:rPr>
      </w:pPr>
      <w:r w:rsidRPr="005B5DB4">
        <w:rPr>
          <w:rFonts w:ascii="Times New Roman" w:eastAsia="Times New Roman" w:hAnsi="Times New Roman" w:cs="Times New Roman"/>
          <w:color w:val="FF0000"/>
          <w:kern w:val="0"/>
          <w:sz w:val="24"/>
          <w:szCs w:val="24"/>
          <w:lang w:eastAsia="en-GB"/>
          <w14:ligatures w14:val="none"/>
        </w:rPr>
        <w:t>In line with other developed countries, the UK has established a raft of legislative measures to enhance NGOs</w:t>
      </w:r>
      <w:r w:rsidR="00EA301B">
        <w:rPr>
          <w:rFonts w:ascii="Times New Roman" w:eastAsia="Times New Roman" w:hAnsi="Times New Roman" w:cs="Times New Roman"/>
          <w:color w:val="FF0000"/>
          <w:kern w:val="0"/>
          <w:sz w:val="24"/>
          <w:szCs w:val="24"/>
          <w:lang w:eastAsia="en-GB"/>
          <w14:ligatures w14:val="none"/>
        </w:rPr>
        <w:t>’</w:t>
      </w:r>
      <w:r w:rsidRPr="005B5DB4">
        <w:rPr>
          <w:rFonts w:ascii="Times New Roman" w:eastAsia="Times New Roman" w:hAnsi="Times New Roman" w:cs="Times New Roman"/>
          <w:color w:val="FF0000"/>
          <w:kern w:val="0"/>
          <w:sz w:val="24"/>
          <w:szCs w:val="24"/>
          <w:lang w:eastAsia="en-GB"/>
          <w14:ligatures w14:val="none"/>
        </w:rPr>
        <w:t xml:space="preserve"> non-financial reporting </w:t>
      </w:r>
      <w:r w:rsidR="00C47E25">
        <w:rPr>
          <w:rFonts w:ascii="Times New Roman" w:eastAsia="Times New Roman" w:hAnsi="Times New Roman" w:cs="Times New Roman"/>
          <w:color w:val="FF0000"/>
          <w:kern w:val="0"/>
          <w:sz w:val="24"/>
          <w:szCs w:val="24"/>
          <w:lang w:eastAsia="en-GB"/>
          <w14:ligatures w14:val="none"/>
        </w:rPr>
        <w:t xml:space="preserve">information </w:t>
      </w:r>
      <w:r w:rsidRPr="005B5DB4">
        <w:rPr>
          <w:rFonts w:ascii="Times New Roman" w:eastAsia="Times New Roman" w:hAnsi="Times New Roman" w:cs="Times New Roman"/>
          <w:color w:val="FF0000"/>
          <w:kern w:val="0"/>
          <w:sz w:val="24"/>
          <w:szCs w:val="24"/>
          <w:lang w:eastAsia="en-GB"/>
          <w14:ligatures w14:val="none"/>
        </w:rPr>
        <w:t>(McConville, 2017; Hyndman &amp; McConville, 2018). Key to this are efforts to improve environmental performance disclosure for NGOs</w:t>
      </w:r>
      <w:r w:rsidR="00C47E25">
        <w:rPr>
          <w:rFonts w:ascii="Times New Roman" w:eastAsia="Times New Roman" w:hAnsi="Times New Roman" w:cs="Times New Roman"/>
          <w:color w:val="FF0000"/>
          <w:kern w:val="0"/>
          <w:sz w:val="24"/>
          <w:szCs w:val="24"/>
          <w:lang w:eastAsia="en-GB"/>
          <w14:ligatures w14:val="none"/>
        </w:rPr>
        <w:t>,</w:t>
      </w:r>
      <w:r w:rsidRPr="005B5DB4">
        <w:rPr>
          <w:rFonts w:ascii="Times New Roman" w:eastAsia="Times New Roman" w:hAnsi="Times New Roman" w:cs="Times New Roman"/>
          <w:color w:val="FF0000"/>
          <w:kern w:val="0"/>
          <w:sz w:val="24"/>
          <w:szCs w:val="24"/>
          <w:lang w:eastAsia="en-GB"/>
          <w14:ligatures w14:val="none"/>
        </w:rPr>
        <w:t xml:space="preserve"> in an attempt to win their support for the race to</w:t>
      </w:r>
      <w:r w:rsidR="00011FBE" w:rsidRPr="005B5DB4">
        <w:rPr>
          <w:rFonts w:ascii="Times New Roman" w:eastAsia="Times New Roman" w:hAnsi="Times New Roman" w:cs="Times New Roman"/>
          <w:color w:val="FF0000"/>
          <w:kern w:val="0"/>
          <w:sz w:val="24"/>
          <w:szCs w:val="24"/>
          <w:lang w:eastAsia="en-GB"/>
          <w14:ligatures w14:val="none"/>
        </w:rPr>
        <w:t xml:space="preserve"> </w:t>
      </w:r>
      <w:r w:rsidRPr="005B5DB4">
        <w:rPr>
          <w:rFonts w:ascii="Times New Roman" w:eastAsia="Times New Roman" w:hAnsi="Times New Roman" w:cs="Times New Roman"/>
          <w:color w:val="FF0000"/>
          <w:kern w:val="0"/>
          <w:sz w:val="24"/>
          <w:szCs w:val="24"/>
          <w:lang w:eastAsia="en-GB"/>
          <w14:ligatures w14:val="none"/>
        </w:rPr>
        <w:t xml:space="preserve">net zero carbon emissions by 2050 (Connolly </w:t>
      </w:r>
      <w:r w:rsidRPr="005B5DB4">
        <w:rPr>
          <w:rFonts w:ascii="Times New Roman" w:eastAsia="Times New Roman" w:hAnsi="Times New Roman" w:cs="Times New Roman"/>
          <w:i/>
          <w:iCs/>
          <w:color w:val="FF0000"/>
          <w:kern w:val="0"/>
          <w:sz w:val="24"/>
          <w:szCs w:val="24"/>
          <w:lang w:eastAsia="en-GB"/>
          <w14:ligatures w14:val="none"/>
        </w:rPr>
        <w:t>et al</w:t>
      </w:r>
      <w:r w:rsidRPr="005B5DB4">
        <w:rPr>
          <w:rFonts w:ascii="Times New Roman" w:eastAsia="Times New Roman" w:hAnsi="Times New Roman" w:cs="Times New Roman"/>
          <w:color w:val="FF0000"/>
          <w:kern w:val="0"/>
          <w:sz w:val="24"/>
          <w:szCs w:val="24"/>
          <w:lang w:eastAsia="en-GB"/>
          <w14:ligatures w14:val="none"/>
        </w:rPr>
        <w:t>., 2017). As such, numerous guidelines have been dispensed, including streamlined energy and carbon reporting (SECR), the Taskforce on Climate-related Financial Disclosure (TCFD), S172,</w:t>
      </w:r>
      <w:r w:rsidR="004018D9" w:rsidRPr="005B5DB4">
        <w:rPr>
          <w:rFonts w:ascii="Times New Roman" w:eastAsia="Times New Roman" w:hAnsi="Times New Roman" w:cs="Times New Roman"/>
          <w:color w:val="FF0000"/>
          <w:kern w:val="0"/>
          <w:sz w:val="24"/>
          <w:szCs w:val="24"/>
          <w:lang w:eastAsia="en-GB"/>
          <w14:ligatures w14:val="none"/>
        </w:rPr>
        <w:t xml:space="preserve"> the</w:t>
      </w:r>
      <w:r w:rsidRPr="005B5DB4">
        <w:rPr>
          <w:rFonts w:ascii="Times New Roman" w:eastAsia="Times New Roman" w:hAnsi="Times New Roman" w:cs="Times New Roman"/>
          <w:color w:val="FF0000"/>
          <w:kern w:val="0"/>
          <w:sz w:val="24"/>
          <w:szCs w:val="24"/>
          <w:lang w:eastAsia="en-GB"/>
          <w14:ligatures w14:val="none"/>
        </w:rPr>
        <w:t xml:space="preserve"> Charity Information Sheet 5, the Charity Governance Code, the Standard Carbon Emissions Framework (SCEF) and</w:t>
      </w:r>
      <w:r w:rsidR="00305673" w:rsidRPr="005B5DB4">
        <w:rPr>
          <w:rFonts w:ascii="Times New Roman" w:eastAsia="Times New Roman" w:hAnsi="Times New Roman" w:cs="Times New Roman"/>
          <w:color w:val="FF0000"/>
          <w:kern w:val="0"/>
          <w:sz w:val="24"/>
          <w:szCs w:val="24"/>
          <w:lang w:eastAsia="en-GB"/>
          <w14:ligatures w14:val="none"/>
        </w:rPr>
        <w:t xml:space="preserve"> the</w:t>
      </w:r>
      <w:r w:rsidRPr="005B5DB4">
        <w:rPr>
          <w:rFonts w:ascii="Times New Roman" w:eastAsia="Times New Roman" w:hAnsi="Times New Roman" w:cs="Times New Roman"/>
          <w:color w:val="FF0000"/>
          <w:kern w:val="0"/>
          <w:sz w:val="24"/>
          <w:szCs w:val="24"/>
          <w:lang w:eastAsia="en-GB"/>
          <w14:ligatures w14:val="none"/>
        </w:rPr>
        <w:t xml:space="preserve"> sustainability reporting standards.</w:t>
      </w:r>
      <w:r w:rsidR="00305673" w:rsidRPr="005B5DB4">
        <w:rPr>
          <w:rFonts w:ascii="Times New Roman" w:eastAsia="Times New Roman" w:hAnsi="Times New Roman" w:cs="Times New Roman"/>
          <w:color w:val="FF0000"/>
          <w:kern w:val="0"/>
          <w:sz w:val="24"/>
          <w:szCs w:val="24"/>
          <w:lang w:eastAsia="en-GB"/>
          <w14:ligatures w14:val="none"/>
        </w:rPr>
        <w:t xml:space="preserve"> </w:t>
      </w:r>
      <w:r w:rsidR="004018D9" w:rsidRPr="005B5DB4">
        <w:rPr>
          <w:rFonts w:ascii="Times New Roman" w:eastAsia="Times New Roman" w:hAnsi="Times New Roman" w:cs="Times New Roman"/>
          <w:color w:val="FF0000"/>
          <w:kern w:val="0"/>
          <w:sz w:val="24"/>
          <w:szCs w:val="24"/>
          <w:lang w:eastAsia="en-GB"/>
          <w14:ligatures w14:val="none"/>
        </w:rPr>
        <w:t>Thus, the reporting requirements of these</w:t>
      </w:r>
      <w:r w:rsidR="00305673" w:rsidRPr="005B5DB4">
        <w:rPr>
          <w:rFonts w:ascii="Times New Roman" w:eastAsia="Times New Roman" w:hAnsi="Times New Roman" w:cs="Times New Roman"/>
          <w:color w:val="FF0000"/>
          <w:kern w:val="0"/>
          <w:sz w:val="24"/>
          <w:szCs w:val="24"/>
          <w:lang w:eastAsia="en-GB"/>
          <w14:ligatures w14:val="none"/>
        </w:rPr>
        <w:t xml:space="preserve"> accountability</w:t>
      </w:r>
      <w:r w:rsidR="004018D9" w:rsidRPr="005B5DB4">
        <w:rPr>
          <w:rFonts w:ascii="Times New Roman" w:eastAsia="Times New Roman" w:hAnsi="Times New Roman" w:cs="Times New Roman"/>
          <w:color w:val="FF0000"/>
          <w:kern w:val="0"/>
          <w:sz w:val="24"/>
          <w:szCs w:val="24"/>
          <w:lang w:eastAsia="en-GB"/>
          <w14:ligatures w14:val="none"/>
        </w:rPr>
        <w:t xml:space="preserve"> measures are subject to NGOs</w:t>
      </w:r>
      <w:r w:rsidR="00F80A50">
        <w:rPr>
          <w:rFonts w:ascii="Times New Roman" w:eastAsia="Times New Roman" w:hAnsi="Times New Roman" w:cs="Times New Roman"/>
          <w:color w:val="FF0000"/>
          <w:kern w:val="0"/>
          <w:sz w:val="24"/>
          <w:szCs w:val="24"/>
          <w:lang w:eastAsia="en-GB"/>
          <w14:ligatures w14:val="none"/>
        </w:rPr>
        <w:t>’</w:t>
      </w:r>
      <w:r w:rsidR="004018D9" w:rsidRPr="005B5DB4">
        <w:rPr>
          <w:rFonts w:ascii="Times New Roman" w:eastAsia="Times New Roman" w:hAnsi="Times New Roman" w:cs="Times New Roman"/>
          <w:color w:val="FF0000"/>
          <w:kern w:val="0"/>
          <w:sz w:val="24"/>
          <w:szCs w:val="24"/>
          <w:lang w:eastAsia="en-GB"/>
          <w14:ligatures w14:val="none"/>
        </w:rPr>
        <w:t xml:space="preserve"> gross income and whether they are registered as an incorporated company or an unincorporated one (Pariag</w:t>
      </w:r>
      <w:r w:rsidR="00550130">
        <w:rPr>
          <w:rFonts w:ascii="Times New Roman" w:eastAsia="Times New Roman" w:hAnsi="Times New Roman" w:cs="Times New Roman"/>
          <w:color w:val="FF0000"/>
          <w:kern w:val="0"/>
          <w:sz w:val="24"/>
          <w:szCs w:val="24"/>
          <w:lang w:eastAsia="en-GB"/>
          <w14:ligatures w14:val="none"/>
        </w:rPr>
        <w:t>-</w:t>
      </w:r>
      <w:r w:rsidR="004018D9" w:rsidRPr="005B5DB4">
        <w:rPr>
          <w:rFonts w:ascii="Times New Roman" w:eastAsia="Times New Roman" w:hAnsi="Times New Roman" w:cs="Times New Roman"/>
          <w:color w:val="FF0000"/>
          <w:kern w:val="0"/>
          <w:sz w:val="24"/>
          <w:szCs w:val="24"/>
          <w:lang w:eastAsia="en-GB"/>
          <w14:ligatures w14:val="none"/>
        </w:rPr>
        <w:t xml:space="preserve">Maraye </w:t>
      </w:r>
      <w:r w:rsidR="004018D9" w:rsidRPr="005B5DB4">
        <w:rPr>
          <w:rFonts w:ascii="Times New Roman" w:eastAsia="Times New Roman" w:hAnsi="Times New Roman" w:cs="Times New Roman"/>
          <w:i/>
          <w:iCs/>
          <w:color w:val="FF0000"/>
          <w:kern w:val="0"/>
          <w:sz w:val="24"/>
          <w:szCs w:val="24"/>
          <w:lang w:eastAsia="en-GB"/>
          <w14:ligatures w14:val="none"/>
        </w:rPr>
        <w:t>et al</w:t>
      </w:r>
      <w:r w:rsidR="004018D9" w:rsidRPr="005B5DB4">
        <w:rPr>
          <w:rFonts w:ascii="Times New Roman" w:eastAsia="Times New Roman" w:hAnsi="Times New Roman" w:cs="Times New Roman"/>
          <w:color w:val="FF0000"/>
          <w:kern w:val="0"/>
          <w:sz w:val="24"/>
          <w:szCs w:val="24"/>
          <w:lang w:eastAsia="en-GB"/>
          <w14:ligatures w14:val="none"/>
        </w:rPr>
        <w:t xml:space="preserve">., 2022). Accordingly, NGOs that are registered as companies are required by the regulatory authorities to comply with the SECR and TCFD and to produce an S172 statement. For instance, SECR mandates all large </w:t>
      </w:r>
      <w:r w:rsidR="00802B54">
        <w:rPr>
          <w:rFonts w:ascii="Times New Roman" w:eastAsia="Times New Roman" w:hAnsi="Times New Roman" w:cs="Times New Roman"/>
          <w:color w:val="FF0000"/>
          <w:kern w:val="0"/>
          <w:sz w:val="24"/>
          <w:szCs w:val="24"/>
          <w:lang w:eastAsia="en-GB"/>
          <w14:ligatures w14:val="none"/>
        </w:rPr>
        <w:t>unlisted</w:t>
      </w:r>
      <w:r w:rsidR="00802B54" w:rsidRPr="005B5DB4">
        <w:rPr>
          <w:rFonts w:ascii="Times New Roman" w:eastAsia="Times New Roman" w:hAnsi="Times New Roman" w:cs="Times New Roman"/>
          <w:color w:val="FF0000"/>
          <w:kern w:val="0"/>
          <w:sz w:val="24"/>
          <w:szCs w:val="24"/>
          <w:lang w:eastAsia="en-GB"/>
          <w14:ligatures w14:val="none"/>
        </w:rPr>
        <w:t xml:space="preserve"> </w:t>
      </w:r>
      <w:r w:rsidR="004018D9" w:rsidRPr="005B5DB4">
        <w:rPr>
          <w:rFonts w:ascii="Times New Roman" w:eastAsia="Times New Roman" w:hAnsi="Times New Roman" w:cs="Times New Roman"/>
          <w:color w:val="FF0000"/>
          <w:kern w:val="0"/>
          <w:sz w:val="24"/>
          <w:szCs w:val="24"/>
          <w:lang w:eastAsia="en-GB"/>
          <w14:ligatures w14:val="none"/>
        </w:rPr>
        <w:t xml:space="preserve">NGOs with a turnover of £36M or more, a total balance sheet of £18M or more and 250 or more employees, to disclose annually the following: energy use, associated green gas emission, intensity ratio, energy efficiency action taken, methodology used, and last year figures for energy use and GHC emission. </w:t>
      </w:r>
    </w:p>
    <w:p w14:paraId="05ADEA44" w14:textId="19EB373B" w:rsidR="00305673" w:rsidRPr="005B5DB4" w:rsidRDefault="002F1381" w:rsidP="003A0692">
      <w:pPr>
        <w:spacing w:after="120" w:line="360" w:lineRule="auto"/>
        <w:ind w:firstLine="0"/>
        <w:rPr>
          <w:rFonts w:ascii="Times New Roman" w:eastAsia="Times New Roman" w:hAnsi="Times New Roman" w:cs="Times New Roman"/>
          <w:color w:val="FF0000"/>
          <w:kern w:val="0"/>
          <w:sz w:val="24"/>
          <w:szCs w:val="24"/>
          <w:lang w:eastAsia="en-GB"/>
          <w14:ligatures w14:val="none"/>
        </w:rPr>
      </w:pPr>
      <w:r w:rsidRPr="005B5DB4">
        <w:rPr>
          <w:rFonts w:ascii="Times New Roman" w:eastAsia="Times New Roman" w:hAnsi="Times New Roman" w:cs="Times New Roman"/>
          <w:color w:val="FF0000"/>
          <w:kern w:val="0"/>
          <w:sz w:val="24"/>
          <w:szCs w:val="24"/>
          <w:lang w:eastAsia="en-GB"/>
          <w14:ligatures w14:val="none"/>
        </w:rPr>
        <w:lastRenderedPageBreak/>
        <w:t xml:space="preserve"> </w:t>
      </w:r>
      <w:r w:rsidR="004018D9" w:rsidRPr="005B5DB4">
        <w:rPr>
          <w:rFonts w:ascii="Times New Roman" w:eastAsia="Times New Roman" w:hAnsi="Times New Roman" w:cs="Times New Roman"/>
          <w:color w:val="FF0000"/>
          <w:kern w:val="0"/>
          <w:sz w:val="24"/>
          <w:szCs w:val="24"/>
          <w:lang w:eastAsia="en-GB"/>
          <w14:ligatures w14:val="none"/>
        </w:rPr>
        <w:t xml:space="preserve">Additionally, Sec 172 (1) of the Company Act 2006 requires large NGOs to provide a strategic report detailing the effect of their operations on the community and environment. Furthermore, large </w:t>
      </w:r>
      <w:r w:rsidR="00802B54">
        <w:rPr>
          <w:rFonts w:ascii="Times New Roman" w:eastAsia="Times New Roman" w:hAnsi="Times New Roman" w:cs="Times New Roman"/>
          <w:color w:val="FF0000"/>
          <w:kern w:val="0"/>
          <w:sz w:val="24"/>
          <w:szCs w:val="24"/>
          <w:lang w:eastAsia="en-GB"/>
          <w14:ligatures w14:val="none"/>
        </w:rPr>
        <w:t>unlisted</w:t>
      </w:r>
      <w:r w:rsidR="00802B54" w:rsidRPr="005B5DB4">
        <w:rPr>
          <w:rFonts w:ascii="Times New Roman" w:eastAsia="Times New Roman" w:hAnsi="Times New Roman" w:cs="Times New Roman"/>
          <w:color w:val="FF0000"/>
          <w:kern w:val="0"/>
          <w:sz w:val="24"/>
          <w:szCs w:val="24"/>
          <w:lang w:eastAsia="en-GB"/>
          <w14:ligatures w14:val="none"/>
        </w:rPr>
        <w:t xml:space="preserve"> </w:t>
      </w:r>
      <w:r w:rsidR="004018D9" w:rsidRPr="005B5DB4">
        <w:rPr>
          <w:rFonts w:ascii="Times New Roman" w:eastAsia="Times New Roman" w:hAnsi="Times New Roman" w:cs="Times New Roman"/>
          <w:color w:val="FF0000"/>
          <w:kern w:val="0"/>
          <w:sz w:val="24"/>
          <w:szCs w:val="24"/>
          <w:lang w:eastAsia="en-GB"/>
          <w14:ligatures w14:val="none"/>
        </w:rPr>
        <w:t>NGOs are required to disclose climate metrics and targets as defined by the Taskforce on Climate-Related Financial Disclosure. Lastly, charity information sheet 5 prescribes that large UK NGOs shall submit a statement of recommended practice (SORP) with information explaining how they have adopted low-energy users. Besides, other additional guidelines, such as the charity governance code, the sustainability reporting standards and the accountability charter, also serve as a source of environmental reporting references (Grant Thorton, 2023; Hyndman &amp; McConville, 2018).</w:t>
      </w:r>
      <w:bookmarkStart w:id="4" w:name="_Hlk208760942"/>
      <w:r w:rsidR="00305673" w:rsidRPr="005B5DB4">
        <w:rPr>
          <w:rFonts w:ascii="Times New Roman" w:eastAsia="Times New Roman" w:hAnsi="Times New Roman" w:cs="Times New Roman"/>
          <w:color w:val="FF0000"/>
          <w:kern w:val="0"/>
          <w:sz w:val="24"/>
          <w:szCs w:val="24"/>
          <w:lang w:eastAsia="en-GB"/>
          <w14:ligatures w14:val="none"/>
        </w:rPr>
        <w:t xml:space="preserve"> Besides, Smaller NGOs may choose to report voluntarily to enhance their legitimacy (Bellante et al., 2018; Connolly et al., 2017). </w:t>
      </w:r>
      <w:r w:rsidR="00E544B6" w:rsidRPr="005B5DB4">
        <w:rPr>
          <w:rFonts w:ascii="Times New Roman" w:eastAsia="Times New Roman" w:hAnsi="Times New Roman" w:cs="Times New Roman"/>
          <w:color w:val="FF0000"/>
          <w:kern w:val="0"/>
          <w:sz w:val="24"/>
          <w:szCs w:val="24"/>
          <w:lang w:eastAsia="en-GB"/>
          <w14:ligatures w14:val="none"/>
        </w:rPr>
        <w:t>This initiative</w:t>
      </w:r>
      <w:r w:rsidR="00305673" w:rsidRPr="005B5DB4">
        <w:rPr>
          <w:rFonts w:ascii="Times New Roman" w:eastAsia="Times New Roman" w:hAnsi="Times New Roman" w:cs="Times New Roman"/>
          <w:color w:val="FF0000"/>
          <w:kern w:val="0"/>
          <w:sz w:val="24"/>
          <w:szCs w:val="24"/>
          <w:lang w:eastAsia="en-GB"/>
          <w14:ligatures w14:val="none"/>
        </w:rPr>
        <w:t xml:space="preserve"> has been led by the National Council of Voluntary Organisations (NCVO), an independent organisation in England, is central to this topic, as it offers guidelines aimed at encouraging members to report their environmental performance (Dhanani &amp; Connolly, 2012; Connolly et al., 2017). Existing research </w:t>
      </w:r>
      <w:r w:rsidR="0012343A">
        <w:rPr>
          <w:rFonts w:ascii="Times New Roman" w:eastAsia="Times New Roman" w:hAnsi="Times New Roman" w:cs="Times New Roman"/>
          <w:color w:val="FF0000"/>
          <w:kern w:val="0"/>
          <w:sz w:val="24"/>
          <w:szCs w:val="24"/>
          <w:lang w:eastAsia="en-GB"/>
          <w14:ligatures w14:val="none"/>
        </w:rPr>
        <w:t>suggests</w:t>
      </w:r>
      <w:r w:rsidR="0012343A" w:rsidRPr="005B5DB4">
        <w:rPr>
          <w:rFonts w:ascii="Times New Roman" w:eastAsia="Times New Roman" w:hAnsi="Times New Roman" w:cs="Times New Roman"/>
          <w:color w:val="FF0000"/>
          <w:kern w:val="0"/>
          <w:sz w:val="24"/>
          <w:szCs w:val="24"/>
          <w:lang w:eastAsia="en-GB"/>
          <w14:ligatures w14:val="none"/>
        </w:rPr>
        <w:t xml:space="preserve"> </w:t>
      </w:r>
      <w:r w:rsidR="00305673" w:rsidRPr="005B5DB4">
        <w:rPr>
          <w:rFonts w:ascii="Times New Roman" w:eastAsia="Times New Roman" w:hAnsi="Times New Roman" w:cs="Times New Roman"/>
          <w:color w:val="FF0000"/>
          <w:kern w:val="0"/>
          <w:sz w:val="24"/>
          <w:szCs w:val="24"/>
          <w:lang w:eastAsia="en-GB"/>
          <w14:ligatures w14:val="none"/>
        </w:rPr>
        <w:t>that disclosure practices can enhance NGOs</w:t>
      </w:r>
      <w:r w:rsidR="0012343A">
        <w:rPr>
          <w:rFonts w:ascii="Times New Roman" w:eastAsia="Times New Roman" w:hAnsi="Times New Roman" w:cs="Times New Roman"/>
          <w:color w:val="FF0000"/>
          <w:kern w:val="0"/>
          <w:sz w:val="24"/>
          <w:szCs w:val="24"/>
          <w:lang w:eastAsia="en-GB"/>
          <w14:ligatures w14:val="none"/>
        </w:rPr>
        <w:t>’</w:t>
      </w:r>
      <w:r w:rsidR="00305673" w:rsidRPr="005B5DB4">
        <w:rPr>
          <w:rFonts w:ascii="Times New Roman" w:eastAsia="Times New Roman" w:hAnsi="Times New Roman" w:cs="Times New Roman"/>
          <w:color w:val="FF0000"/>
          <w:kern w:val="0"/>
          <w:sz w:val="24"/>
          <w:szCs w:val="24"/>
          <w:lang w:eastAsia="en-GB"/>
          <w14:ligatures w14:val="none"/>
        </w:rPr>
        <w:t xml:space="preserve"> social contract with pertinent stakeholders (Dhanani &amp; Conolly, 2012). Prior studies </w:t>
      </w:r>
      <w:r w:rsidR="0012343A">
        <w:rPr>
          <w:rFonts w:ascii="Times New Roman" w:eastAsia="Times New Roman" w:hAnsi="Times New Roman" w:cs="Times New Roman"/>
          <w:color w:val="FF0000"/>
          <w:kern w:val="0"/>
          <w:sz w:val="24"/>
          <w:szCs w:val="24"/>
          <w:lang w:eastAsia="en-GB"/>
          <w14:ligatures w14:val="none"/>
        </w:rPr>
        <w:t xml:space="preserve">also </w:t>
      </w:r>
      <w:r w:rsidR="00305673" w:rsidRPr="005B5DB4">
        <w:rPr>
          <w:rFonts w:ascii="Times New Roman" w:eastAsia="Times New Roman" w:hAnsi="Times New Roman" w:cs="Times New Roman"/>
          <w:color w:val="FF0000"/>
          <w:kern w:val="0"/>
          <w:sz w:val="24"/>
          <w:szCs w:val="24"/>
          <w:lang w:eastAsia="en-GB"/>
          <w14:ligatures w14:val="none"/>
        </w:rPr>
        <w:t>indicate incremental reporting on UK NGOs</w:t>
      </w:r>
      <w:r w:rsidR="00011FBE" w:rsidRPr="005B5DB4">
        <w:rPr>
          <w:rFonts w:ascii="Times New Roman" w:eastAsia="Times New Roman" w:hAnsi="Times New Roman" w:cs="Times New Roman"/>
          <w:color w:val="FF0000"/>
          <w:kern w:val="0"/>
          <w:sz w:val="24"/>
          <w:szCs w:val="24"/>
          <w:lang w:eastAsia="en-GB"/>
          <w14:ligatures w14:val="none"/>
        </w:rPr>
        <w:t>,</w:t>
      </w:r>
      <w:r w:rsidR="00305673" w:rsidRPr="005B5DB4">
        <w:rPr>
          <w:rFonts w:ascii="Times New Roman" w:eastAsia="Times New Roman" w:hAnsi="Times New Roman" w:cs="Times New Roman"/>
          <w:color w:val="FF0000"/>
          <w:kern w:val="0"/>
          <w:sz w:val="24"/>
          <w:szCs w:val="24"/>
          <w:lang w:eastAsia="en-GB"/>
          <w14:ligatures w14:val="none"/>
        </w:rPr>
        <w:t xml:space="preserve"> al</w:t>
      </w:r>
      <w:r w:rsidR="00011FBE" w:rsidRPr="005B5DB4">
        <w:rPr>
          <w:rFonts w:ascii="Times New Roman" w:eastAsia="Times New Roman" w:hAnsi="Times New Roman" w:cs="Times New Roman"/>
          <w:color w:val="FF0000"/>
          <w:kern w:val="0"/>
          <w:sz w:val="24"/>
          <w:szCs w:val="24"/>
          <w:lang w:eastAsia="en-GB"/>
          <w14:ligatures w14:val="none"/>
        </w:rPr>
        <w:t>beit,</w:t>
      </w:r>
      <w:r w:rsidR="00305673" w:rsidRPr="005B5DB4">
        <w:rPr>
          <w:rFonts w:ascii="Times New Roman" w:eastAsia="Times New Roman" w:hAnsi="Times New Roman" w:cs="Times New Roman"/>
          <w:color w:val="FF0000"/>
          <w:kern w:val="0"/>
          <w:sz w:val="24"/>
          <w:szCs w:val="24"/>
          <w:lang w:eastAsia="en-GB"/>
          <w14:ligatures w14:val="none"/>
        </w:rPr>
        <w:t xml:space="preserve"> this occurs in a less structured manner (McConville &amp; Hyndman, 2015; Pariag</w:t>
      </w:r>
      <w:r w:rsidR="00550130">
        <w:rPr>
          <w:rFonts w:ascii="Times New Roman" w:eastAsia="Times New Roman" w:hAnsi="Times New Roman" w:cs="Times New Roman"/>
          <w:color w:val="FF0000"/>
          <w:kern w:val="0"/>
          <w:sz w:val="24"/>
          <w:szCs w:val="24"/>
          <w:lang w:eastAsia="en-GB"/>
          <w14:ligatures w14:val="none"/>
        </w:rPr>
        <w:t>-</w:t>
      </w:r>
      <w:r w:rsidR="00305673" w:rsidRPr="005B5DB4">
        <w:rPr>
          <w:rFonts w:ascii="Times New Roman" w:eastAsia="Times New Roman" w:hAnsi="Times New Roman" w:cs="Times New Roman"/>
          <w:color w:val="FF0000"/>
          <w:kern w:val="0"/>
          <w:sz w:val="24"/>
          <w:szCs w:val="24"/>
          <w:lang w:eastAsia="en-GB"/>
          <w14:ligatures w14:val="none"/>
        </w:rPr>
        <w:t>Maraye et al., 2022).</w:t>
      </w:r>
      <w:r w:rsidR="00011FBE" w:rsidRPr="005B5DB4">
        <w:rPr>
          <w:rFonts w:ascii="Times New Roman" w:eastAsia="Times New Roman" w:hAnsi="Times New Roman" w:cs="Times New Roman"/>
          <w:color w:val="FF0000"/>
          <w:kern w:val="0"/>
          <w:sz w:val="24"/>
          <w:szCs w:val="24"/>
          <w:lang w:eastAsia="en-GB"/>
          <w14:ligatures w14:val="none"/>
        </w:rPr>
        <w:t xml:space="preserve"> Therefore, establishing the driver of the disclosure and whether this is growing with passage of time or not, is an important inquiry that may contribute to NGO environmental literature and policy development as well.</w:t>
      </w:r>
    </w:p>
    <w:bookmarkEnd w:id="4"/>
    <w:p w14:paraId="761A276C" w14:textId="227399DF" w:rsidR="002D2D53" w:rsidRPr="00631DE0" w:rsidRDefault="005756A5" w:rsidP="00146467">
      <w:pPr>
        <w:suppressAutoHyphens/>
        <w:autoSpaceDN w:val="0"/>
        <w:spacing w:after="120" w:line="360" w:lineRule="auto"/>
        <w:ind w:firstLine="0"/>
        <w:textAlignment w:val="baseline"/>
        <w:rPr>
          <w:rFonts w:ascii="Times New Roman" w:hAnsi="Times New Roman"/>
          <w:b/>
          <w:bCs/>
          <w:color w:val="000000" w:themeColor="text1"/>
          <w:sz w:val="24"/>
          <w:szCs w:val="24"/>
        </w:rPr>
      </w:pPr>
      <w:r w:rsidRPr="00631DE0">
        <w:rPr>
          <w:rFonts w:ascii="Times New Roman" w:hAnsi="Times New Roman"/>
          <w:b/>
          <w:bCs/>
          <w:color w:val="000000" w:themeColor="text1"/>
          <w:sz w:val="24"/>
          <w:szCs w:val="24"/>
        </w:rPr>
        <w:t>3</w:t>
      </w:r>
      <w:r w:rsidR="00796261" w:rsidRPr="00631DE0">
        <w:rPr>
          <w:rFonts w:ascii="Times New Roman" w:hAnsi="Times New Roman"/>
          <w:b/>
          <w:bCs/>
          <w:color w:val="000000" w:themeColor="text1"/>
          <w:sz w:val="24"/>
          <w:szCs w:val="24"/>
        </w:rPr>
        <w:t>.</w:t>
      </w:r>
      <w:r w:rsidR="006F599E" w:rsidRPr="00631DE0">
        <w:rPr>
          <w:rFonts w:ascii="Times New Roman" w:hAnsi="Times New Roman"/>
          <w:b/>
          <w:bCs/>
          <w:color w:val="000000" w:themeColor="text1"/>
          <w:sz w:val="24"/>
          <w:szCs w:val="24"/>
        </w:rPr>
        <w:t xml:space="preserve"> Literature Review </w:t>
      </w:r>
      <w:r w:rsidR="00796261" w:rsidRPr="00631DE0">
        <w:rPr>
          <w:rFonts w:ascii="Times New Roman" w:hAnsi="Times New Roman"/>
          <w:b/>
          <w:bCs/>
          <w:color w:val="000000" w:themeColor="text1"/>
          <w:sz w:val="24"/>
          <w:szCs w:val="24"/>
        </w:rPr>
        <w:t>&amp; Hypothesis Development</w:t>
      </w:r>
    </w:p>
    <w:p w14:paraId="575E3B35" w14:textId="0711E34D" w:rsidR="00E32148" w:rsidRPr="00631DE0" w:rsidRDefault="00EC7371" w:rsidP="00146467">
      <w:pPr>
        <w:suppressAutoHyphens/>
        <w:autoSpaceDN w:val="0"/>
        <w:spacing w:after="120" w:line="360" w:lineRule="auto"/>
        <w:ind w:firstLine="0"/>
        <w:textAlignment w:val="baseline"/>
        <w:rPr>
          <w:rFonts w:ascii="Times New Roman" w:hAnsi="Times New Roman"/>
          <w:b/>
          <w:bCs/>
          <w:color w:val="000000" w:themeColor="text1"/>
          <w:sz w:val="24"/>
          <w:szCs w:val="24"/>
        </w:rPr>
      </w:pPr>
      <w:r w:rsidRPr="00631DE0">
        <w:rPr>
          <w:rFonts w:ascii="Times New Roman" w:hAnsi="Times New Roman"/>
          <w:b/>
          <w:bCs/>
          <w:color w:val="000000" w:themeColor="text1"/>
          <w:sz w:val="24"/>
          <w:szCs w:val="24"/>
        </w:rPr>
        <w:t>3.1 Theoretical Framework</w:t>
      </w:r>
    </w:p>
    <w:p w14:paraId="74507FA8" w14:textId="0261C2FF" w:rsidR="00DD0F3C" w:rsidRPr="00631DE0" w:rsidRDefault="00BD2794" w:rsidP="00DD0F3C">
      <w:pPr>
        <w:suppressAutoHyphens/>
        <w:autoSpaceDN w:val="0"/>
        <w:spacing w:after="120" w:line="360" w:lineRule="auto"/>
        <w:ind w:firstLine="0"/>
        <w:textAlignment w:val="baseline"/>
        <w:rPr>
          <w:rFonts w:ascii="Times New Roman" w:hAnsi="Times New Roman"/>
          <w:color w:val="000000" w:themeColor="text1"/>
          <w:sz w:val="24"/>
          <w:szCs w:val="24"/>
        </w:rPr>
      </w:pPr>
      <w:r w:rsidRPr="00631DE0">
        <w:rPr>
          <w:rFonts w:ascii="Times New Roman" w:hAnsi="Times New Roman"/>
          <w:color w:val="000000" w:themeColor="text1"/>
          <w:sz w:val="24"/>
          <w:szCs w:val="24"/>
        </w:rPr>
        <w:t xml:space="preserve">The literature argues that legitimacy theory is the most relevant theoretical lens regarding clarifications on firms’ motivation towards environmental performance and reporting (Asogwa </w:t>
      </w:r>
      <w:r w:rsidRPr="00631DE0">
        <w:rPr>
          <w:rFonts w:ascii="Times New Roman" w:hAnsi="Times New Roman"/>
          <w:i/>
          <w:iCs/>
          <w:color w:val="000000" w:themeColor="text1"/>
          <w:sz w:val="24"/>
          <w:szCs w:val="24"/>
        </w:rPr>
        <w:t>et al</w:t>
      </w:r>
      <w:r w:rsidRPr="00631DE0">
        <w:rPr>
          <w:rFonts w:ascii="Times New Roman" w:hAnsi="Times New Roman"/>
          <w:color w:val="000000" w:themeColor="text1"/>
          <w:sz w:val="24"/>
          <w:szCs w:val="24"/>
        </w:rPr>
        <w:t xml:space="preserve">., 2021; Deephouse </w:t>
      </w:r>
      <w:r w:rsidRPr="00631DE0">
        <w:rPr>
          <w:rFonts w:ascii="Times New Roman" w:hAnsi="Times New Roman"/>
          <w:i/>
          <w:iCs/>
          <w:color w:val="000000" w:themeColor="text1"/>
          <w:sz w:val="24"/>
          <w:szCs w:val="24"/>
        </w:rPr>
        <w:t>et al</w:t>
      </w:r>
      <w:r w:rsidRPr="00631DE0">
        <w:rPr>
          <w:rFonts w:ascii="Times New Roman" w:hAnsi="Times New Roman"/>
          <w:color w:val="000000" w:themeColor="text1"/>
          <w:sz w:val="24"/>
          <w:szCs w:val="24"/>
        </w:rPr>
        <w:t xml:space="preserve">., 2018; Velte </w:t>
      </w:r>
      <w:r w:rsidRPr="00631DE0">
        <w:rPr>
          <w:rFonts w:ascii="Times New Roman" w:hAnsi="Times New Roman"/>
          <w:i/>
          <w:iCs/>
          <w:color w:val="000000" w:themeColor="text1"/>
          <w:sz w:val="24"/>
          <w:szCs w:val="24"/>
        </w:rPr>
        <w:t>et al</w:t>
      </w:r>
      <w:r w:rsidRPr="00631DE0">
        <w:rPr>
          <w:rFonts w:ascii="Times New Roman" w:hAnsi="Times New Roman"/>
          <w:color w:val="000000" w:themeColor="text1"/>
          <w:sz w:val="24"/>
          <w:szCs w:val="24"/>
        </w:rPr>
        <w:t>., 2020). However, there is limited application of th</w:t>
      </w:r>
      <w:r w:rsidR="00CE4C5F" w:rsidRPr="00631DE0">
        <w:rPr>
          <w:rFonts w:ascii="Times New Roman" w:hAnsi="Times New Roman"/>
          <w:color w:val="000000" w:themeColor="text1"/>
          <w:sz w:val="24"/>
          <w:szCs w:val="24"/>
        </w:rPr>
        <w:t>e</w:t>
      </w:r>
      <w:r w:rsidRPr="00631DE0">
        <w:rPr>
          <w:rFonts w:ascii="Times New Roman" w:hAnsi="Times New Roman"/>
          <w:color w:val="000000" w:themeColor="text1"/>
          <w:sz w:val="24"/>
          <w:szCs w:val="24"/>
        </w:rPr>
        <w:t xml:space="preserve"> theory using NGO insights (Asogwa </w:t>
      </w:r>
      <w:r w:rsidRPr="00631DE0">
        <w:rPr>
          <w:rFonts w:ascii="Times New Roman" w:hAnsi="Times New Roman"/>
          <w:i/>
          <w:iCs/>
          <w:color w:val="000000" w:themeColor="text1"/>
          <w:sz w:val="24"/>
          <w:szCs w:val="24"/>
        </w:rPr>
        <w:t>et al</w:t>
      </w:r>
      <w:r w:rsidRPr="00631DE0">
        <w:rPr>
          <w:rFonts w:ascii="Times New Roman" w:hAnsi="Times New Roman"/>
          <w:color w:val="000000" w:themeColor="text1"/>
          <w:sz w:val="24"/>
          <w:szCs w:val="24"/>
        </w:rPr>
        <w:t xml:space="preserve">., 2021). Coherently, this study adopts the theory to explain NGOs' propensity to environmental disclosure. The theory argues that firms seeking legitimacy must operate within society expectations (Al-Bassam </w:t>
      </w:r>
      <w:r w:rsidRPr="00631DE0">
        <w:rPr>
          <w:rFonts w:ascii="Times New Roman" w:hAnsi="Times New Roman"/>
          <w:i/>
          <w:iCs/>
          <w:color w:val="000000" w:themeColor="text1"/>
          <w:sz w:val="24"/>
          <w:szCs w:val="24"/>
        </w:rPr>
        <w:t>et al</w:t>
      </w:r>
      <w:r w:rsidRPr="00631DE0">
        <w:rPr>
          <w:rFonts w:ascii="Times New Roman" w:hAnsi="Times New Roman"/>
          <w:color w:val="000000" w:themeColor="text1"/>
          <w:sz w:val="24"/>
          <w:szCs w:val="24"/>
        </w:rPr>
        <w:t>., 2018; Deegan, 2019). Particularly, firms must obey society</w:t>
      </w:r>
      <w:r w:rsidR="003650C2">
        <w:rPr>
          <w:rFonts w:ascii="Times New Roman" w:hAnsi="Times New Roman"/>
          <w:color w:val="000000" w:themeColor="text1"/>
          <w:sz w:val="24"/>
          <w:szCs w:val="24"/>
        </w:rPr>
        <w:t>’</w:t>
      </w:r>
      <w:r w:rsidRPr="00631DE0">
        <w:rPr>
          <w:rFonts w:ascii="Times New Roman" w:hAnsi="Times New Roman"/>
          <w:color w:val="000000" w:themeColor="text1"/>
          <w:sz w:val="24"/>
          <w:szCs w:val="24"/>
        </w:rPr>
        <w:t>s acceptable behaviours, norms and values in exchange for the legitimacy (Ch</w:t>
      </w:r>
      <w:r w:rsidR="00991C42" w:rsidRPr="00631DE0">
        <w:rPr>
          <w:rFonts w:ascii="Times New Roman" w:hAnsi="Times New Roman"/>
          <w:color w:val="000000" w:themeColor="text1"/>
          <w:sz w:val="24"/>
          <w:szCs w:val="24"/>
        </w:rPr>
        <w:t>o</w:t>
      </w:r>
      <w:r w:rsidRPr="00631DE0">
        <w:rPr>
          <w:rFonts w:ascii="Times New Roman" w:hAnsi="Times New Roman"/>
          <w:color w:val="000000" w:themeColor="text1"/>
          <w:sz w:val="24"/>
          <w:szCs w:val="24"/>
        </w:rPr>
        <w:t xml:space="preserve">wdhury </w:t>
      </w:r>
      <w:r w:rsidRPr="00631DE0">
        <w:rPr>
          <w:rFonts w:ascii="Times New Roman" w:hAnsi="Times New Roman"/>
          <w:i/>
          <w:iCs/>
          <w:color w:val="000000" w:themeColor="text1"/>
          <w:sz w:val="24"/>
          <w:szCs w:val="24"/>
        </w:rPr>
        <w:t>et al</w:t>
      </w:r>
      <w:r w:rsidRPr="00631DE0">
        <w:rPr>
          <w:rFonts w:ascii="Times New Roman" w:hAnsi="Times New Roman"/>
          <w:color w:val="000000" w:themeColor="text1"/>
          <w:sz w:val="24"/>
          <w:szCs w:val="24"/>
        </w:rPr>
        <w:t xml:space="preserve">., 2020; Deegan, 2019; Li </w:t>
      </w:r>
      <w:r w:rsidRPr="00631DE0">
        <w:rPr>
          <w:rFonts w:ascii="Times New Roman" w:hAnsi="Times New Roman"/>
          <w:i/>
          <w:iCs/>
          <w:color w:val="000000" w:themeColor="text1"/>
          <w:sz w:val="24"/>
          <w:szCs w:val="24"/>
        </w:rPr>
        <w:t>et al</w:t>
      </w:r>
      <w:r w:rsidRPr="00631DE0">
        <w:rPr>
          <w:rFonts w:ascii="Times New Roman" w:hAnsi="Times New Roman"/>
          <w:color w:val="000000" w:themeColor="text1"/>
          <w:sz w:val="24"/>
          <w:szCs w:val="24"/>
        </w:rPr>
        <w:t xml:space="preserve">., 2015). </w:t>
      </w:r>
      <w:r w:rsidR="00CE4C5F" w:rsidRPr="00631DE0">
        <w:rPr>
          <w:rFonts w:ascii="Times New Roman" w:hAnsi="Times New Roman"/>
          <w:color w:val="000000" w:themeColor="text1"/>
          <w:sz w:val="24"/>
          <w:szCs w:val="24"/>
        </w:rPr>
        <w:t>Thus,</w:t>
      </w:r>
      <w:r w:rsidRPr="00631DE0">
        <w:rPr>
          <w:rFonts w:ascii="Times New Roman" w:hAnsi="Times New Roman"/>
          <w:color w:val="000000" w:themeColor="text1"/>
          <w:sz w:val="24"/>
          <w:szCs w:val="24"/>
        </w:rPr>
        <w:t xml:space="preserve"> prior studies suggest that firms do have </w:t>
      </w:r>
      <w:r w:rsidR="00072166">
        <w:rPr>
          <w:rFonts w:ascii="Times New Roman" w:hAnsi="Times New Roman"/>
          <w:color w:val="000000" w:themeColor="text1"/>
          <w:sz w:val="24"/>
          <w:szCs w:val="24"/>
        </w:rPr>
        <w:t>‘</w:t>
      </w:r>
      <w:r w:rsidRPr="00631DE0">
        <w:rPr>
          <w:rFonts w:ascii="Times New Roman" w:hAnsi="Times New Roman"/>
          <w:color w:val="000000" w:themeColor="text1"/>
          <w:sz w:val="24"/>
          <w:szCs w:val="24"/>
        </w:rPr>
        <w:t>pacts</w:t>
      </w:r>
      <w:r w:rsidR="00072166">
        <w:rPr>
          <w:rFonts w:ascii="Times New Roman" w:hAnsi="Times New Roman"/>
          <w:color w:val="000000" w:themeColor="text1"/>
          <w:sz w:val="24"/>
          <w:szCs w:val="24"/>
        </w:rPr>
        <w:t>’</w:t>
      </w:r>
      <w:r w:rsidRPr="00631DE0">
        <w:rPr>
          <w:rFonts w:ascii="Times New Roman" w:hAnsi="Times New Roman"/>
          <w:color w:val="000000" w:themeColor="text1"/>
          <w:sz w:val="24"/>
          <w:szCs w:val="24"/>
        </w:rPr>
        <w:t xml:space="preserve"> with the societies in which they operate (Deegan, 2014; 2019; Qian &amp; Schaltegger, 2017). Accordingly, th</w:t>
      </w:r>
      <w:r w:rsidR="00CE4C5F" w:rsidRPr="00631DE0">
        <w:rPr>
          <w:rFonts w:ascii="Times New Roman" w:hAnsi="Times New Roman"/>
          <w:color w:val="000000" w:themeColor="text1"/>
          <w:sz w:val="24"/>
          <w:szCs w:val="24"/>
        </w:rPr>
        <w:t>is</w:t>
      </w:r>
      <w:r w:rsidRPr="00631DE0">
        <w:rPr>
          <w:rFonts w:ascii="Times New Roman" w:hAnsi="Times New Roman"/>
          <w:color w:val="000000" w:themeColor="text1"/>
          <w:sz w:val="24"/>
          <w:szCs w:val="24"/>
        </w:rPr>
        <w:t xml:space="preserve"> social contract embodies a resource value in which non-compliance with it may threaten firms’ existence (Dowling &amp; Pfeffer, 1975; Lai &amp; Stacchezzini, 2021). This may result a loss of resources, impacting firm </w:t>
      </w:r>
      <w:r w:rsidRPr="00631DE0">
        <w:rPr>
          <w:rFonts w:ascii="Times New Roman" w:hAnsi="Times New Roman"/>
          <w:color w:val="000000" w:themeColor="text1"/>
          <w:sz w:val="24"/>
          <w:szCs w:val="24"/>
        </w:rPr>
        <w:lastRenderedPageBreak/>
        <w:t xml:space="preserve">survival (Deegan, 2019; Hrasky, 2012). </w:t>
      </w:r>
      <w:r w:rsidR="00CE4C5F" w:rsidRPr="00631DE0">
        <w:rPr>
          <w:rFonts w:ascii="Times New Roman" w:hAnsi="Times New Roman"/>
          <w:color w:val="000000" w:themeColor="text1"/>
          <w:sz w:val="24"/>
          <w:szCs w:val="24"/>
        </w:rPr>
        <w:t>Given this, s</w:t>
      </w:r>
      <w:r w:rsidRPr="00631DE0">
        <w:rPr>
          <w:rFonts w:ascii="Times New Roman" w:hAnsi="Times New Roman"/>
          <w:color w:val="000000" w:themeColor="text1"/>
          <w:sz w:val="24"/>
          <w:szCs w:val="24"/>
        </w:rPr>
        <w:t xml:space="preserve">tudies argue that legitimacy is dynamic in nature, requiring firms to gain it, maintain it and defend any challenges affecting it (Conway </w:t>
      </w:r>
      <w:r w:rsidRPr="00631DE0">
        <w:rPr>
          <w:rFonts w:ascii="Times New Roman" w:hAnsi="Times New Roman"/>
          <w:i/>
          <w:iCs/>
          <w:color w:val="000000" w:themeColor="text1"/>
          <w:sz w:val="24"/>
          <w:szCs w:val="24"/>
        </w:rPr>
        <w:t>et al</w:t>
      </w:r>
      <w:r w:rsidRPr="00631DE0">
        <w:rPr>
          <w:rFonts w:ascii="Times New Roman" w:hAnsi="Times New Roman"/>
          <w:color w:val="000000" w:themeColor="text1"/>
          <w:sz w:val="24"/>
          <w:szCs w:val="24"/>
        </w:rPr>
        <w:t>., 2015; Deegan, 2019; Vestergaad, 201</w:t>
      </w:r>
      <w:r w:rsidR="00E544B6" w:rsidRPr="00631DE0">
        <w:rPr>
          <w:rFonts w:ascii="Times New Roman" w:hAnsi="Times New Roman"/>
          <w:color w:val="000000" w:themeColor="text1"/>
          <w:sz w:val="24"/>
          <w:szCs w:val="24"/>
        </w:rPr>
        <w:t>5</w:t>
      </w:r>
      <w:r w:rsidRPr="00631DE0">
        <w:rPr>
          <w:rFonts w:ascii="Times New Roman" w:hAnsi="Times New Roman"/>
          <w:color w:val="000000" w:themeColor="text1"/>
          <w:sz w:val="24"/>
          <w:szCs w:val="24"/>
        </w:rPr>
        <w:t>).</w:t>
      </w:r>
      <w:r w:rsidR="00D61153" w:rsidRPr="00631DE0">
        <w:rPr>
          <w:rFonts w:ascii="Times New Roman" w:hAnsi="Times New Roman"/>
          <w:color w:val="000000" w:themeColor="text1"/>
          <w:sz w:val="24"/>
          <w:szCs w:val="24"/>
        </w:rPr>
        <w:t xml:space="preserve"> Existing studies argue that firms use numerous mechanisms, such as environmental strategic approach</w:t>
      </w:r>
      <w:r w:rsidR="00DD0F3C" w:rsidRPr="00631DE0">
        <w:rPr>
          <w:rFonts w:ascii="Times New Roman" w:hAnsi="Times New Roman"/>
          <w:color w:val="000000" w:themeColor="text1"/>
          <w:sz w:val="24"/>
          <w:szCs w:val="24"/>
        </w:rPr>
        <w:t>,</w:t>
      </w:r>
      <w:r w:rsidR="00D61153" w:rsidRPr="00631DE0">
        <w:rPr>
          <w:rFonts w:ascii="Times New Roman" w:hAnsi="Times New Roman"/>
          <w:color w:val="000000" w:themeColor="text1"/>
          <w:sz w:val="24"/>
          <w:szCs w:val="24"/>
        </w:rPr>
        <w:t xml:space="preserve"> in pursuit of the legitimacy (Comyns, 2016; Gregory </w:t>
      </w:r>
      <w:r w:rsidR="00D61153" w:rsidRPr="00631DE0">
        <w:rPr>
          <w:rFonts w:ascii="Times New Roman" w:hAnsi="Times New Roman"/>
          <w:i/>
          <w:iCs/>
          <w:color w:val="000000" w:themeColor="text1"/>
          <w:sz w:val="24"/>
          <w:szCs w:val="24"/>
        </w:rPr>
        <w:t>et al</w:t>
      </w:r>
      <w:r w:rsidR="00D61153" w:rsidRPr="00631DE0">
        <w:rPr>
          <w:rFonts w:ascii="Times New Roman" w:hAnsi="Times New Roman"/>
          <w:color w:val="000000" w:themeColor="text1"/>
          <w:sz w:val="24"/>
          <w:szCs w:val="24"/>
        </w:rPr>
        <w:t>., 201</w:t>
      </w:r>
      <w:r w:rsidR="00770B3D" w:rsidRPr="00631DE0">
        <w:rPr>
          <w:rFonts w:ascii="Times New Roman" w:hAnsi="Times New Roman"/>
          <w:color w:val="000000" w:themeColor="text1"/>
          <w:sz w:val="24"/>
          <w:szCs w:val="24"/>
        </w:rPr>
        <w:t>4</w:t>
      </w:r>
      <w:r w:rsidR="00D61153" w:rsidRPr="00631DE0">
        <w:rPr>
          <w:rFonts w:ascii="Times New Roman" w:hAnsi="Times New Roman"/>
          <w:color w:val="000000" w:themeColor="text1"/>
          <w:sz w:val="24"/>
          <w:szCs w:val="24"/>
        </w:rPr>
        <w:t xml:space="preserve">; Lie </w:t>
      </w:r>
      <w:r w:rsidR="00D61153" w:rsidRPr="00631DE0">
        <w:rPr>
          <w:rFonts w:ascii="Times New Roman" w:hAnsi="Times New Roman"/>
          <w:i/>
          <w:iCs/>
          <w:color w:val="000000" w:themeColor="text1"/>
          <w:sz w:val="24"/>
          <w:szCs w:val="24"/>
        </w:rPr>
        <w:t>et</w:t>
      </w:r>
      <w:r w:rsidR="00D61153" w:rsidRPr="00631DE0">
        <w:rPr>
          <w:rFonts w:ascii="Times New Roman" w:hAnsi="Times New Roman"/>
          <w:color w:val="000000" w:themeColor="text1"/>
          <w:sz w:val="24"/>
          <w:szCs w:val="24"/>
        </w:rPr>
        <w:t xml:space="preserve"> al., 2018; Yingjun </w:t>
      </w:r>
      <w:r w:rsidR="00D61153" w:rsidRPr="00631DE0">
        <w:rPr>
          <w:rFonts w:ascii="Times New Roman" w:hAnsi="Times New Roman"/>
          <w:i/>
          <w:iCs/>
          <w:color w:val="000000" w:themeColor="text1"/>
          <w:sz w:val="24"/>
          <w:szCs w:val="24"/>
        </w:rPr>
        <w:t>et al</w:t>
      </w:r>
      <w:r w:rsidR="00D61153" w:rsidRPr="00631DE0">
        <w:rPr>
          <w:rFonts w:ascii="Times New Roman" w:hAnsi="Times New Roman"/>
          <w:color w:val="000000" w:themeColor="text1"/>
          <w:sz w:val="24"/>
          <w:szCs w:val="24"/>
        </w:rPr>
        <w:t xml:space="preserve">., 2015). Particularly, </w:t>
      </w:r>
      <w:r w:rsidR="0014251F" w:rsidRPr="00631DE0">
        <w:rPr>
          <w:rFonts w:ascii="Times New Roman" w:hAnsi="Times New Roman"/>
          <w:color w:val="000000" w:themeColor="text1"/>
          <w:sz w:val="24"/>
          <w:szCs w:val="24"/>
        </w:rPr>
        <w:t xml:space="preserve">firms </w:t>
      </w:r>
      <w:r w:rsidR="00DD0F3C" w:rsidRPr="00631DE0">
        <w:rPr>
          <w:rFonts w:ascii="Times New Roman" w:hAnsi="Times New Roman"/>
          <w:color w:val="000000" w:themeColor="text1"/>
          <w:sz w:val="24"/>
          <w:szCs w:val="24"/>
        </w:rPr>
        <w:t>use</w:t>
      </w:r>
      <w:r w:rsidR="0014251F" w:rsidRPr="00631DE0">
        <w:rPr>
          <w:rFonts w:ascii="Times New Roman" w:hAnsi="Times New Roman"/>
          <w:color w:val="000000" w:themeColor="text1"/>
          <w:sz w:val="24"/>
          <w:szCs w:val="24"/>
        </w:rPr>
        <w:t xml:space="preserve"> </w:t>
      </w:r>
      <w:r w:rsidR="00DD0F3C" w:rsidRPr="00631DE0">
        <w:rPr>
          <w:rFonts w:ascii="Times New Roman" w:hAnsi="Times New Roman"/>
          <w:color w:val="000000" w:themeColor="text1"/>
          <w:sz w:val="24"/>
          <w:szCs w:val="24"/>
        </w:rPr>
        <w:t>this</w:t>
      </w:r>
      <w:r w:rsidR="0014251F" w:rsidRPr="00631DE0">
        <w:rPr>
          <w:rFonts w:ascii="Times New Roman" w:hAnsi="Times New Roman"/>
          <w:color w:val="000000" w:themeColor="text1"/>
          <w:sz w:val="24"/>
          <w:szCs w:val="24"/>
        </w:rPr>
        <w:t xml:space="preserve"> method </w:t>
      </w:r>
      <w:r w:rsidR="00DD0F3C" w:rsidRPr="00631DE0">
        <w:rPr>
          <w:rFonts w:ascii="Times New Roman" w:hAnsi="Times New Roman"/>
          <w:color w:val="000000" w:themeColor="text1"/>
          <w:sz w:val="24"/>
          <w:szCs w:val="24"/>
        </w:rPr>
        <w:t>as a way for communicating</w:t>
      </w:r>
      <w:r w:rsidR="0014251F" w:rsidRPr="00631DE0">
        <w:rPr>
          <w:rFonts w:ascii="Times New Roman" w:hAnsi="Times New Roman"/>
          <w:color w:val="000000" w:themeColor="text1"/>
          <w:sz w:val="24"/>
          <w:szCs w:val="24"/>
        </w:rPr>
        <w:t xml:space="preserve"> their environmental performance to society in order to address information asymmetries regarding</w:t>
      </w:r>
      <w:r w:rsidR="009D7258" w:rsidRPr="00631DE0">
        <w:rPr>
          <w:rFonts w:ascii="Times New Roman" w:hAnsi="Times New Roman"/>
          <w:color w:val="000000" w:themeColor="text1"/>
          <w:sz w:val="24"/>
          <w:szCs w:val="24"/>
        </w:rPr>
        <w:t xml:space="preserve"> their</w:t>
      </w:r>
      <w:r w:rsidR="0014251F" w:rsidRPr="00631DE0">
        <w:rPr>
          <w:rFonts w:ascii="Times New Roman" w:hAnsi="Times New Roman"/>
          <w:color w:val="000000" w:themeColor="text1"/>
          <w:sz w:val="24"/>
          <w:szCs w:val="24"/>
        </w:rPr>
        <w:t xml:space="preserve"> environmental performance, thus presenting an image of social legitimacy (Dowling &amp; Pfeffer, 1975; Li et al., 2018; Liesen et al., 2017).</w:t>
      </w:r>
      <w:r w:rsidR="00175C54" w:rsidRPr="00631DE0">
        <w:rPr>
          <w:rFonts w:ascii="Times New Roman" w:hAnsi="Times New Roman"/>
          <w:color w:val="000000" w:themeColor="text1"/>
          <w:sz w:val="24"/>
          <w:szCs w:val="24"/>
        </w:rPr>
        <w:t xml:space="preserve"> It's for this reason, that</w:t>
      </w:r>
      <w:r w:rsidR="00DD0F3C" w:rsidRPr="00631DE0">
        <w:rPr>
          <w:rFonts w:ascii="Times New Roman" w:hAnsi="Times New Roman"/>
          <w:color w:val="000000" w:themeColor="text1"/>
          <w:sz w:val="24"/>
          <w:szCs w:val="24"/>
        </w:rPr>
        <w:t xml:space="preserve"> prior studies (Deegan, 2019; Gregory et al., 2014),</w:t>
      </w:r>
      <w:r w:rsidR="00175C54" w:rsidRPr="00631DE0">
        <w:rPr>
          <w:rFonts w:ascii="Times New Roman" w:hAnsi="Times New Roman"/>
          <w:color w:val="000000" w:themeColor="text1"/>
          <w:sz w:val="24"/>
          <w:szCs w:val="24"/>
        </w:rPr>
        <w:t xml:space="preserve"> suggest that firms incrementally adopt environmental business practices in order to maintain legitimacy. </w:t>
      </w:r>
    </w:p>
    <w:p w14:paraId="55B091C9" w14:textId="7B825400" w:rsidR="00E544B6" w:rsidRPr="00631DE0" w:rsidRDefault="009A7920" w:rsidP="00146467">
      <w:pPr>
        <w:suppressAutoHyphens/>
        <w:autoSpaceDN w:val="0"/>
        <w:spacing w:after="120" w:line="360" w:lineRule="auto"/>
        <w:ind w:firstLine="0"/>
        <w:textAlignment w:val="baseline"/>
        <w:rPr>
          <w:rFonts w:ascii="Times New Roman" w:hAnsi="Times New Roman"/>
          <w:color w:val="000000" w:themeColor="text1"/>
          <w:sz w:val="24"/>
          <w:szCs w:val="24"/>
        </w:rPr>
      </w:pPr>
      <w:r w:rsidRPr="00631DE0">
        <w:rPr>
          <w:rFonts w:ascii="Times New Roman" w:hAnsi="Times New Roman"/>
          <w:color w:val="000000" w:themeColor="text1"/>
          <w:sz w:val="24"/>
          <w:szCs w:val="24"/>
        </w:rPr>
        <w:t>The literature shows that the demand for accountability regarding</w:t>
      </w:r>
      <w:r w:rsidR="009D7258" w:rsidRPr="00631DE0">
        <w:rPr>
          <w:rFonts w:ascii="Times New Roman" w:hAnsi="Times New Roman"/>
          <w:color w:val="000000" w:themeColor="text1"/>
          <w:sz w:val="24"/>
          <w:szCs w:val="24"/>
        </w:rPr>
        <w:t xml:space="preserve"> UK</w:t>
      </w:r>
      <w:r w:rsidRPr="00631DE0">
        <w:rPr>
          <w:rFonts w:ascii="Times New Roman" w:hAnsi="Times New Roman"/>
          <w:color w:val="000000" w:themeColor="text1"/>
          <w:sz w:val="24"/>
          <w:szCs w:val="24"/>
        </w:rPr>
        <w:t xml:space="preserve"> </w:t>
      </w:r>
      <w:r w:rsidR="00AD022E" w:rsidRPr="00631DE0">
        <w:rPr>
          <w:rFonts w:ascii="Times New Roman" w:hAnsi="Times New Roman"/>
          <w:color w:val="000000" w:themeColor="text1"/>
          <w:sz w:val="24"/>
          <w:szCs w:val="24"/>
        </w:rPr>
        <w:t>NGOs</w:t>
      </w:r>
      <w:r w:rsidRPr="00631DE0">
        <w:rPr>
          <w:rFonts w:ascii="Times New Roman" w:hAnsi="Times New Roman"/>
          <w:color w:val="000000" w:themeColor="text1"/>
          <w:sz w:val="24"/>
          <w:szCs w:val="24"/>
        </w:rPr>
        <w:t xml:space="preserve"> has risen in the past decade, driven by concerns</w:t>
      </w:r>
      <w:r w:rsidR="0014251F" w:rsidRPr="00631DE0">
        <w:rPr>
          <w:rFonts w:ascii="Times New Roman" w:hAnsi="Times New Roman"/>
          <w:color w:val="000000" w:themeColor="text1"/>
          <w:sz w:val="24"/>
          <w:szCs w:val="24"/>
        </w:rPr>
        <w:t xml:space="preserve"> of</w:t>
      </w:r>
      <w:r w:rsidRPr="00631DE0">
        <w:rPr>
          <w:rFonts w:ascii="Times New Roman" w:hAnsi="Times New Roman"/>
          <w:color w:val="000000" w:themeColor="text1"/>
          <w:sz w:val="24"/>
          <w:szCs w:val="24"/>
        </w:rPr>
        <w:t xml:space="preserve"> </w:t>
      </w:r>
      <w:r w:rsidR="00AD022E" w:rsidRPr="00631DE0">
        <w:rPr>
          <w:rFonts w:ascii="Times New Roman" w:hAnsi="Times New Roman"/>
          <w:color w:val="000000" w:themeColor="text1"/>
          <w:sz w:val="24"/>
          <w:szCs w:val="24"/>
        </w:rPr>
        <w:t>loss of</w:t>
      </w:r>
      <w:r w:rsidRPr="00631DE0">
        <w:rPr>
          <w:rFonts w:ascii="Times New Roman" w:hAnsi="Times New Roman"/>
          <w:color w:val="000000" w:themeColor="text1"/>
          <w:sz w:val="24"/>
          <w:szCs w:val="24"/>
        </w:rPr>
        <w:t xml:space="preserve"> legitimacy (</w:t>
      </w:r>
      <w:r w:rsidR="00AD022E" w:rsidRPr="00631DE0">
        <w:rPr>
          <w:rFonts w:ascii="Times New Roman" w:hAnsi="Times New Roman"/>
          <w:color w:val="000000" w:themeColor="text1"/>
          <w:sz w:val="24"/>
          <w:szCs w:val="24"/>
        </w:rPr>
        <w:t>Pariag</w:t>
      </w:r>
      <w:r w:rsidR="00550130">
        <w:rPr>
          <w:rFonts w:ascii="Times New Roman" w:hAnsi="Times New Roman"/>
          <w:color w:val="000000" w:themeColor="text1"/>
          <w:sz w:val="24"/>
          <w:szCs w:val="24"/>
        </w:rPr>
        <w:t>-</w:t>
      </w:r>
      <w:r w:rsidR="00AD022E" w:rsidRPr="00631DE0">
        <w:rPr>
          <w:rFonts w:ascii="Times New Roman" w:hAnsi="Times New Roman"/>
          <w:color w:val="000000" w:themeColor="text1"/>
          <w:sz w:val="24"/>
          <w:szCs w:val="24"/>
        </w:rPr>
        <w:t xml:space="preserve">Maraye </w:t>
      </w:r>
      <w:r w:rsidR="00AD022E" w:rsidRPr="00550130">
        <w:rPr>
          <w:rFonts w:ascii="Times New Roman" w:hAnsi="Times New Roman"/>
          <w:i/>
          <w:iCs/>
          <w:color w:val="000000" w:themeColor="text1"/>
          <w:sz w:val="24"/>
          <w:szCs w:val="24"/>
        </w:rPr>
        <w:t>et al.</w:t>
      </w:r>
      <w:r w:rsidR="00AD022E" w:rsidRPr="00631DE0">
        <w:rPr>
          <w:rFonts w:ascii="Times New Roman" w:hAnsi="Times New Roman"/>
          <w:color w:val="000000" w:themeColor="text1"/>
          <w:sz w:val="24"/>
          <w:szCs w:val="24"/>
        </w:rPr>
        <w:t>, 2022</w:t>
      </w:r>
      <w:r w:rsidRPr="00631DE0">
        <w:rPr>
          <w:rFonts w:ascii="Times New Roman" w:hAnsi="Times New Roman"/>
          <w:color w:val="000000" w:themeColor="text1"/>
          <w:sz w:val="24"/>
          <w:szCs w:val="24"/>
        </w:rPr>
        <w:t xml:space="preserve">). </w:t>
      </w:r>
      <w:r w:rsidR="00AD022E" w:rsidRPr="00631DE0">
        <w:rPr>
          <w:rFonts w:ascii="Times New Roman" w:hAnsi="Times New Roman"/>
          <w:color w:val="000000" w:themeColor="text1"/>
          <w:sz w:val="24"/>
          <w:szCs w:val="24"/>
        </w:rPr>
        <w:t>Specifically, firms</w:t>
      </w:r>
      <w:r w:rsidR="0014251F" w:rsidRPr="00631DE0">
        <w:rPr>
          <w:rFonts w:ascii="Times New Roman" w:hAnsi="Times New Roman"/>
          <w:color w:val="000000" w:themeColor="text1"/>
          <w:sz w:val="24"/>
          <w:szCs w:val="24"/>
        </w:rPr>
        <w:t xml:space="preserve"> may lose legitimacy </w:t>
      </w:r>
      <w:r w:rsidR="009D7258" w:rsidRPr="00631DE0">
        <w:rPr>
          <w:rFonts w:ascii="Times New Roman" w:hAnsi="Times New Roman"/>
          <w:color w:val="000000" w:themeColor="text1"/>
          <w:sz w:val="24"/>
          <w:szCs w:val="24"/>
        </w:rPr>
        <w:t xml:space="preserve">if their environmental actions </w:t>
      </w:r>
      <w:r w:rsidR="00AD022E" w:rsidRPr="00631DE0">
        <w:rPr>
          <w:rFonts w:ascii="Times New Roman" w:hAnsi="Times New Roman"/>
          <w:color w:val="000000" w:themeColor="text1"/>
          <w:sz w:val="24"/>
          <w:szCs w:val="24"/>
        </w:rPr>
        <w:t>don’t</w:t>
      </w:r>
      <w:r w:rsidR="009D7258" w:rsidRPr="00631DE0">
        <w:rPr>
          <w:rFonts w:ascii="Times New Roman" w:hAnsi="Times New Roman"/>
          <w:color w:val="000000" w:themeColor="text1"/>
          <w:sz w:val="24"/>
          <w:szCs w:val="24"/>
        </w:rPr>
        <w:t xml:space="preserve"> meet society expectations</w:t>
      </w:r>
      <w:r w:rsidR="00394BE4" w:rsidRPr="00631DE0">
        <w:rPr>
          <w:rFonts w:ascii="Times New Roman" w:hAnsi="Times New Roman"/>
          <w:color w:val="000000" w:themeColor="text1"/>
          <w:sz w:val="24"/>
          <w:szCs w:val="24"/>
        </w:rPr>
        <w:t xml:space="preserve"> </w:t>
      </w:r>
      <w:r w:rsidR="001E2296" w:rsidRPr="00631DE0">
        <w:rPr>
          <w:rFonts w:ascii="Times New Roman" w:hAnsi="Times New Roman"/>
          <w:color w:val="000000" w:themeColor="text1"/>
          <w:sz w:val="24"/>
          <w:szCs w:val="24"/>
        </w:rPr>
        <w:t>(</w:t>
      </w:r>
      <w:r w:rsidR="00394BE4" w:rsidRPr="00631DE0">
        <w:rPr>
          <w:rFonts w:ascii="Times New Roman" w:hAnsi="Times New Roman"/>
          <w:color w:val="000000" w:themeColor="text1"/>
          <w:sz w:val="24"/>
          <w:szCs w:val="24"/>
        </w:rPr>
        <w:t xml:space="preserve">Fernando &amp; Lawrence, 2014; </w:t>
      </w:r>
      <w:r w:rsidR="001E2296" w:rsidRPr="00631DE0">
        <w:rPr>
          <w:rFonts w:ascii="Times New Roman" w:hAnsi="Times New Roman"/>
          <w:color w:val="000000" w:themeColor="text1"/>
          <w:sz w:val="24"/>
          <w:szCs w:val="24"/>
        </w:rPr>
        <w:t xml:space="preserve">Hrasky, 2012). </w:t>
      </w:r>
      <w:r w:rsidR="009D7258" w:rsidRPr="00631DE0">
        <w:rPr>
          <w:rFonts w:ascii="Times New Roman" w:hAnsi="Times New Roman"/>
          <w:color w:val="000000" w:themeColor="text1"/>
          <w:sz w:val="24"/>
          <w:szCs w:val="24"/>
        </w:rPr>
        <w:t xml:space="preserve">However, as suggested by </w:t>
      </w:r>
      <w:r w:rsidR="00274D13" w:rsidRPr="00631DE0">
        <w:rPr>
          <w:rFonts w:ascii="Times New Roman" w:hAnsi="Times New Roman"/>
          <w:color w:val="000000" w:themeColor="text1"/>
          <w:sz w:val="24"/>
          <w:szCs w:val="24"/>
        </w:rPr>
        <w:t>s</w:t>
      </w:r>
      <w:r w:rsidR="001E2296" w:rsidRPr="00631DE0">
        <w:rPr>
          <w:rFonts w:ascii="Times New Roman" w:hAnsi="Times New Roman"/>
          <w:color w:val="000000" w:themeColor="text1"/>
          <w:sz w:val="24"/>
          <w:szCs w:val="24"/>
        </w:rPr>
        <w:t xml:space="preserve">ocial environmental and accounting </w:t>
      </w:r>
      <w:r w:rsidR="00455773" w:rsidRPr="00631DE0">
        <w:rPr>
          <w:rFonts w:ascii="Times New Roman" w:hAnsi="Times New Roman"/>
          <w:color w:val="000000" w:themeColor="text1"/>
          <w:sz w:val="24"/>
          <w:szCs w:val="24"/>
        </w:rPr>
        <w:t>researchers</w:t>
      </w:r>
      <w:r w:rsidR="00C346C8" w:rsidRPr="00631DE0">
        <w:rPr>
          <w:rFonts w:ascii="Times New Roman" w:hAnsi="Times New Roman"/>
          <w:color w:val="000000" w:themeColor="text1"/>
          <w:sz w:val="24"/>
          <w:szCs w:val="24"/>
        </w:rPr>
        <w:t>,</w:t>
      </w:r>
      <w:r w:rsidR="00455773" w:rsidRPr="00631DE0">
        <w:rPr>
          <w:rFonts w:ascii="Times New Roman" w:hAnsi="Times New Roman"/>
          <w:color w:val="000000" w:themeColor="text1"/>
          <w:sz w:val="24"/>
          <w:szCs w:val="24"/>
        </w:rPr>
        <w:t xml:space="preserve"> managers may use </w:t>
      </w:r>
      <w:r w:rsidR="00274D13" w:rsidRPr="00631DE0">
        <w:rPr>
          <w:rFonts w:ascii="Times New Roman" w:hAnsi="Times New Roman"/>
          <w:color w:val="000000" w:themeColor="text1"/>
          <w:sz w:val="24"/>
          <w:szCs w:val="24"/>
        </w:rPr>
        <w:t>impressi</w:t>
      </w:r>
      <w:r w:rsidR="00394BE4" w:rsidRPr="00631DE0">
        <w:rPr>
          <w:rFonts w:ascii="Times New Roman" w:hAnsi="Times New Roman"/>
          <w:color w:val="000000" w:themeColor="text1"/>
          <w:sz w:val="24"/>
          <w:szCs w:val="24"/>
        </w:rPr>
        <w:t>ve</w:t>
      </w:r>
      <w:r w:rsidR="00274D13" w:rsidRPr="00631DE0">
        <w:rPr>
          <w:rFonts w:ascii="Times New Roman" w:hAnsi="Times New Roman"/>
          <w:color w:val="000000" w:themeColor="text1"/>
          <w:sz w:val="24"/>
          <w:szCs w:val="24"/>
        </w:rPr>
        <w:t xml:space="preserve"> management</w:t>
      </w:r>
      <w:r w:rsidR="00DB050E" w:rsidRPr="00631DE0">
        <w:rPr>
          <w:rFonts w:ascii="Times New Roman" w:hAnsi="Times New Roman"/>
          <w:color w:val="000000" w:themeColor="text1"/>
          <w:sz w:val="24"/>
          <w:szCs w:val="24"/>
        </w:rPr>
        <w:t xml:space="preserve"> techniques</w:t>
      </w:r>
      <w:r w:rsidR="00274D13" w:rsidRPr="00631DE0">
        <w:rPr>
          <w:rFonts w:ascii="Times New Roman" w:hAnsi="Times New Roman"/>
          <w:color w:val="000000" w:themeColor="text1"/>
          <w:sz w:val="24"/>
          <w:szCs w:val="24"/>
        </w:rPr>
        <w:t xml:space="preserve"> to influence </w:t>
      </w:r>
      <w:r w:rsidR="00C346C8" w:rsidRPr="00631DE0">
        <w:rPr>
          <w:rFonts w:ascii="Times New Roman" w:hAnsi="Times New Roman"/>
          <w:color w:val="000000" w:themeColor="text1"/>
          <w:sz w:val="24"/>
          <w:szCs w:val="24"/>
        </w:rPr>
        <w:t>stakeholders’</w:t>
      </w:r>
      <w:r w:rsidR="00274D13" w:rsidRPr="00631DE0">
        <w:rPr>
          <w:rFonts w:ascii="Times New Roman" w:hAnsi="Times New Roman"/>
          <w:color w:val="000000" w:themeColor="text1"/>
          <w:sz w:val="24"/>
          <w:szCs w:val="24"/>
        </w:rPr>
        <w:t xml:space="preserve"> perception regarding</w:t>
      </w:r>
      <w:r w:rsidR="00455773" w:rsidRPr="00631DE0">
        <w:rPr>
          <w:rFonts w:ascii="Times New Roman" w:hAnsi="Times New Roman"/>
          <w:color w:val="000000" w:themeColor="text1"/>
          <w:sz w:val="24"/>
          <w:szCs w:val="24"/>
        </w:rPr>
        <w:t xml:space="preserve"> their</w:t>
      </w:r>
      <w:r w:rsidR="00274D13" w:rsidRPr="00631DE0">
        <w:rPr>
          <w:rFonts w:ascii="Times New Roman" w:hAnsi="Times New Roman"/>
          <w:color w:val="000000" w:themeColor="text1"/>
          <w:sz w:val="24"/>
          <w:szCs w:val="24"/>
        </w:rPr>
        <w:t xml:space="preserve"> </w:t>
      </w:r>
      <w:r w:rsidR="00C346C8" w:rsidRPr="00631DE0">
        <w:rPr>
          <w:rFonts w:ascii="Times New Roman" w:hAnsi="Times New Roman"/>
          <w:color w:val="000000" w:themeColor="text1"/>
          <w:sz w:val="24"/>
          <w:szCs w:val="24"/>
        </w:rPr>
        <w:t xml:space="preserve">environmental performance (Corazza </w:t>
      </w:r>
      <w:r w:rsidR="00C346C8" w:rsidRPr="00631DE0">
        <w:rPr>
          <w:rFonts w:ascii="Times New Roman" w:hAnsi="Times New Roman"/>
          <w:i/>
          <w:iCs/>
          <w:color w:val="000000" w:themeColor="text1"/>
          <w:sz w:val="24"/>
          <w:szCs w:val="24"/>
        </w:rPr>
        <w:t>et al</w:t>
      </w:r>
      <w:r w:rsidR="00C346C8" w:rsidRPr="00631DE0">
        <w:rPr>
          <w:rFonts w:ascii="Times New Roman" w:hAnsi="Times New Roman"/>
          <w:color w:val="000000" w:themeColor="text1"/>
          <w:sz w:val="24"/>
          <w:szCs w:val="24"/>
        </w:rPr>
        <w:t xml:space="preserve">., 2020; Edgar </w:t>
      </w:r>
      <w:r w:rsidR="00C346C8" w:rsidRPr="00631DE0">
        <w:rPr>
          <w:rFonts w:ascii="Times New Roman" w:hAnsi="Times New Roman"/>
          <w:i/>
          <w:iCs/>
          <w:color w:val="000000" w:themeColor="text1"/>
          <w:sz w:val="24"/>
          <w:szCs w:val="24"/>
        </w:rPr>
        <w:t>et al</w:t>
      </w:r>
      <w:r w:rsidR="00C346C8" w:rsidRPr="00631DE0">
        <w:rPr>
          <w:rFonts w:ascii="Times New Roman" w:hAnsi="Times New Roman"/>
          <w:color w:val="000000" w:themeColor="text1"/>
          <w:sz w:val="24"/>
          <w:szCs w:val="24"/>
        </w:rPr>
        <w:t>., 2018</w:t>
      </w:r>
      <w:r w:rsidR="00455773" w:rsidRPr="00631DE0">
        <w:rPr>
          <w:rFonts w:ascii="Times New Roman" w:hAnsi="Times New Roman"/>
          <w:color w:val="000000" w:themeColor="text1"/>
          <w:sz w:val="24"/>
          <w:szCs w:val="24"/>
        </w:rPr>
        <w:t xml:space="preserve">). </w:t>
      </w:r>
      <w:r w:rsidR="00DB050E" w:rsidRPr="00631DE0">
        <w:rPr>
          <w:rFonts w:ascii="Times New Roman" w:hAnsi="Times New Roman"/>
          <w:color w:val="000000" w:themeColor="text1"/>
          <w:sz w:val="24"/>
          <w:szCs w:val="24"/>
        </w:rPr>
        <w:t>S</w:t>
      </w:r>
      <w:r w:rsidR="00455773" w:rsidRPr="00631DE0">
        <w:rPr>
          <w:rFonts w:ascii="Times New Roman" w:hAnsi="Times New Roman"/>
          <w:color w:val="000000" w:themeColor="text1"/>
          <w:sz w:val="24"/>
          <w:szCs w:val="24"/>
        </w:rPr>
        <w:t>tudies assert that such</w:t>
      </w:r>
      <w:r w:rsidR="00AD022E" w:rsidRPr="00631DE0">
        <w:rPr>
          <w:rFonts w:ascii="Times New Roman" w:hAnsi="Times New Roman"/>
          <w:color w:val="000000" w:themeColor="text1"/>
          <w:sz w:val="24"/>
          <w:szCs w:val="24"/>
        </w:rPr>
        <w:t xml:space="preserve"> instances</w:t>
      </w:r>
      <w:r w:rsidR="00455773" w:rsidRPr="00631DE0">
        <w:rPr>
          <w:rFonts w:ascii="Times New Roman" w:hAnsi="Times New Roman"/>
          <w:color w:val="000000" w:themeColor="text1"/>
          <w:sz w:val="24"/>
          <w:szCs w:val="24"/>
        </w:rPr>
        <w:t xml:space="preserve"> are</w:t>
      </w:r>
      <w:r w:rsidR="00AD022E" w:rsidRPr="00631DE0">
        <w:rPr>
          <w:rFonts w:ascii="Times New Roman" w:hAnsi="Times New Roman"/>
          <w:color w:val="000000" w:themeColor="text1"/>
          <w:sz w:val="24"/>
          <w:szCs w:val="24"/>
        </w:rPr>
        <w:t xml:space="preserve"> largely</w:t>
      </w:r>
      <w:r w:rsidR="00455773" w:rsidRPr="00631DE0">
        <w:rPr>
          <w:rFonts w:ascii="Times New Roman" w:hAnsi="Times New Roman"/>
          <w:color w:val="000000" w:themeColor="text1"/>
          <w:sz w:val="24"/>
          <w:szCs w:val="24"/>
        </w:rPr>
        <w:t xml:space="preserve"> in NGOs,</w:t>
      </w:r>
      <w:r w:rsidR="00C346C8" w:rsidRPr="00631DE0">
        <w:rPr>
          <w:rFonts w:ascii="Times New Roman" w:hAnsi="Times New Roman"/>
          <w:color w:val="000000" w:themeColor="text1"/>
          <w:sz w:val="24"/>
          <w:szCs w:val="24"/>
        </w:rPr>
        <w:t xml:space="preserve"> where </w:t>
      </w:r>
      <w:r w:rsidR="00455773" w:rsidRPr="00631DE0">
        <w:rPr>
          <w:rFonts w:ascii="Times New Roman" w:hAnsi="Times New Roman"/>
          <w:color w:val="000000" w:themeColor="text1"/>
          <w:sz w:val="24"/>
          <w:szCs w:val="24"/>
        </w:rPr>
        <w:t>reporting</w:t>
      </w:r>
      <w:r w:rsidR="00C346C8" w:rsidRPr="00631DE0">
        <w:rPr>
          <w:rFonts w:ascii="Times New Roman" w:hAnsi="Times New Roman"/>
          <w:color w:val="000000" w:themeColor="text1"/>
          <w:sz w:val="24"/>
          <w:szCs w:val="24"/>
        </w:rPr>
        <w:t xml:space="preserve"> guidelines</w:t>
      </w:r>
      <w:r w:rsidR="00455773" w:rsidRPr="00631DE0">
        <w:rPr>
          <w:rFonts w:ascii="Times New Roman" w:hAnsi="Times New Roman"/>
          <w:color w:val="000000" w:themeColor="text1"/>
          <w:sz w:val="24"/>
          <w:szCs w:val="24"/>
        </w:rPr>
        <w:t xml:space="preserve"> are ambiguous</w:t>
      </w:r>
      <w:r w:rsidR="00C346C8" w:rsidRPr="00631DE0">
        <w:rPr>
          <w:rFonts w:ascii="Times New Roman" w:hAnsi="Times New Roman"/>
          <w:color w:val="000000" w:themeColor="text1"/>
          <w:sz w:val="24"/>
          <w:szCs w:val="24"/>
        </w:rPr>
        <w:t xml:space="preserve"> and</w:t>
      </w:r>
      <w:r w:rsidR="00455773" w:rsidRPr="00631DE0">
        <w:rPr>
          <w:rFonts w:ascii="Times New Roman" w:hAnsi="Times New Roman"/>
          <w:color w:val="000000" w:themeColor="text1"/>
          <w:sz w:val="24"/>
          <w:szCs w:val="24"/>
        </w:rPr>
        <w:t xml:space="preserve"> more</w:t>
      </w:r>
      <w:r w:rsidR="00C346C8" w:rsidRPr="00631DE0">
        <w:rPr>
          <w:rFonts w:ascii="Times New Roman" w:hAnsi="Times New Roman"/>
          <w:color w:val="000000" w:themeColor="text1"/>
          <w:sz w:val="24"/>
          <w:szCs w:val="24"/>
        </w:rPr>
        <w:t xml:space="preserve"> </w:t>
      </w:r>
      <w:r w:rsidR="00394BE4" w:rsidRPr="00631DE0">
        <w:rPr>
          <w:rFonts w:ascii="Times New Roman" w:hAnsi="Times New Roman"/>
          <w:color w:val="000000" w:themeColor="text1"/>
          <w:sz w:val="24"/>
          <w:szCs w:val="24"/>
        </w:rPr>
        <w:t>narrative</w:t>
      </w:r>
      <w:r w:rsidR="00C346C8" w:rsidRPr="00631DE0">
        <w:rPr>
          <w:rFonts w:ascii="Times New Roman" w:hAnsi="Times New Roman"/>
          <w:color w:val="000000" w:themeColor="text1"/>
          <w:sz w:val="24"/>
          <w:szCs w:val="24"/>
        </w:rPr>
        <w:t xml:space="preserve"> </w:t>
      </w:r>
      <w:r w:rsidR="00455773" w:rsidRPr="00631DE0">
        <w:rPr>
          <w:rFonts w:ascii="Times New Roman" w:hAnsi="Times New Roman"/>
          <w:color w:val="000000" w:themeColor="text1"/>
          <w:sz w:val="24"/>
          <w:szCs w:val="24"/>
        </w:rPr>
        <w:t>(</w:t>
      </w:r>
      <w:bookmarkStart w:id="5" w:name="_Hlk210730504"/>
      <w:r w:rsidR="00C346C8" w:rsidRPr="00631DE0">
        <w:rPr>
          <w:rFonts w:ascii="Times New Roman" w:hAnsi="Times New Roman"/>
          <w:color w:val="000000" w:themeColor="text1"/>
          <w:sz w:val="24"/>
          <w:szCs w:val="24"/>
        </w:rPr>
        <w:t>Dhanani &amp; Connolly, 2012</w:t>
      </w:r>
      <w:bookmarkEnd w:id="5"/>
      <w:r w:rsidR="00455773" w:rsidRPr="00631DE0">
        <w:rPr>
          <w:rFonts w:ascii="Times New Roman" w:hAnsi="Times New Roman"/>
          <w:color w:val="000000" w:themeColor="text1"/>
          <w:sz w:val="24"/>
          <w:szCs w:val="24"/>
        </w:rPr>
        <w:t>; P</w:t>
      </w:r>
      <w:r w:rsidR="00973996" w:rsidRPr="00631DE0">
        <w:rPr>
          <w:rFonts w:ascii="Times New Roman" w:hAnsi="Times New Roman"/>
          <w:color w:val="000000" w:themeColor="text1"/>
          <w:sz w:val="24"/>
          <w:szCs w:val="24"/>
        </w:rPr>
        <w:t>e</w:t>
      </w:r>
      <w:r w:rsidR="00455773" w:rsidRPr="00631DE0">
        <w:rPr>
          <w:rFonts w:ascii="Times New Roman" w:hAnsi="Times New Roman"/>
          <w:color w:val="000000" w:themeColor="text1"/>
          <w:sz w:val="24"/>
          <w:szCs w:val="24"/>
        </w:rPr>
        <w:t xml:space="preserve">rkiss </w:t>
      </w:r>
      <w:r w:rsidR="00455773" w:rsidRPr="00631DE0">
        <w:rPr>
          <w:rFonts w:ascii="Times New Roman" w:hAnsi="Times New Roman"/>
          <w:i/>
          <w:iCs/>
          <w:color w:val="000000" w:themeColor="text1"/>
          <w:sz w:val="24"/>
          <w:szCs w:val="24"/>
        </w:rPr>
        <w:t>et al</w:t>
      </w:r>
      <w:r w:rsidR="00455773" w:rsidRPr="00631DE0">
        <w:rPr>
          <w:rFonts w:ascii="Times New Roman" w:hAnsi="Times New Roman"/>
          <w:color w:val="000000" w:themeColor="text1"/>
          <w:sz w:val="24"/>
          <w:szCs w:val="24"/>
        </w:rPr>
        <w:t>., 2021</w:t>
      </w:r>
      <w:r w:rsidR="00AD022E" w:rsidRPr="00631DE0">
        <w:rPr>
          <w:rFonts w:ascii="Times New Roman" w:hAnsi="Times New Roman"/>
          <w:color w:val="000000" w:themeColor="text1"/>
          <w:sz w:val="24"/>
          <w:szCs w:val="24"/>
        </w:rPr>
        <w:t xml:space="preserve">; Traxler </w:t>
      </w:r>
      <w:r w:rsidR="00AD022E" w:rsidRPr="00631DE0">
        <w:rPr>
          <w:rFonts w:ascii="Times New Roman" w:hAnsi="Times New Roman"/>
          <w:i/>
          <w:iCs/>
          <w:color w:val="000000" w:themeColor="text1"/>
          <w:sz w:val="24"/>
          <w:szCs w:val="24"/>
        </w:rPr>
        <w:t>et al</w:t>
      </w:r>
      <w:r w:rsidR="00AD022E" w:rsidRPr="00631DE0">
        <w:rPr>
          <w:rFonts w:ascii="Times New Roman" w:hAnsi="Times New Roman"/>
          <w:color w:val="000000" w:themeColor="text1"/>
          <w:sz w:val="24"/>
          <w:szCs w:val="24"/>
        </w:rPr>
        <w:t>., 2018</w:t>
      </w:r>
      <w:r w:rsidR="00DB050E" w:rsidRPr="00631DE0">
        <w:rPr>
          <w:rFonts w:ascii="Times New Roman" w:hAnsi="Times New Roman"/>
          <w:color w:val="000000" w:themeColor="text1"/>
          <w:sz w:val="24"/>
          <w:szCs w:val="24"/>
        </w:rPr>
        <w:t>)</w:t>
      </w:r>
      <w:r w:rsidR="007943D2" w:rsidRPr="00631DE0">
        <w:rPr>
          <w:rFonts w:ascii="Times New Roman" w:hAnsi="Times New Roman"/>
          <w:color w:val="000000" w:themeColor="text1"/>
          <w:sz w:val="24"/>
          <w:szCs w:val="24"/>
        </w:rPr>
        <w:t xml:space="preserve">. </w:t>
      </w:r>
      <w:r w:rsidR="008F3DDC" w:rsidRPr="00631DE0">
        <w:rPr>
          <w:rFonts w:ascii="Times New Roman" w:hAnsi="Times New Roman"/>
          <w:color w:val="000000" w:themeColor="text1"/>
          <w:sz w:val="24"/>
          <w:szCs w:val="24"/>
        </w:rPr>
        <w:t>According to legitimacy theory case argument, firms that demonstrate quality of environmental performance disclosure, increase outcomes, such as stakeholder trust, reputation, and financial resources (Deegan, 2014; 2019; Lamboglia et al., 2019; Sassen et al., 2016). Thus, using insights from legitimacy theory, we contend that NGOs are more likely to increase their environmental disclosure</w:t>
      </w:r>
      <w:r w:rsidR="00DA4008">
        <w:rPr>
          <w:rFonts w:ascii="Times New Roman" w:hAnsi="Times New Roman"/>
          <w:color w:val="000000" w:themeColor="text1"/>
          <w:sz w:val="24"/>
          <w:szCs w:val="24"/>
        </w:rPr>
        <w:t xml:space="preserve"> availability</w:t>
      </w:r>
      <w:r w:rsidR="008F3DDC" w:rsidRPr="00631DE0">
        <w:rPr>
          <w:rFonts w:ascii="Times New Roman" w:hAnsi="Times New Roman"/>
          <w:color w:val="000000" w:themeColor="text1"/>
          <w:sz w:val="24"/>
          <w:szCs w:val="24"/>
        </w:rPr>
        <w:t xml:space="preserve"> over passage of time in search of legitimacy stemming from UK regulators, as well as donors</w:t>
      </w:r>
      <w:r w:rsidR="00FC0DCA">
        <w:rPr>
          <w:rFonts w:ascii="Times New Roman" w:hAnsi="Times New Roman"/>
          <w:color w:val="000000" w:themeColor="text1"/>
          <w:sz w:val="24"/>
          <w:szCs w:val="24"/>
        </w:rPr>
        <w:t>,</w:t>
      </w:r>
      <w:r w:rsidR="008F3DDC" w:rsidRPr="00631DE0">
        <w:rPr>
          <w:rFonts w:ascii="Times New Roman" w:hAnsi="Times New Roman"/>
          <w:color w:val="000000" w:themeColor="text1"/>
          <w:sz w:val="24"/>
          <w:szCs w:val="24"/>
        </w:rPr>
        <w:t xml:space="preserve"> and other stakeholders.</w:t>
      </w:r>
    </w:p>
    <w:p w14:paraId="229D578F" w14:textId="67992E7C" w:rsidR="00EC7371" w:rsidRPr="00631DE0" w:rsidRDefault="00EC7371" w:rsidP="00146467">
      <w:pPr>
        <w:suppressAutoHyphens/>
        <w:autoSpaceDN w:val="0"/>
        <w:spacing w:after="120" w:line="360" w:lineRule="auto"/>
        <w:ind w:firstLine="0"/>
        <w:textAlignment w:val="baseline"/>
        <w:rPr>
          <w:rFonts w:ascii="Times New Roman" w:hAnsi="Times New Roman"/>
          <w:b/>
          <w:bCs/>
          <w:color w:val="000000" w:themeColor="text1"/>
          <w:sz w:val="24"/>
          <w:szCs w:val="24"/>
        </w:rPr>
      </w:pPr>
      <w:r w:rsidRPr="00631DE0">
        <w:rPr>
          <w:rFonts w:ascii="Times New Roman" w:hAnsi="Times New Roman"/>
          <w:b/>
          <w:bCs/>
          <w:color w:val="000000" w:themeColor="text1"/>
          <w:sz w:val="24"/>
          <w:szCs w:val="24"/>
        </w:rPr>
        <w:t>3.2 Hypothesis Development</w:t>
      </w:r>
    </w:p>
    <w:p w14:paraId="0944A8C0" w14:textId="3E4BB52E" w:rsidR="000251D6" w:rsidRPr="00631DE0" w:rsidRDefault="000251D6" w:rsidP="00146467">
      <w:pPr>
        <w:suppressAutoHyphens/>
        <w:autoSpaceDN w:val="0"/>
        <w:spacing w:after="120" w:line="360" w:lineRule="auto"/>
        <w:ind w:firstLine="0"/>
        <w:textAlignment w:val="baseline"/>
        <w:rPr>
          <w:rFonts w:ascii="Times New Roman" w:hAnsi="Times New Roman"/>
          <w:b/>
          <w:bCs/>
          <w:color w:val="000000" w:themeColor="text1"/>
          <w:sz w:val="24"/>
          <w:szCs w:val="24"/>
        </w:rPr>
      </w:pPr>
      <w:r w:rsidRPr="00631DE0">
        <w:rPr>
          <w:rFonts w:ascii="Times New Roman" w:hAnsi="Times New Roman"/>
          <w:b/>
          <w:bCs/>
          <w:color w:val="000000" w:themeColor="text1"/>
          <w:sz w:val="24"/>
          <w:szCs w:val="24"/>
        </w:rPr>
        <w:t>3.2.1</w:t>
      </w:r>
      <w:r w:rsidR="00CD209A" w:rsidRPr="00631DE0">
        <w:rPr>
          <w:rFonts w:ascii="Times New Roman" w:hAnsi="Times New Roman"/>
          <w:b/>
          <w:bCs/>
          <w:color w:val="000000" w:themeColor="text1"/>
          <w:sz w:val="24"/>
          <w:szCs w:val="24"/>
        </w:rPr>
        <w:t xml:space="preserve"> Increasing Level of Total Environmental Disclosure</w:t>
      </w:r>
    </w:p>
    <w:p w14:paraId="060C1976" w14:textId="3F4FCBE7" w:rsidR="002C7043" w:rsidRPr="00631DE0" w:rsidRDefault="009E1C46" w:rsidP="007478FB">
      <w:pPr>
        <w:spacing w:after="120" w:line="360" w:lineRule="auto"/>
        <w:ind w:firstLine="0"/>
        <w:rPr>
          <w:rFonts w:ascii="Times New Roman" w:eastAsia="Times New Roman" w:hAnsi="Times New Roman" w:cs="Times New Roman"/>
          <w:color w:val="000000" w:themeColor="text1"/>
          <w:kern w:val="0"/>
          <w:sz w:val="24"/>
          <w:szCs w:val="24"/>
          <w14:ligatures w14:val="none"/>
        </w:rPr>
      </w:pPr>
      <w:r w:rsidRPr="00631DE0">
        <w:rPr>
          <w:rFonts w:ascii="Times New Roman" w:eastAsia="Times New Roman" w:hAnsi="Times New Roman" w:cs="Times New Roman"/>
          <w:color w:val="000000" w:themeColor="text1"/>
          <w:kern w:val="0"/>
          <w:sz w:val="24"/>
          <w:szCs w:val="24"/>
          <w14:ligatures w14:val="none"/>
        </w:rPr>
        <w:t>In recent years, environmental risks have become some of the most critical global challenges (Worl</w:t>
      </w:r>
      <w:r w:rsidR="00D84E65" w:rsidRPr="00631DE0">
        <w:rPr>
          <w:rFonts w:ascii="Times New Roman" w:eastAsia="Times New Roman" w:hAnsi="Times New Roman" w:cs="Times New Roman"/>
          <w:color w:val="000000" w:themeColor="text1"/>
          <w:kern w:val="0"/>
          <w:sz w:val="24"/>
          <w:szCs w:val="24"/>
          <w14:ligatures w14:val="none"/>
        </w:rPr>
        <w:t>d Economic Forum</w:t>
      </w:r>
      <w:r w:rsidRPr="00631DE0">
        <w:rPr>
          <w:rFonts w:ascii="Times New Roman" w:eastAsia="Times New Roman" w:hAnsi="Times New Roman" w:cs="Times New Roman"/>
          <w:color w:val="000000" w:themeColor="text1"/>
          <w:kern w:val="0"/>
          <w:sz w:val="24"/>
          <w:szCs w:val="24"/>
          <w14:ligatures w14:val="none"/>
        </w:rPr>
        <w:t xml:space="preserve"> [WEF], 2020)</w:t>
      </w:r>
      <w:r w:rsidR="00870B8E" w:rsidRPr="00631DE0">
        <w:rPr>
          <w:rFonts w:ascii="Times New Roman" w:eastAsia="Times New Roman" w:hAnsi="Times New Roman" w:cs="Times New Roman"/>
          <w:color w:val="000000" w:themeColor="text1"/>
          <w:kern w:val="0"/>
          <w:sz w:val="24"/>
          <w:szCs w:val="24"/>
          <w14:ligatures w14:val="none"/>
        </w:rPr>
        <w:t>.</w:t>
      </w:r>
      <w:r w:rsidR="00CD209A" w:rsidRPr="00631DE0">
        <w:rPr>
          <w:rFonts w:ascii="Times New Roman" w:eastAsia="Times New Roman" w:hAnsi="Times New Roman" w:cs="Times New Roman"/>
          <w:color w:val="000000" w:themeColor="text1"/>
          <w:kern w:val="0"/>
          <w:sz w:val="24"/>
          <w:szCs w:val="24"/>
          <w14:ligatures w14:val="none"/>
        </w:rPr>
        <w:t xml:space="preserve"> </w:t>
      </w:r>
      <w:r w:rsidRPr="00631DE0">
        <w:rPr>
          <w:rFonts w:ascii="Times New Roman" w:eastAsia="Times New Roman" w:hAnsi="Times New Roman" w:cs="Times New Roman"/>
          <w:color w:val="000000" w:themeColor="text1"/>
          <w:kern w:val="0"/>
          <w:sz w:val="24"/>
          <w:szCs w:val="24"/>
          <w14:ligatures w14:val="none"/>
        </w:rPr>
        <w:t>These risks</w:t>
      </w:r>
      <w:r w:rsidR="00D84E65" w:rsidRPr="00631DE0">
        <w:rPr>
          <w:rFonts w:ascii="Times New Roman" w:eastAsia="Times New Roman" w:hAnsi="Times New Roman" w:cs="Times New Roman"/>
          <w:color w:val="000000" w:themeColor="text1"/>
          <w:kern w:val="0"/>
          <w:sz w:val="24"/>
          <w:szCs w:val="24"/>
          <w14:ligatures w14:val="none"/>
        </w:rPr>
        <w:t xml:space="preserve"> co</w:t>
      </w:r>
      <w:r w:rsidR="00870B8E" w:rsidRPr="00631DE0">
        <w:rPr>
          <w:rFonts w:ascii="Times New Roman" w:eastAsia="Times New Roman" w:hAnsi="Times New Roman" w:cs="Times New Roman"/>
          <w:color w:val="000000" w:themeColor="text1"/>
          <w:kern w:val="0"/>
          <w:sz w:val="24"/>
          <w:szCs w:val="24"/>
          <w14:ligatures w14:val="none"/>
        </w:rPr>
        <w:t>mprise</w:t>
      </w:r>
      <w:r w:rsidR="00D84E65" w:rsidRPr="00631DE0">
        <w:rPr>
          <w:rFonts w:ascii="Times New Roman" w:eastAsia="Times New Roman" w:hAnsi="Times New Roman" w:cs="Times New Roman"/>
          <w:color w:val="000000" w:themeColor="text1"/>
          <w:kern w:val="0"/>
          <w:sz w:val="24"/>
          <w:szCs w:val="24"/>
          <w14:ligatures w14:val="none"/>
        </w:rPr>
        <w:t xml:space="preserve"> of</w:t>
      </w:r>
      <w:r w:rsidR="00664D22" w:rsidRPr="00631DE0">
        <w:rPr>
          <w:rFonts w:ascii="Times New Roman" w:eastAsia="Times New Roman" w:hAnsi="Times New Roman" w:cs="Times New Roman"/>
          <w:color w:val="000000" w:themeColor="text1"/>
          <w:kern w:val="0"/>
          <w:sz w:val="24"/>
          <w:szCs w:val="24"/>
          <w14:ligatures w14:val="none"/>
        </w:rPr>
        <w:t xml:space="preserve"> the</w:t>
      </w:r>
      <w:r w:rsidRPr="00631DE0">
        <w:rPr>
          <w:rFonts w:ascii="Times New Roman" w:eastAsia="Times New Roman" w:hAnsi="Times New Roman" w:cs="Times New Roman"/>
          <w:color w:val="000000" w:themeColor="text1"/>
          <w:kern w:val="0"/>
          <w:sz w:val="24"/>
          <w:szCs w:val="24"/>
          <w14:ligatures w14:val="none"/>
        </w:rPr>
        <w:t xml:space="preserve"> ecosystem degradation, environmental damage, and climate-related threats (García-Sánchez et al., 2021; Raimo, 2023).</w:t>
      </w:r>
      <w:r w:rsidR="00D84E65" w:rsidRPr="00631DE0">
        <w:rPr>
          <w:rFonts w:ascii="Times New Roman" w:eastAsia="Times New Roman" w:hAnsi="Times New Roman" w:cs="Times New Roman"/>
          <w:color w:val="000000" w:themeColor="text1"/>
          <w:kern w:val="0"/>
          <w:sz w:val="24"/>
          <w:szCs w:val="24"/>
          <w14:ligatures w14:val="none"/>
        </w:rPr>
        <w:t xml:space="preserve"> Thus,</w:t>
      </w:r>
      <w:r w:rsidRPr="00631DE0">
        <w:rPr>
          <w:rFonts w:ascii="Times New Roman" w:eastAsia="Times New Roman" w:hAnsi="Times New Roman" w:cs="Times New Roman"/>
          <w:color w:val="000000" w:themeColor="text1"/>
          <w:kern w:val="0"/>
          <w:sz w:val="24"/>
          <w:szCs w:val="24"/>
          <w14:ligatures w14:val="none"/>
        </w:rPr>
        <w:t xml:space="preserve"> </w:t>
      </w:r>
      <w:r w:rsidR="00D84E65" w:rsidRPr="00631DE0">
        <w:rPr>
          <w:rFonts w:ascii="Times New Roman" w:eastAsia="Times New Roman" w:hAnsi="Times New Roman" w:cs="Times New Roman"/>
          <w:color w:val="000000" w:themeColor="text1"/>
          <w:kern w:val="0"/>
          <w:sz w:val="24"/>
          <w:szCs w:val="24"/>
          <w14:ligatures w14:val="none"/>
        </w:rPr>
        <w:t xml:space="preserve">a </w:t>
      </w:r>
      <w:r w:rsidRPr="00631DE0">
        <w:rPr>
          <w:rFonts w:ascii="Times New Roman" w:eastAsia="Times New Roman" w:hAnsi="Times New Roman" w:cs="Times New Roman"/>
          <w:color w:val="000000" w:themeColor="text1"/>
          <w:kern w:val="0"/>
          <w:sz w:val="24"/>
          <w:szCs w:val="24"/>
          <w14:ligatures w14:val="none"/>
        </w:rPr>
        <w:t>growing body of research highlights increasing concern about the adverse impacts of these risks on planet</w:t>
      </w:r>
      <w:r w:rsidR="00870B8E" w:rsidRPr="00631DE0">
        <w:rPr>
          <w:rFonts w:ascii="Times New Roman" w:eastAsia="Times New Roman" w:hAnsi="Times New Roman" w:cs="Times New Roman"/>
          <w:color w:val="000000" w:themeColor="text1"/>
          <w:kern w:val="0"/>
          <w:sz w:val="24"/>
          <w:szCs w:val="24"/>
          <w14:ligatures w14:val="none"/>
        </w:rPr>
        <w:t>ary health</w:t>
      </w:r>
      <w:r w:rsidRPr="00631DE0">
        <w:rPr>
          <w:rFonts w:ascii="Times New Roman" w:eastAsia="Times New Roman" w:hAnsi="Times New Roman" w:cs="Times New Roman"/>
          <w:color w:val="000000" w:themeColor="text1"/>
          <w:kern w:val="0"/>
          <w:sz w:val="24"/>
          <w:szCs w:val="24"/>
          <w14:ligatures w14:val="none"/>
        </w:rPr>
        <w:t xml:space="preserve"> (</w:t>
      </w:r>
      <w:r w:rsidR="00854E90" w:rsidRPr="00631DE0">
        <w:rPr>
          <w:rFonts w:ascii="Times New Roman" w:eastAsia="Times New Roman" w:hAnsi="Times New Roman" w:cs="Times New Roman"/>
          <w:color w:val="000000" w:themeColor="text1"/>
          <w:kern w:val="0"/>
          <w:sz w:val="24"/>
          <w:szCs w:val="24"/>
          <w14:ligatures w14:val="none"/>
        </w:rPr>
        <w:t xml:space="preserve">Asogwa et al., 2021; </w:t>
      </w:r>
      <w:r w:rsidRPr="00631DE0">
        <w:rPr>
          <w:rFonts w:ascii="Times New Roman" w:eastAsia="Times New Roman" w:hAnsi="Times New Roman" w:cs="Times New Roman"/>
          <w:color w:val="000000" w:themeColor="text1"/>
          <w:kern w:val="0"/>
          <w:sz w:val="24"/>
          <w:szCs w:val="24"/>
          <w14:ligatures w14:val="none"/>
        </w:rPr>
        <w:t>Akhter, 2021; Nyberg &amp; Wright, 2022).</w:t>
      </w:r>
      <w:r w:rsidR="00D84E65" w:rsidRPr="00631DE0">
        <w:rPr>
          <w:rFonts w:ascii="Times New Roman" w:eastAsia="Times New Roman" w:hAnsi="Times New Roman" w:cs="Times New Roman"/>
          <w:color w:val="000000" w:themeColor="text1"/>
          <w:kern w:val="0"/>
          <w:sz w:val="24"/>
          <w:szCs w:val="24"/>
          <w14:ligatures w14:val="none"/>
        </w:rPr>
        <w:t xml:space="preserve"> </w:t>
      </w:r>
      <w:r w:rsidRPr="00631DE0">
        <w:rPr>
          <w:rFonts w:ascii="Times New Roman" w:eastAsia="Times New Roman" w:hAnsi="Times New Roman" w:cs="Times New Roman"/>
          <w:color w:val="000000" w:themeColor="text1"/>
          <w:kern w:val="0"/>
          <w:sz w:val="24"/>
          <w:szCs w:val="24"/>
          <w14:ligatures w14:val="none"/>
        </w:rPr>
        <w:t xml:space="preserve">For </w:t>
      </w:r>
      <w:r w:rsidR="00D84E65" w:rsidRPr="00631DE0">
        <w:rPr>
          <w:rFonts w:ascii="Times New Roman" w:eastAsia="Times New Roman" w:hAnsi="Times New Roman" w:cs="Times New Roman"/>
          <w:color w:val="000000" w:themeColor="text1"/>
          <w:kern w:val="0"/>
          <w:sz w:val="24"/>
          <w:szCs w:val="24"/>
          <w14:ligatures w14:val="none"/>
        </w:rPr>
        <w:t>instance</w:t>
      </w:r>
      <w:r w:rsidRPr="00631DE0">
        <w:rPr>
          <w:rFonts w:ascii="Times New Roman" w:eastAsia="Times New Roman" w:hAnsi="Times New Roman" w:cs="Times New Roman"/>
          <w:color w:val="000000" w:themeColor="text1"/>
          <w:kern w:val="0"/>
          <w:sz w:val="24"/>
          <w:szCs w:val="24"/>
          <w14:ligatures w14:val="none"/>
        </w:rPr>
        <w:t>, the U</w:t>
      </w:r>
      <w:r w:rsidR="00870B8E" w:rsidRPr="00631DE0">
        <w:rPr>
          <w:rFonts w:ascii="Times New Roman" w:eastAsia="Times New Roman" w:hAnsi="Times New Roman" w:cs="Times New Roman"/>
          <w:color w:val="000000" w:themeColor="text1"/>
          <w:kern w:val="0"/>
          <w:sz w:val="24"/>
          <w:szCs w:val="24"/>
          <w14:ligatures w14:val="none"/>
        </w:rPr>
        <w:t>nited Nation</w:t>
      </w:r>
      <w:r w:rsidRPr="00631DE0">
        <w:rPr>
          <w:rFonts w:ascii="Times New Roman" w:eastAsia="Times New Roman" w:hAnsi="Times New Roman" w:cs="Times New Roman"/>
          <w:color w:val="000000" w:themeColor="text1"/>
          <w:kern w:val="0"/>
          <w:sz w:val="24"/>
          <w:szCs w:val="24"/>
          <w14:ligatures w14:val="none"/>
        </w:rPr>
        <w:t xml:space="preserve"> Intergovernmental Science-Policy Platform on Biodiversity </w:t>
      </w:r>
      <w:r w:rsidRPr="00631DE0">
        <w:rPr>
          <w:rFonts w:ascii="Times New Roman" w:eastAsia="Times New Roman" w:hAnsi="Times New Roman" w:cs="Times New Roman"/>
          <w:color w:val="000000" w:themeColor="text1"/>
          <w:kern w:val="0"/>
          <w:sz w:val="24"/>
          <w:szCs w:val="24"/>
          <w14:ligatures w14:val="none"/>
        </w:rPr>
        <w:lastRenderedPageBreak/>
        <w:t>and Ecosystem Services has warned that over one million species face the threat of extinction.</w:t>
      </w:r>
      <w:r w:rsidR="00A4318E" w:rsidRPr="00631DE0">
        <w:rPr>
          <w:rFonts w:ascii="Times New Roman" w:eastAsia="Times New Roman" w:hAnsi="Times New Roman" w:cs="Times New Roman"/>
          <w:color w:val="000000" w:themeColor="text1"/>
          <w:kern w:val="0"/>
          <w:sz w:val="24"/>
          <w:szCs w:val="24"/>
          <w14:ligatures w14:val="none"/>
        </w:rPr>
        <w:t xml:space="preserve"> Furthermore</w:t>
      </w:r>
      <w:r w:rsidRPr="00631DE0">
        <w:rPr>
          <w:rFonts w:ascii="Times New Roman" w:eastAsia="Times New Roman" w:hAnsi="Times New Roman" w:cs="Times New Roman"/>
          <w:color w:val="000000" w:themeColor="text1"/>
          <w:kern w:val="0"/>
          <w:sz w:val="24"/>
          <w:szCs w:val="24"/>
          <w14:ligatures w14:val="none"/>
        </w:rPr>
        <w:t>, environmental d</w:t>
      </w:r>
      <w:r w:rsidR="00854E90" w:rsidRPr="00631DE0">
        <w:rPr>
          <w:rFonts w:ascii="Times New Roman" w:eastAsia="Times New Roman" w:hAnsi="Times New Roman" w:cs="Times New Roman"/>
          <w:color w:val="000000" w:themeColor="text1"/>
          <w:kern w:val="0"/>
          <w:sz w:val="24"/>
          <w:szCs w:val="24"/>
          <w14:ligatures w14:val="none"/>
        </w:rPr>
        <w:t>egradations</w:t>
      </w:r>
      <w:r w:rsidR="00A4318E" w:rsidRPr="00631DE0">
        <w:rPr>
          <w:rFonts w:ascii="Times New Roman" w:eastAsia="Times New Roman" w:hAnsi="Times New Roman" w:cs="Times New Roman"/>
          <w:color w:val="000000" w:themeColor="text1"/>
          <w:kern w:val="0"/>
          <w:sz w:val="24"/>
          <w:szCs w:val="24"/>
          <w14:ligatures w14:val="none"/>
        </w:rPr>
        <w:t xml:space="preserve"> and climate change</w:t>
      </w:r>
      <w:r w:rsidR="00854E90" w:rsidRPr="00631DE0">
        <w:rPr>
          <w:rFonts w:ascii="Times New Roman" w:eastAsia="Times New Roman" w:hAnsi="Times New Roman" w:cs="Times New Roman"/>
          <w:color w:val="000000" w:themeColor="text1"/>
          <w:kern w:val="0"/>
          <w:sz w:val="24"/>
          <w:szCs w:val="24"/>
          <w14:ligatures w14:val="none"/>
        </w:rPr>
        <w:t xml:space="preserve"> hav</w:t>
      </w:r>
      <w:r w:rsidR="00A4318E" w:rsidRPr="00631DE0">
        <w:rPr>
          <w:rFonts w:ascii="Times New Roman" w:eastAsia="Times New Roman" w:hAnsi="Times New Roman" w:cs="Times New Roman"/>
          <w:color w:val="000000" w:themeColor="text1"/>
          <w:kern w:val="0"/>
          <w:sz w:val="24"/>
          <w:szCs w:val="24"/>
          <w14:ligatures w14:val="none"/>
        </w:rPr>
        <w:t>e continued to threaten</w:t>
      </w:r>
      <w:r w:rsidR="00D84E65" w:rsidRPr="00631DE0">
        <w:rPr>
          <w:rFonts w:ascii="Times New Roman" w:eastAsia="Times New Roman" w:hAnsi="Times New Roman" w:cs="Times New Roman"/>
          <w:color w:val="000000" w:themeColor="text1"/>
          <w:kern w:val="0"/>
          <w:sz w:val="24"/>
          <w:szCs w:val="24"/>
          <w14:ligatures w14:val="none"/>
        </w:rPr>
        <w:t xml:space="preserve"> the</w:t>
      </w:r>
      <w:r w:rsidRPr="00631DE0">
        <w:rPr>
          <w:rFonts w:ascii="Times New Roman" w:eastAsia="Times New Roman" w:hAnsi="Times New Roman" w:cs="Times New Roman"/>
          <w:color w:val="000000" w:themeColor="text1"/>
          <w:kern w:val="0"/>
          <w:sz w:val="24"/>
          <w:szCs w:val="24"/>
          <w14:ligatures w14:val="none"/>
        </w:rPr>
        <w:t xml:space="preserve"> macroeconomic variables</w:t>
      </w:r>
      <w:r w:rsidR="00D84E65" w:rsidRPr="00631DE0">
        <w:rPr>
          <w:rFonts w:ascii="Times New Roman" w:eastAsia="Times New Roman" w:hAnsi="Times New Roman" w:cs="Times New Roman"/>
          <w:color w:val="000000" w:themeColor="text1"/>
          <w:kern w:val="0"/>
          <w:sz w:val="24"/>
          <w:szCs w:val="24"/>
          <w14:ligatures w14:val="none"/>
        </w:rPr>
        <w:t xml:space="preserve"> such as</w:t>
      </w:r>
      <w:r w:rsidRPr="00631DE0">
        <w:rPr>
          <w:rFonts w:ascii="Times New Roman" w:eastAsia="Times New Roman" w:hAnsi="Times New Roman" w:cs="Times New Roman"/>
          <w:color w:val="000000" w:themeColor="text1"/>
          <w:kern w:val="0"/>
          <w:sz w:val="24"/>
          <w:szCs w:val="24"/>
          <w14:ligatures w14:val="none"/>
        </w:rPr>
        <w:t xml:space="preserve"> agriculture (Aragón et al., 2021; Cui &amp; Xie, 2021), public health (Koltcher et al., 2021), and human </w:t>
      </w:r>
      <w:r w:rsidR="00D84E65" w:rsidRPr="00631DE0">
        <w:rPr>
          <w:rFonts w:ascii="Times New Roman" w:eastAsia="Times New Roman" w:hAnsi="Times New Roman" w:cs="Times New Roman"/>
          <w:color w:val="000000" w:themeColor="text1"/>
          <w:kern w:val="0"/>
          <w:sz w:val="24"/>
          <w:szCs w:val="24"/>
          <w14:ligatures w14:val="none"/>
        </w:rPr>
        <w:t>migration</w:t>
      </w:r>
      <w:r w:rsidRPr="00631DE0">
        <w:rPr>
          <w:rFonts w:ascii="Times New Roman" w:eastAsia="Times New Roman" w:hAnsi="Times New Roman" w:cs="Times New Roman"/>
          <w:color w:val="000000" w:themeColor="text1"/>
          <w:kern w:val="0"/>
          <w:sz w:val="24"/>
          <w:szCs w:val="24"/>
          <w14:ligatures w14:val="none"/>
        </w:rPr>
        <w:t xml:space="preserve"> (</w:t>
      </w:r>
      <w:r w:rsidR="00EB1464" w:rsidRPr="00631DE0">
        <w:rPr>
          <w:rFonts w:ascii="Times New Roman" w:eastAsia="Aptos" w:hAnsi="Times New Roman" w:cs="Times New Roman"/>
          <w:color w:val="000000" w:themeColor="text1"/>
          <w:sz w:val="24"/>
          <w:szCs w:val="24"/>
          <w:shd w:val="clear" w:color="auto" w:fill="FFFFFF"/>
        </w:rPr>
        <w:t>Asfaw et al., 2017;</w:t>
      </w:r>
      <w:r w:rsidR="00EB1464" w:rsidRPr="00631DE0">
        <w:rPr>
          <w:rFonts w:ascii="Times New Roman" w:eastAsia="Times New Roman" w:hAnsi="Times New Roman" w:cs="Times New Roman"/>
          <w:color w:val="000000" w:themeColor="text1"/>
          <w:kern w:val="0"/>
          <w:sz w:val="24"/>
          <w:szCs w:val="24"/>
          <w14:ligatures w14:val="none"/>
        </w:rPr>
        <w:t xml:space="preserve"> </w:t>
      </w:r>
      <w:r w:rsidRPr="00631DE0">
        <w:rPr>
          <w:rFonts w:ascii="Times New Roman" w:eastAsia="Times New Roman" w:hAnsi="Times New Roman" w:cs="Times New Roman"/>
          <w:color w:val="000000" w:themeColor="text1"/>
          <w:kern w:val="0"/>
          <w:sz w:val="24"/>
          <w:szCs w:val="24"/>
          <w14:ligatures w14:val="none"/>
        </w:rPr>
        <w:t>Parson &amp; Nielsen, 2021).</w:t>
      </w:r>
      <w:r w:rsidR="00854E90" w:rsidRPr="00631DE0">
        <w:rPr>
          <w:rFonts w:ascii="Times New Roman" w:eastAsia="Times New Roman" w:hAnsi="Times New Roman" w:cs="Times New Roman"/>
          <w:color w:val="000000" w:themeColor="text1"/>
          <w:kern w:val="0"/>
          <w:sz w:val="24"/>
          <w:szCs w:val="24"/>
          <w14:ligatures w14:val="none"/>
        </w:rPr>
        <w:t xml:space="preserve"> </w:t>
      </w:r>
      <w:r w:rsidR="00760A0B" w:rsidRPr="00631DE0">
        <w:rPr>
          <w:rFonts w:ascii="Times New Roman" w:eastAsia="Times New Roman" w:hAnsi="Times New Roman" w:cs="Times New Roman"/>
          <w:color w:val="000000" w:themeColor="text1"/>
          <w:kern w:val="0"/>
          <w:sz w:val="24"/>
          <w:szCs w:val="24"/>
          <w14:ligatures w14:val="none"/>
        </w:rPr>
        <w:t xml:space="preserve">As </w:t>
      </w:r>
      <w:r w:rsidR="00383F1D" w:rsidRPr="00631DE0">
        <w:rPr>
          <w:rFonts w:ascii="Times New Roman" w:eastAsia="Times New Roman" w:hAnsi="Times New Roman" w:cs="Times New Roman"/>
          <w:color w:val="000000" w:themeColor="text1"/>
          <w:kern w:val="0"/>
          <w:sz w:val="24"/>
          <w:szCs w:val="24"/>
          <w14:ligatures w14:val="none"/>
        </w:rPr>
        <w:t xml:space="preserve">such, </w:t>
      </w:r>
      <w:r w:rsidR="00B11453" w:rsidRPr="00631DE0">
        <w:rPr>
          <w:rFonts w:ascii="Times New Roman" w:eastAsia="Times New Roman" w:hAnsi="Times New Roman" w:cs="Times New Roman"/>
          <w:color w:val="000000" w:themeColor="text1"/>
          <w:kern w:val="0"/>
          <w:sz w:val="24"/>
          <w:szCs w:val="24"/>
          <w14:ligatures w14:val="none"/>
        </w:rPr>
        <w:t>literature shows</w:t>
      </w:r>
      <w:r w:rsidR="00383F1D" w:rsidRPr="00631DE0">
        <w:rPr>
          <w:rFonts w:ascii="Times New Roman" w:eastAsia="Times New Roman" w:hAnsi="Times New Roman" w:cs="Times New Roman"/>
          <w:color w:val="000000" w:themeColor="text1"/>
          <w:kern w:val="0"/>
          <w:sz w:val="24"/>
          <w:szCs w:val="24"/>
          <w14:ligatures w14:val="none"/>
        </w:rPr>
        <w:t xml:space="preserve"> increas</w:t>
      </w:r>
      <w:r w:rsidR="004D2FF4" w:rsidRPr="00631DE0">
        <w:rPr>
          <w:rFonts w:ascii="Times New Roman" w:eastAsia="Times New Roman" w:hAnsi="Times New Roman" w:cs="Times New Roman"/>
          <w:color w:val="000000" w:themeColor="text1"/>
          <w:kern w:val="0"/>
          <w:sz w:val="24"/>
          <w:szCs w:val="24"/>
          <w14:ligatures w14:val="none"/>
        </w:rPr>
        <w:t>ing</w:t>
      </w:r>
      <w:r w:rsidR="00383F1D" w:rsidRPr="00631DE0">
        <w:rPr>
          <w:rFonts w:ascii="Times New Roman" w:eastAsia="Times New Roman" w:hAnsi="Times New Roman" w:cs="Times New Roman"/>
          <w:color w:val="000000" w:themeColor="text1"/>
          <w:kern w:val="0"/>
          <w:sz w:val="24"/>
          <w:szCs w:val="24"/>
          <w14:ligatures w14:val="none"/>
        </w:rPr>
        <w:t xml:space="preserve"> demand for </w:t>
      </w:r>
      <w:r w:rsidR="00760A0B" w:rsidRPr="00631DE0">
        <w:rPr>
          <w:rFonts w:ascii="Times New Roman" w:eastAsia="Times New Roman" w:hAnsi="Times New Roman" w:cs="Times New Roman"/>
          <w:color w:val="000000" w:themeColor="text1"/>
          <w:kern w:val="0"/>
          <w:sz w:val="24"/>
          <w:szCs w:val="24"/>
          <w14:ligatures w14:val="none"/>
        </w:rPr>
        <w:t xml:space="preserve">corporate environmental performance accountability, as environmental risks </w:t>
      </w:r>
      <w:r w:rsidRPr="00631DE0">
        <w:rPr>
          <w:rFonts w:ascii="Times New Roman" w:eastAsia="Times New Roman" w:hAnsi="Times New Roman" w:cs="Times New Roman"/>
          <w:color w:val="000000" w:themeColor="text1"/>
          <w:kern w:val="0"/>
          <w:sz w:val="24"/>
          <w:szCs w:val="24"/>
          <w14:ligatures w14:val="none"/>
        </w:rPr>
        <w:t xml:space="preserve">bears implication not only </w:t>
      </w:r>
      <w:r w:rsidR="00664D22" w:rsidRPr="00631DE0">
        <w:rPr>
          <w:rFonts w:ascii="Times New Roman" w:eastAsia="Times New Roman" w:hAnsi="Times New Roman" w:cs="Times New Roman"/>
          <w:color w:val="000000" w:themeColor="text1"/>
          <w:kern w:val="0"/>
          <w:sz w:val="24"/>
          <w:szCs w:val="24"/>
          <w14:ligatures w14:val="none"/>
        </w:rPr>
        <w:t>for</w:t>
      </w:r>
      <w:r w:rsidRPr="00631DE0">
        <w:rPr>
          <w:rFonts w:ascii="Times New Roman" w:eastAsia="Times New Roman" w:hAnsi="Times New Roman" w:cs="Times New Roman"/>
          <w:color w:val="000000" w:themeColor="text1"/>
          <w:kern w:val="0"/>
          <w:sz w:val="24"/>
          <w:szCs w:val="24"/>
          <w14:ligatures w14:val="none"/>
        </w:rPr>
        <w:t xml:space="preserve"> </w:t>
      </w:r>
      <w:r w:rsidR="00760A0B" w:rsidRPr="00631DE0">
        <w:rPr>
          <w:rFonts w:ascii="Times New Roman" w:eastAsia="Times New Roman" w:hAnsi="Times New Roman" w:cs="Times New Roman"/>
          <w:color w:val="000000" w:themeColor="text1"/>
          <w:kern w:val="0"/>
          <w:sz w:val="24"/>
          <w:szCs w:val="24"/>
          <w14:ligatures w14:val="none"/>
        </w:rPr>
        <w:t>the current situation,</w:t>
      </w:r>
      <w:r w:rsidRPr="00631DE0">
        <w:rPr>
          <w:rFonts w:ascii="Times New Roman" w:eastAsia="Times New Roman" w:hAnsi="Times New Roman" w:cs="Times New Roman"/>
          <w:color w:val="000000" w:themeColor="text1"/>
          <w:kern w:val="0"/>
          <w:sz w:val="24"/>
          <w:szCs w:val="24"/>
          <w14:ligatures w14:val="none"/>
        </w:rPr>
        <w:t xml:space="preserve"> but also</w:t>
      </w:r>
      <w:r w:rsidR="00664D22" w:rsidRPr="00631DE0">
        <w:rPr>
          <w:rFonts w:ascii="Times New Roman" w:eastAsia="Times New Roman" w:hAnsi="Times New Roman" w:cs="Times New Roman"/>
          <w:color w:val="000000" w:themeColor="text1"/>
          <w:kern w:val="0"/>
          <w:sz w:val="24"/>
          <w:szCs w:val="24"/>
          <w14:ligatures w14:val="none"/>
        </w:rPr>
        <w:t xml:space="preserve"> </w:t>
      </w:r>
      <w:r w:rsidR="00712BF7" w:rsidRPr="00631DE0">
        <w:rPr>
          <w:rFonts w:ascii="Times New Roman" w:eastAsia="Times New Roman" w:hAnsi="Times New Roman" w:cs="Times New Roman"/>
          <w:color w:val="000000" w:themeColor="text1"/>
          <w:kern w:val="0"/>
          <w:sz w:val="24"/>
          <w:szCs w:val="24"/>
          <w14:ligatures w14:val="none"/>
        </w:rPr>
        <w:t>the</w:t>
      </w:r>
      <w:r w:rsidRPr="00631DE0">
        <w:rPr>
          <w:rFonts w:ascii="Times New Roman" w:eastAsia="Times New Roman" w:hAnsi="Times New Roman" w:cs="Times New Roman"/>
          <w:color w:val="000000" w:themeColor="text1"/>
          <w:kern w:val="0"/>
          <w:sz w:val="24"/>
          <w:szCs w:val="24"/>
          <w14:ligatures w14:val="none"/>
        </w:rPr>
        <w:t xml:space="preserve"> </w:t>
      </w:r>
      <w:r w:rsidR="004D2FF4" w:rsidRPr="00631DE0">
        <w:rPr>
          <w:rFonts w:ascii="Times New Roman" w:eastAsia="Times New Roman" w:hAnsi="Times New Roman" w:cs="Times New Roman"/>
          <w:color w:val="000000" w:themeColor="text1"/>
          <w:kern w:val="0"/>
          <w:sz w:val="24"/>
          <w:szCs w:val="24"/>
          <w14:ligatures w14:val="none"/>
        </w:rPr>
        <w:t>future</w:t>
      </w:r>
      <w:r w:rsidRPr="00631DE0">
        <w:rPr>
          <w:rFonts w:ascii="Times New Roman" w:eastAsia="Times New Roman" w:hAnsi="Times New Roman" w:cs="Times New Roman"/>
          <w:color w:val="000000" w:themeColor="text1"/>
          <w:kern w:val="0"/>
          <w:sz w:val="24"/>
          <w:szCs w:val="24"/>
          <w14:ligatures w14:val="none"/>
        </w:rPr>
        <w:t xml:space="preserve"> (Nicolo et al., 2022; Vitolla &amp; Raimo, 2018; Vitolla et al., 2018).</w:t>
      </w:r>
      <w:r w:rsidR="00760A0B" w:rsidRPr="00631DE0">
        <w:rPr>
          <w:rFonts w:ascii="Times New Roman" w:eastAsia="Times New Roman" w:hAnsi="Times New Roman" w:cs="Times New Roman"/>
          <w:color w:val="000000" w:themeColor="text1"/>
          <w:kern w:val="0"/>
          <w:sz w:val="24"/>
          <w:szCs w:val="24"/>
          <w14:ligatures w14:val="none"/>
        </w:rPr>
        <w:t xml:space="preserve"> </w:t>
      </w:r>
      <w:r w:rsidR="00B11453" w:rsidRPr="00631DE0">
        <w:rPr>
          <w:rFonts w:ascii="Times New Roman" w:eastAsia="Times New Roman" w:hAnsi="Times New Roman" w:cs="Times New Roman"/>
          <w:color w:val="000000" w:themeColor="text1"/>
          <w:kern w:val="0"/>
          <w:sz w:val="24"/>
          <w:szCs w:val="24"/>
          <w14:ligatures w14:val="none"/>
        </w:rPr>
        <w:t xml:space="preserve">In view of this, studies show growing </w:t>
      </w:r>
      <w:r w:rsidR="00375764" w:rsidRPr="00631DE0">
        <w:rPr>
          <w:rFonts w:ascii="Times New Roman" w:eastAsia="Times New Roman" w:hAnsi="Times New Roman" w:cs="Times New Roman"/>
          <w:color w:val="000000" w:themeColor="text1"/>
          <w:kern w:val="0"/>
          <w:sz w:val="24"/>
          <w:szCs w:val="24"/>
          <w14:ligatures w14:val="none"/>
        </w:rPr>
        <w:t>environmental reporting</w:t>
      </w:r>
      <w:r w:rsidR="00EE2696" w:rsidRPr="00631DE0">
        <w:rPr>
          <w:rFonts w:ascii="Times New Roman" w:eastAsia="Times New Roman" w:hAnsi="Times New Roman" w:cs="Times New Roman"/>
          <w:color w:val="000000" w:themeColor="text1"/>
          <w:kern w:val="0"/>
          <w:sz w:val="24"/>
          <w:szCs w:val="24"/>
          <w14:ligatures w14:val="none"/>
        </w:rPr>
        <w:t xml:space="preserve"> </w:t>
      </w:r>
      <w:r w:rsidR="00B11453" w:rsidRPr="00631DE0">
        <w:rPr>
          <w:rFonts w:ascii="Times New Roman" w:eastAsia="Times New Roman" w:hAnsi="Times New Roman" w:cs="Times New Roman"/>
          <w:color w:val="000000" w:themeColor="text1"/>
          <w:kern w:val="0"/>
          <w:sz w:val="24"/>
          <w:szCs w:val="24"/>
          <w14:ligatures w14:val="none"/>
        </w:rPr>
        <w:t>in response to</w:t>
      </w:r>
      <w:r w:rsidR="00EE2696" w:rsidRPr="00631DE0">
        <w:rPr>
          <w:rFonts w:ascii="Times New Roman" w:eastAsia="Times New Roman" w:hAnsi="Times New Roman" w:cs="Times New Roman"/>
          <w:color w:val="000000" w:themeColor="text1"/>
          <w:kern w:val="0"/>
          <w:sz w:val="24"/>
          <w:szCs w:val="24"/>
          <w14:ligatures w14:val="none"/>
        </w:rPr>
        <w:t xml:space="preserve"> environmental performance accountability (</w:t>
      </w:r>
      <w:r w:rsidR="005703C6" w:rsidRPr="00631DE0">
        <w:rPr>
          <w:rFonts w:ascii="Times New Roman" w:eastAsia="Calibri" w:hAnsi="Times New Roman" w:cs="Times New Roman"/>
          <w:color w:val="000000" w:themeColor="text1"/>
          <w:kern w:val="0"/>
          <w:sz w:val="24"/>
          <w:szCs w:val="24"/>
          <w14:ligatures w14:val="none"/>
        </w:rPr>
        <w:t>Pariag-Maraye, 2022; Yasmin &amp; Ghafran, 2021</w:t>
      </w:r>
      <w:r w:rsidR="00B11453" w:rsidRPr="00631DE0">
        <w:rPr>
          <w:rFonts w:ascii="Times New Roman" w:eastAsia="Times New Roman" w:hAnsi="Times New Roman" w:cs="Times New Roman"/>
          <w:color w:val="000000" w:themeColor="text1"/>
          <w:kern w:val="0"/>
          <w:sz w:val="24"/>
          <w:szCs w:val="24"/>
          <w14:ligatures w14:val="none"/>
        </w:rPr>
        <w:t>). This</w:t>
      </w:r>
      <w:r w:rsidR="00EE2696" w:rsidRPr="00631DE0">
        <w:rPr>
          <w:rFonts w:ascii="Times New Roman" w:eastAsia="Times New Roman" w:hAnsi="Times New Roman" w:cs="Times New Roman"/>
          <w:color w:val="000000" w:themeColor="text1"/>
          <w:kern w:val="0"/>
          <w:sz w:val="24"/>
          <w:szCs w:val="24"/>
          <w14:ligatures w14:val="none"/>
        </w:rPr>
        <w:t xml:space="preserve"> initiative </w:t>
      </w:r>
      <w:r w:rsidR="00712BF7" w:rsidRPr="00631DE0">
        <w:rPr>
          <w:rFonts w:ascii="Times New Roman" w:eastAsia="Times New Roman" w:hAnsi="Times New Roman" w:cs="Times New Roman"/>
          <w:color w:val="000000" w:themeColor="text1"/>
          <w:kern w:val="0"/>
          <w:sz w:val="24"/>
          <w:szCs w:val="24"/>
          <w14:ligatures w14:val="none"/>
        </w:rPr>
        <w:t>has been</w:t>
      </w:r>
      <w:r w:rsidR="00EE2696" w:rsidRPr="00631DE0">
        <w:rPr>
          <w:rFonts w:ascii="Times New Roman" w:eastAsia="Times New Roman" w:hAnsi="Times New Roman" w:cs="Times New Roman"/>
          <w:color w:val="000000" w:themeColor="text1"/>
          <w:kern w:val="0"/>
          <w:sz w:val="24"/>
          <w:szCs w:val="24"/>
          <w14:ligatures w14:val="none"/>
        </w:rPr>
        <w:t xml:space="preserve"> built on assumption that there is environmental performance information asymmetry between firms and stakeholders, thus, creating accountability tensions (Li et al., 2018; Raimo et al., 2019). Therefore, environmental performance</w:t>
      </w:r>
      <w:r w:rsidR="00712BF7" w:rsidRPr="00631DE0">
        <w:rPr>
          <w:rFonts w:ascii="Times New Roman" w:eastAsia="Times New Roman" w:hAnsi="Times New Roman" w:cs="Times New Roman"/>
          <w:color w:val="000000" w:themeColor="text1"/>
          <w:kern w:val="0"/>
          <w:sz w:val="24"/>
          <w:szCs w:val="24"/>
          <w14:ligatures w14:val="none"/>
        </w:rPr>
        <w:t xml:space="preserve"> disclosure</w:t>
      </w:r>
      <w:r w:rsidR="00EE2696" w:rsidRPr="00631DE0">
        <w:rPr>
          <w:rFonts w:ascii="Times New Roman" w:eastAsia="Times New Roman" w:hAnsi="Times New Roman" w:cs="Times New Roman"/>
          <w:color w:val="000000" w:themeColor="text1"/>
          <w:kern w:val="0"/>
          <w:sz w:val="24"/>
          <w:szCs w:val="24"/>
          <w14:ligatures w14:val="none"/>
        </w:rPr>
        <w:t xml:space="preserve"> </w:t>
      </w:r>
      <w:r w:rsidR="00712BF7" w:rsidRPr="00631DE0">
        <w:rPr>
          <w:rFonts w:ascii="Times New Roman" w:eastAsia="Times New Roman" w:hAnsi="Times New Roman" w:cs="Times New Roman"/>
          <w:color w:val="000000" w:themeColor="text1"/>
          <w:kern w:val="0"/>
          <w:sz w:val="24"/>
          <w:szCs w:val="24"/>
          <w14:ligatures w14:val="none"/>
        </w:rPr>
        <w:t>has</w:t>
      </w:r>
      <w:r w:rsidR="00EE2696" w:rsidRPr="00631DE0">
        <w:rPr>
          <w:rFonts w:ascii="Times New Roman" w:eastAsia="Times New Roman" w:hAnsi="Times New Roman" w:cs="Times New Roman"/>
          <w:color w:val="000000" w:themeColor="text1"/>
          <w:kern w:val="0"/>
          <w:sz w:val="24"/>
          <w:szCs w:val="24"/>
          <w14:ligatures w14:val="none"/>
        </w:rPr>
        <w:t xml:space="preserve"> become accountability tool </w:t>
      </w:r>
      <w:r w:rsidR="002577E0" w:rsidRPr="00631DE0">
        <w:rPr>
          <w:rFonts w:ascii="Times New Roman" w:eastAsia="Times New Roman" w:hAnsi="Times New Roman" w:cs="Times New Roman"/>
          <w:color w:val="000000" w:themeColor="text1"/>
          <w:kern w:val="0"/>
          <w:sz w:val="24"/>
          <w:szCs w:val="24"/>
          <w14:ligatures w14:val="none"/>
        </w:rPr>
        <w:t>for</w:t>
      </w:r>
      <w:r w:rsidR="00EE2696" w:rsidRPr="00631DE0">
        <w:rPr>
          <w:rFonts w:ascii="Times New Roman" w:eastAsia="Times New Roman" w:hAnsi="Times New Roman" w:cs="Times New Roman"/>
          <w:color w:val="000000" w:themeColor="text1"/>
          <w:kern w:val="0"/>
          <w:sz w:val="24"/>
          <w:szCs w:val="24"/>
          <w14:ligatures w14:val="none"/>
        </w:rPr>
        <w:t xml:space="preserve"> </w:t>
      </w:r>
      <w:r w:rsidR="002577E0" w:rsidRPr="00631DE0">
        <w:rPr>
          <w:rFonts w:ascii="Times New Roman" w:eastAsia="Times New Roman" w:hAnsi="Times New Roman" w:cs="Times New Roman"/>
          <w:color w:val="000000" w:themeColor="text1"/>
          <w:kern w:val="0"/>
          <w:sz w:val="24"/>
          <w:szCs w:val="24"/>
          <w14:ligatures w14:val="none"/>
        </w:rPr>
        <w:t>gaining the</w:t>
      </w:r>
      <w:r w:rsidR="00EE2696" w:rsidRPr="00631DE0">
        <w:rPr>
          <w:rFonts w:ascii="Times New Roman" w:eastAsia="Times New Roman" w:hAnsi="Times New Roman" w:cs="Times New Roman"/>
          <w:color w:val="000000" w:themeColor="text1"/>
          <w:kern w:val="0"/>
          <w:sz w:val="24"/>
          <w:szCs w:val="24"/>
          <w14:ligatures w14:val="none"/>
        </w:rPr>
        <w:t xml:space="preserve"> lost trust between</w:t>
      </w:r>
      <w:r w:rsidR="002577E0" w:rsidRPr="00631DE0">
        <w:rPr>
          <w:rFonts w:ascii="Times New Roman" w:eastAsia="Times New Roman" w:hAnsi="Times New Roman" w:cs="Times New Roman"/>
          <w:color w:val="000000" w:themeColor="text1"/>
          <w:kern w:val="0"/>
          <w:sz w:val="24"/>
          <w:szCs w:val="24"/>
          <w14:ligatures w14:val="none"/>
        </w:rPr>
        <w:t xml:space="preserve"> the</w:t>
      </w:r>
      <w:r w:rsidR="00EE2696" w:rsidRPr="00631DE0">
        <w:rPr>
          <w:rFonts w:ascii="Times New Roman" w:eastAsia="Times New Roman" w:hAnsi="Times New Roman" w:cs="Times New Roman"/>
          <w:color w:val="000000" w:themeColor="text1"/>
          <w:kern w:val="0"/>
          <w:sz w:val="24"/>
          <w:szCs w:val="24"/>
          <w14:ligatures w14:val="none"/>
        </w:rPr>
        <w:t xml:space="preserve"> society and firms</w:t>
      </w:r>
      <w:r w:rsidR="00BB6359" w:rsidRPr="00631DE0">
        <w:rPr>
          <w:rFonts w:ascii="Times New Roman" w:eastAsia="Times New Roman" w:hAnsi="Times New Roman" w:cs="Times New Roman"/>
          <w:color w:val="000000" w:themeColor="text1"/>
          <w:kern w:val="0"/>
          <w:sz w:val="24"/>
          <w:szCs w:val="24"/>
          <w14:ligatures w14:val="none"/>
        </w:rPr>
        <w:t xml:space="preserve"> (Asogwa et al., 2022; Deegan, 201</w:t>
      </w:r>
      <w:r w:rsidR="002577E0" w:rsidRPr="00631DE0">
        <w:rPr>
          <w:rFonts w:ascii="Times New Roman" w:eastAsia="Times New Roman" w:hAnsi="Times New Roman" w:cs="Times New Roman"/>
          <w:color w:val="000000" w:themeColor="text1"/>
          <w:kern w:val="0"/>
          <w:sz w:val="24"/>
          <w:szCs w:val="24"/>
          <w14:ligatures w14:val="none"/>
        </w:rPr>
        <w:t>7</w:t>
      </w:r>
      <w:r w:rsidR="00BB6359" w:rsidRPr="00631DE0">
        <w:rPr>
          <w:rFonts w:ascii="Times New Roman" w:eastAsia="Times New Roman" w:hAnsi="Times New Roman" w:cs="Times New Roman"/>
          <w:color w:val="000000" w:themeColor="text1"/>
          <w:kern w:val="0"/>
          <w:sz w:val="24"/>
          <w:szCs w:val="24"/>
          <w14:ligatures w14:val="none"/>
        </w:rPr>
        <w:t>)</w:t>
      </w:r>
      <w:r w:rsidR="002577E0" w:rsidRPr="00631DE0">
        <w:rPr>
          <w:rFonts w:ascii="Times New Roman" w:eastAsia="Times New Roman" w:hAnsi="Times New Roman" w:cs="Times New Roman"/>
          <w:color w:val="000000" w:themeColor="text1"/>
          <w:kern w:val="0"/>
          <w:sz w:val="24"/>
          <w:szCs w:val="24"/>
          <w14:ligatures w14:val="none"/>
        </w:rPr>
        <w:t xml:space="preserve">. </w:t>
      </w:r>
      <w:r w:rsidR="00712BF7" w:rsidRPr="00631DE0">
        <w:rPr>
          <w:rFonts w:ascii="Times New Roman" w:eastAsia="Times New Roman" w:hAnsi="Times New Roman" w:cs="Times New Roman"/>
          <w:color w:val="000000" w:themeColor="text1"/>
          <w:kern w:val="0"/>
          <w:sz w:val="24"/>
          <w:szCs w:val="24"/>
          <w14:ligatures w14:val="none"/>
        </w:rPr>
        <w:t xml:space="preserve"> Accordingly, </w:t>
      </w:r>
      <w:r w:rsidR="004172E2" w:rsidRPr="00631DE0">
        <w:rPr>
          <w:rFonts w:ascii="Times New Roman" w:eastAsia="Times New Roman" w:hAnsi="Times New Roman" w:cs="Times New Roman"/>
          <w:color w:val="000000" w:themeColor="text1"/>
          <w:kern w:val="0"/>
          <w:sz w:val="24"/>
          <w:szCs w:val="24"/>
          <w14:ligatures w14:val="none"/>
        </w:rPr>
        <w:t>legitimacy theory a</w:t>
      </w:r>
      <w:r w:rsidR="00712BF7" w:rsidRPr="00631DE0">
        <w:rPr>
          <w:rFonts w:ascii="Times New Roman" w:eastAsia="Times New Roman" w:hAnsi="Times New Roman" w:cs="Times New Roman"/>
          <w:color w:val="000000" w:themeColor="text1"/>
          <w:kern w:val="0"/>
          <w:sz w:val="24"/>
          <w:szCs w:val="24"/>
          <w14:ligatures w14:val="none"/>
        </w:rPr>
        <w:t>rgues</w:t>
      </w:r>
      <w:r w:rsidR="004172E2" w:rsidRPr="00631DE0">
        <w:rPr>
          <w:rFonts w:ascii="Times New Roman" w:eastAsia="Times New Roman" w:hAnsi="Times New Roman" w:cs="Times New Roman"/>
          <w:color w:val="000000" w:themeColor="text1"/>
          <w:kern w:val="0"/>
          <w:sz w:val="24"/>
          <w:szCs w:val="24"/>
          <w14:ligatures w14:val="none"/>
        </w:rPr>
        <w:t xml:space="preserve"> that firms seeking to survive must act within acceptable behaviours </w:t>
      </w:r>
      <w:r w:rsidR="005B7009" w:rsidRPr="00631DE0">
        <w:rPr>
          <w:rFonts w:ascii="Times New Roman" w:eastAsia="Times New Roman" w:hAnsi="Times New Roman" w:cs="Times New Roman"/>
          <w:color w:val="000000" w:themeColor="text1"/>
          <w:kern w:val="0"/>
          <w:sz w:val="24"/>
          <w:szCs w:val="24"/>
          <w14:ligatures w14:val="none"/>
        </w:rPr>
        <w:t>of the</w:t>
      </w:r>
      <w:r w:rsidR="004172E2" w:rsidRPr="00631DE0">
        <w:rPr>
          <w:rFonts w:ascii="Times New Roman" w:eastAsia="Times New Roman" w:hAnsi="Times New Roman" w:cs="Times New Roman"/>
          <w:color w:val="000000" w:themeColor="text1"/>
          <w:kern w:val="0"/>
          <w:sz w:val="24"/>
          <w:szCs w:val="24"/>
          <w14:ligatures w14:val="none"/>
        </w:rPr>
        <w:t xml:space="preserve"> society</w:t>
      </w:r>
      <w:r w:rsidR="00712BF7" w:rsidRPr="00631DE0">
        <w:rPr>
          <w:rFonts w:ascii="Times New Roman" w:eastAsia="Times New Roman" w:hAnsi="Times New Roman" w:cs="Times New Roman"/>
          <w:color w:val="000000" w:themeColor="text1"/>
          <w:kern w:val="0"/>
          <w:sz w:val="24"/>
          <w:szCs w:val="24"/>
          <w14:ligatures w14:val="none"/>
        </w:rPr>
        <w:t xml:space="preserve"> where they operate</w:t>
      </w:r>
      <w:r w:rsidR="004172E2" w:rsidRPr="00631DE0">
        <w:rPr>
          <w:rFonts w:ascii="Times New Roman" w:eastAsia="Times New Roman" w:hAnsi="Times New Roman" w:cs="Times New Roman"/>
          <w:color w:val="000000" w:themeColor="text1"/>
          <w:kern w:val="0"/>
          <w:sz w:val="24"/>
          <w:szCs w:val="24"/>
          <w14:ligatures w14:val="none"/>
        </w:rPr>
        <w:t xml:space="preserve"> (Al-Bassam et al., 2018; Deephouse et al., 2017).</w:t>
      </w:r>
      <w:r w:rsidR="005B7009" w:rsidRPr="00631DE0">
        <w:rPr>
          <w:rFonts w:ascii="Times New Roman" w:eastAsia="Times New Roman" w:hAnsi="Times New Roman" w:cs="Times New Roman"/>
          <w:color w:val="000000" w:themeColor="text1"/>
          <w:kern w:val="0"/>
          <w:sz w:val="24"/>
          <w:szCs w:val="24"/>
          <w14:ligatures w14:val="none"/>
        </w:rPr>
        <w:t xml:space="preserve"> On </w:t>
      </w:r>
      <w:r w:rsidR="00175C54" w:rsidRPr="00631DE0">
        <w:rPr>
          <w:rFonts w:ascii="Times New Roman" w:eastAsia="Times New Roman" w:hAnsi="Times New Roman" w:cs="Times New Roman"/>
          <w:color w:val="000000" w:themeColor="text1"/>
          <w:kern w:val="0"/>
          <w:sz w:val="24"/>
          <w:szCs w:val="24"/>
          <w14:ligatures w14:val="none"/>
        </w:rPr>
        <w:t>this purpose</w:t>
      </w:r>
      <w:r w:rsidR="005B7009" w:rsidRPr="00631DE0">
        <w:rPr>
          <w:rFonts w:ascii="Times New Roman" w:eastAsia="Times New Roman" w:hAnsi="Times New Roman" w:cs="Times New Roman"/>
          <w:color w:val="000000" w:themeColor="text1"/>
          <w:kern w:val="0"/>
          <w:sz w:val="24"/>
          <w:szCs w:val="24"/>
          <w14:ligatures w14:val="none"/>
        </w:rPr>
        <w:t xml:space="preserve">, </w:t>
      </w:r>
      <w:r w:rsidR="00175C54" w:rsidRPr="00631DE0">
        <w:rPr>
          <w:rFonts w:ascii="Times New Roman" w:eastAsia="Times New Roman" w:hAnsi="Times New Roman" w:cs="Times New Roman"/>
          <w:color w:val="000000" w:themeColor="text1"/>
          <w:kern w:val="0"/>
          <w:sz w:val="24"/>
          <w:szCs w:val="24"/>
          <w14:ligatures w14:val="none"/>
        </w:rPr>
        <w:t>some studies (Chowdhury et al., 2020; Deegan, 2017)</w:t>
      </w:r>
      <w:r w:rsidR="00BE1E3C" w:rsidRPr="00631DE0">
        <w:rPr>
          <w:rFonts w:ascii="Times New Roman" w:eastAsia="Times New Roman" w:hAnsi="Times New Roman" w:cs="Times New Roman"/>
          <w:color w:val="000000" w:themeColor="text1"/>
          <w:kern w:val="0"/>
          <w:sz w:val="24"/>
          <w:szCs w:val="24"/>
          <w14:ligatures w14:val="none"/>
        </w:rPr>
        <w:t xml:space="preserve">, argue that firms engage on environmental disclosure incrementally to avoid their legitimacy withdrawn </w:t>
      </w:r>
      <w:r w:rsidR="005B7009" w:rsidRPr="00631DE0">
        <w:rPr>
          <w:rFonts w:ascii="Times New Roman" w:eastAsia="Times New Roman" w:hAnsi="Times New Roman" w:cs="Times New Roman"/>
          <w:color w:val="000000" w:themeColor="text1"/>
          <w:kern w:val="0"/>
          <w:sz w:val="24"/>
          <w:szCs w:val="24"/>
          <w14:ligatures w14:val="none"/>
        </w:rPr>
        <w:t>when</w:t>
      </w:r>
      <w:r w:rsidR="00BE1E3C" w:rsidRPr="00631DE0">
        <w:rPr>
          <w:rFonts w:ascii="Times New Roman" w:eastAsia="Times New Roman" w:hAnsi="Times New Roman" w:cs="Times New Roman"/>
          <w:color w:val="000000" w:themeColor="text1"/>
          <w:kern w:val="0"/>
          <w:sz w:val="24"/>
          <w:szCs w:val="24"/>
          <w14:ligatures w14:val="none"/>
        </w:rPr>
        <w:t xml:space="preserve"> they</w:t>
      </w:r>
      <w:r w:rsidR="002577E0" w:rsidRPr="00631DE0">
        <w:rPr>
          <w:rFonts w:ascii="Times New Roman" w:eastAsia="Times New Roman" w:hAnsi="Times New Roman" w:cs="Times New Roman"/>
          <w:color w:val="000000" w:themeColor="text1"/>
          <w:kern w:val="0"/>
          <w:sz w:val="24"/>
          <w:szCs w:val="24"/>
          <w14:ligatures w14:val="none"/>
        </w:rPr>
        <w:t xml:space="preserve"> </w:t>
      </w:r>
      <w:r w:rsidR="005B7009" w:rsidRPr="00631DE0">
        <w:rPr>
          <w:rFonts w:ascii="Times New Roman" w:eastAsia="Times New Roman" w:hAnsi="Times New Roman" w:cs="Times New Roman"/>
          <w:color w:val="000000" w:themeColor="text1"/>
          <w:kern w:val="0"/>
          <w:sz w:val="24"/>
          <w:szCs w:val="24"/>
          <w14:ligatures w14:val="none"/>
        </w:rPr>
        <w:t xml:space="preserve">fail to comply with </w:t>
      </w:r>
      <w:r w:rsidR="00BE1E3C" w:rsidRPr="00631DE0">
        <w:rPr>
          <w:rFonts w:ascii="Times New Roman" w:eastAsia="Times New Roman" w:hAnsi="Times New Roman" w:cs="Times New Roman"/>
          <w:color w:val="000000" w:themeColor="text1"/>
          <w:kern w:val="0"/>
          <w:sz w:val="24"/>
          <w:szCs w:val="24"/>
          <w14:ligatures w14:val="none"/>
        </w:rPr>
        <w:t>ever changing</w:t>
      </w:r>
      <w:r w:rsidR="005B7009" w:rsidRPr="00631DE0">
        <w:rPr>
          <w:rFonts w:ascii="Times New Roman" w:eastAsia="Times New Roman" w:hAnsi="Times New Roman" w:cs="Times New Roman"/>
          <w:color w:val="000000" w:themeColor="text1"/>
          <w:kern w:val="0"/>
          <w:sz w:val="24"/>
          <w:szCs w:val="24"/>
          <w14:ligatures w14:val="none"/>
        </w:rPr>
        <w:t xml:space="preserve"> society</w:t>
      </w:r>
      <w:r w:rsidR="00A56407" w:rsidRPr="00631DE0">
        <w:rPr>
          <w:rFonts w:ascii="Times New Roman" w:eastAsia="Times New Roman" w:hAnsi="Times New Roman" w:cs="Times New Roman"/>
          <w:color w:val="000000" w:themeColor="text1"/>
          <w:kern w:val="0"/>
          <w:sz w:val="24"/>
          <w:szCs w:val="24"/>
          <w14:ligatures w14:val="none"/>
        </w:rPr>
        <w:t xml:space="preserve"> </w:t>
      </w:r>
      <w:r w:rsidR="00BE1E3C" w:rsidRPr="00631DE0">
        <w:rPr>
          <w:rFonts w:ascii="Times New Roman" w:eastAsia="Times New Roman" w:hAnsi="Times New Roman" w:cs="Times New Roman"/>
          <w:color w:val="000000" w:themeColor="text1"/>
          <w:kern w:val="0"/>
          <w:sz w:val="24"/>
          <w:szCs w:val="24"/>
          <w14:ligatures w14:val="none"/>
        </w:rPr>
        <w:t>norms.</w:t>
      </w:r>
    </w:p>
    <w:p w14:paraId="35C77EA4" w14:textId="759F8271" w:rsidR="007277F0" w:rsidRPr="00631DE0" w:rsidRDefault="002577E0" w:rsidP="002C7043">
      <w:pPr>
        <w:spacing w:after="120" w:line="360" w:lineRule="auto"/>
        <w:ind w:firstLine="0"/>
        <w:rPr>
          <w:rFonts w:ascii="Times New Roman" w:eastAsia="Times New Roman" w:hAnsi="Times New Roman" w:cs="Times New Roman"/>
          <w:color w:val="000000" w:themeColor="text1"/>
          <w:kern w:val="0"/>
          <w:sz w:val="24"/>
          <w:szCs w:val="24"/>
          <w14:ligatures w14:val="none"/>
        </w:rPr>
      </w:pPr>
      <w:r w:rsidRPr="00631DE0">
        <w:rPr>
          <w:rFonts w:ascii="Times New Roman" w:eastAsia="Times New Roman" w:hAnsi="Times New Roman" w:cs="Times New Roman"/>
          <w:color w:val="000000" w:themeColor="text1"/>
          <w:kern w:val="0"/>
          <w:sz w:val="24"/>
          <w:szCs w:val="24"/>
          <w14:ligatures w14:val="none"/>
        </w:rPr>
        <w:t>Thus</w:t>
      </w:r>
      <w:r w:rsidR="00CC6327" w:rsidRPr="00631DE0">
        <w:rPr>
          <w:rFonts w:ascii="Times New Roman" w:eastAsia="Times New Roman" w:hAnsi="Times New Roman" w:cs="Times New Roman"/>
          <w:color w:val="000000" w:themeColor="text1"/>
          <w:kern w:val="0"/>
          <w:sz w:val="24"/>
          <w:szCs w:val="24"/>
          <w14:ligatures w14:val="none"/>
        </w:rPr>
        <w:t>,</w:t>
      </w:r>
      <w:r w:rsidR="00003833" w:rsidRPr="00631DE0">
        <w:rPr>
          <w:rFonts w:ascii="Times New Roman" w:eastAsia="Times New Roman" w:hAnsi="Times New Roman" w:cs="Times New Roman"/>
          <w:color w:val="000000" w:themeColor="text1"/>
          <w:kern w:val="0"/>
          <w:sz w:val="24"/>
          <w:szCs w:val="24"/>
          <w14:ligatures w14:val="none"/>
        </w:rPr>
        <w:t xml:space="preserve"> legitimacy theory </w:t>
      </w:r>
      <w:r w:rsidR="00CC6327" w:rsidRPr="00631DE0">
        <w:rPr>
          <w:rFonts w:ascii="Times New Roman" w:eastAsia="Times New Roman" w:hAnsi="Times New Roman" w:cs="Times New Roman"/>
          <w:color w:val="000000" w:themeColor="text1"/>
          <w:kern w:val="0"/>
          <w:sz w:val="24"/>
          <w:szCs w:val="24"/>
          <w14:ligatures w14:val="none"/>
        </w:rPr>
        <w:t>posits</w:t>
      </w:r>
      <w:r w:rsidR="00003833" w:rsidRPr="00631DE0">
        <w:rPr>
          <w:rFonts w:ascii="Times New Roman" w:eastAsia="Times New Roman" w:hAnsi="Times New Roman" w:cs="Times New Roman"/>
          <w:color w:val="000000" w:themeColor="text1"/>
          <w:kern w:val="0"/>
          <w:sz w:val="24"/>
          <w:szCs w:val="24"/>
          <w14:ligatures w14:val="none"/>
        </w:rPr>
        <w:t xml:space="preserve"> that firms</w:t>
      </w:r>
      <w:r w:rsidR="00CC6327" w:rsidRPr="00631DE0">
        <w:rPr>
          <w:rFonts w:ascii="Times New Roman" w:eastAsia="Times New Roman" w:hAnsi="Times New Roman" w:cs="Times New Roman"/>
          <w:color w:val="000000" w:themeColor="text1"/>
          <w:kern w:val="0"/>
          <w:sz w:val="24"/>
          <w:szCs w:val="24"/>
          <w14:ligatures w14:val="none"/>
        </w:rPr>
        <w:t xml:space="preserve"> have implicit social contracts with the society where </w:t>
      </w:r>
      <w:r w:rsidRPr="00631DE0">
        <w:rPr>
          <w:rFonts w:ascii="Times New Roman" w:eastAsia="Times New Roman" w:hAnsi="Times New Roman" w:cs="Times New Roman"/>
          <w:color w:val="000000" w:themeColor="text1"/>
          <w:kern w:val="0"/>
          <w:sz w:val="24"/>
          <w:szCs w:val="24"/>
          <w14:ligatures w14:val="none"/>
        </w:rPr>
        <w:t>they</w:t>
      </w:r>
      <w:r w:rsidR="00CC6327" w:rsidRPr="00631DE0">
        <w:rPr>
          <w:rFonts w:ascii="Times New Roman" w:eastAsia="Times New Roman" w:hAnsi="Times New Roman" w:cs="Times New Roman"/>
          <w:color w:val="000000" w:themeColor="text1"/>
          <w:kern w:val="0"/>
          <w:sz w:val="24"/>
          <w:szCs w:val="24"/>
          <w14:ligatures w14:val="none"/>
        </w:rPr>
        <w:t xml:space="preserve"> domicile (</w:t>
      </w:r>
      <w:r w:rsidRPr="00631DE0">
        <w:rPr>
          <w:rFonts w:ascii="Times New Roman" w:eastAsia="Times New Roman" w:hAnsi="Times New Roman" w:cs="Times New Roman"/>
          <w:color w:val="000000" w:themeColor="text1"/>
          <w:kern w:val="0"/>
          <w:sz w:val="24"/>
          <w:szCs w:val="24"/>
          <w14:ligatures w14:val="none"/>
        </w:rPr>
        <w:t>Deephouse et al., 2017; Deegan, 2014</w:t>
      </w:r>
      <w:r w:rsidR="00CC6327" w:rsidRPr="00631DE0">
        <w:rPr>
          <w:rFonts w:ascii="Times New Roman" w:eastAsia="Times New Roman" w:hAnsi="Times New Roman" w:cs="Times New Roman"/>
          <w:color w:val="000000" w:themeColor="text1"/>
          <w:kern w:val="0"/>
          <w:sz w:val="24"/>
          <w:szCs w:val="24"/>
          <w14:ligatures w14:val="none"/>
        </w:rPr>
        <w:t>)</w:t>
      </w:r>
      <w:r w:rsidR="00375764" w:rsidRPr="00631DE0">
        <w:rPr>
          <w:rFonts w:ascii="Times New Roman" w:eastAsia="Times New Roman" w:hAnsi="Times New Roman" w:cs="Times New Roman"/>
          <w:color w:val="000000" w:themeColor="text1"/>
          <w:kern w:val="0"/>
          <w:sz w:val="24"/>
          <w:szCs w:val="24"/>
          <w14:ligatures w14:val="none"/>
        </w:rPr>
        <w:t xml:space="preserve">. </w:t>
      </w:r>
      <w:r w:rsidR="00C72C2D" w:rsidRPr="00631DE0">
        <w:rPr>
          <w:rFonts w:ascii="Times New Roman" w:eastAsia="Times New Roman" w:hAnsi="Times New Roman" w:cs="Times New Roman"/>
          <w:color w:val="000000" w:themeColor="text1"/>
          <w:kern w:val="0"/>
          <w:sz w:val="24"/>
          <w:szCs w:val="24"/>
          <w14:ligatures w14:val="none"/>
        </w:rPr>
        <w:t xml:space="preserve">However, because of </w:t>
      </w:r>
      <w:r w:rsidR="00A56407" w:rsidRPr="00631DE0">
        <w:rPr>
          <w:rFonts w:ascii="Times New Roman" w:eastAsia="Times New Roman" w:hAnsi="Times New Roman" w:cs="Times New Roman"/>
          <w:color w:val="000000" w:themeColor="text1"/>
          <w:kern w:val="0"/>
          <w:sz w:val="24"/>
          <w:szCs w:val="24"/>
          <w14:ligatures w14:val="none"/>
        </w:rPr>
        <w:t>ever-changing</w:t>
      </w:r>
      <w:r w:rsidR="00C72C2D" w:rsidRPr="00631DE0">
        <w:rPr>
          <w:rFonts w:ascii="Times New Roman" w:eastAsia="Times New Roman" w:hAnsi="Times New Roman" w:cs="Times New Roman"/>
          <w:color w:val="000000" w:themeColor="text1"/>
          <w:kern w:val="0"/>
          <w:sz w:val="24"/>
          <w:szCs w:val="24"/>
          <w14:ligatures w14:val="none"/>
        </w:rPr>
        <w:t xml:space="preserve"> societal norms and expectations</w:t>
      </w:r>
      <w:r w:rsidR="001603E9" w:rsidRPr="00631DE0">
        <w:rPr>
          <w:rFonts w:ascii="Times New Roman" w:eastAsia="Times New Roman" w:hAnsi="Times New Roman" w:cs="Times New Roman"/>
          <w:color w:val="000000" w:themeColor="text1"/>
          <w:kern w:val="0"/>
          <w:sz w:val="24"/>
          <w:szCs w:val="24"/>
          <w14:ligatures w14:val="none"/>
        </w:rPr>
        <w:t xml:space="preserve">, firms’ </w:t>
      </w:r>
      <w:r w:rsidR="00A56407" w:rsidRPr="00631DE0">
        <w:rPr>
          <w:rFonts w:ascii="Times New Roman" w:eastAsia="Times New Roman" w:hAnsi="Times New Roman" w:cs="Times New Roman"/>
          <w:color w:val="000000" w:themeColor="text1"/>
          <w:kern w:val="0"/>
          <w:sz w:val="24"/>
          <w:szCs w:val="24"/>
          <w14:ligatures w14:val="none"/>
        </w:rPr>
        <w:t>face</w:t>
      </w:r>
      <w:r w:rsidR="001603E9" w:rsidRPr="00631DE0">
        <w:rPr>
          <w:rFonts w:ascii="Times New Roman" w:eastAsia="Times New Roman" w:hAnsi="Times New Roman" w:cs="Times New Roman"/>
          <w:color w:val="000000" w:themeColor="text1"/>
          <w:kern w:val="0"/>
          <w:sz w:val="24"/>
          <w:szCs w:val="24"/>
          <w14:ligatures w14:val="none"/>
        </w:rPr>
        <w:t xml:space="preserve"> legitimacy gaps (Agyemang et al., 2019; Rezaee, 2016)</w:t>
      </w:r>
      <w:r w:rsidR="00B11453" w:rsidRPr="00631DE0">
        <w:rPr>
          <w:rFonts w:ascii="Times New Roman" w:eastAsia="Times New Roman" w:hAnsi="Times New Roman" w:cs="Times New Roman"/>
          <w:color w:val="000000" w:themeColor="text1"/>
          <w:kern w:val="0"/>
          <w:sz w:val="24"/>
          <w:szCs w:val="24"/>
          <w14:ligatures w14:val="none"/>
        </w:rPr>
        <w:t xml:space="preserve">, </w:t>
      </w:r>
      <w:r w:rsidR="00A56407" w:rsidRPr="00631DE0">
        <w:rPr>
          <w:rFonts w:ascii="Times New Roman" w:eastAsia="Times New Roman" w:hAnsi="Times New Roman" w:cs="Times New Roman"/>
          <w:color w:val="000000" w:themeColor="text1"/>
          <w:kern w:val="0"/>
          <w:sz w:val="24"/>
          <w:szCs w:val="24"/>
          <w14:ligatures w14:val="none"/>
        </w:rPr>
        <w:t>which</w:t>
      </w:r>
      <w:r w:rsidR="00B11453" w:rsidRPr="00631DE0">
        <w:rPr>
          <w:rFonts w:ascii="Times New Roman" w:eastAsia="Times New Roman" w:hAnsi="Times New Roman" w:cs="Times New Roman"/>
          <w:color w:val="000000" w:themeColor="text1"/>
          <w:kern w:val="0"/>
          <w:sz w:val="24"/>
          <w:szCs w:val="24"/>
          <w14:ligatures w14:val="none"/>
        </w:rPr>
        <w:t xml:space="preserve"> requires</w:t>
      </w:r>
      <w:r w:rsidR="001603E9" w:rsidRPr="00631DE0">
        <w:rPr>
          <w:rFonts w:ascii="Times New Roman" w:eastAsia="Times New Roman" w:hAnsi="Times New Roman" w:cs="Times New Roman"/>
          <w:color w:val="000000" w:themeColor="text1"/>
          <w:kern w:val="0"/>
          <w:sz w:val="24"/>
          <w:szCs w:val="24"/>
          <w14:ligatures w14:val="none"/>
        </w:rPr>
        <w:t xml:space="preserve"> </w:t>
      </w:r>
      <w:r w:rsidR="00B11453" w:rsidRPr="00631DE0">
        <w:rPr>
          <w:rFonts w:ascii="Times New Roman" w:eastAsia="Times New Roman" w:hAnsi="Times New Roman" w:cs="Times New Roman"/>
          <w:color w:val="000000" w:themeColor="text1"/>
          <w:kern w:val="0"/>
          <w:sz w:val="24"/>
          <w:szCs w:val="24"/>
          <w14:ligatures w14:val="none"/>
        </w:rPr>
        <w:t>them</w:t>
      </w:r>
      <w:r w:rsidR="002A4304" w:rsidRPr="00631DE0">
        <w:rPr>
          <w:rFonts w:ascii="Times New Roman" w:eastAsia="Times New Roman" w:hAnsi="Times New Roman" w:cs="Times New Roman"/>
          <w:color w:val="000000" w:themeColor="text1"/>
          <w:kern w:val="0"/>
          <w:sz w:val="24"/>
          <w:szCs w:val="24"/>
          <w14:ligatures w14:val="none"/>
        </w:rPr>
        <w:t xml:space="preserve"> to</w:t>
      </w:r>
      <w:r w:rsidR="001603E9" w:rsidRPr="00631DE0">
        <w:rPr>
          <w:rFonts w:ascii="Times New Roman" w:eastAsia="Times New Roman" w:hAnsi="Times New Roman" w:cs="Times New Roman"/>
          <w:color w:val="000000" w:themeColor="text1"/>
          <w:kern w:val="0"/>
          <w:sz w:val="24"/>
          <w:szCs w:val="24"/>
          <w14:ligatures w14:val="none"/>
        </w:rPr>
        <w:t xml:space="preserve"> </w:t>
      </w:r>
      <w:r w:rsidR="002A4304" w:rsidRPr="00631DE0">
        <w:rPr>
          <w:rFonts w:ascii="Times New Roman" w:eastAsia="Times New Roman" w:hAnsi="Times New Roman" w:cs="Times New Roman"/>
          <w:color w:val="000000" w:themeColor="text1"/>
          <w:kern w:val="0"/>
          <w:sz w:val="24"/>
          <w:szCs w:val="24"/>
          <w14:ligatures w14:val="none"/>
        </w:rPr>
        <w:t>respond to</w:t>
      </w:r>
      <w:r w:rsidR="001603E9" w:rsidRPr="00631DE0">
        <w:rPr>
          <w:rFonts w:ascii="Times New Roman" w:eastAsia="Times New Roman" w:hAnsi="Times New Roman" w:cs="Times New Roman"/>
          <w:color w:val="000000" w:themeColor="text1"/>
          <w:kern w:val="0"/>
          <w:sz w:val="24"/>
          <w:szCs w:val="24"/>
          <w14:ligatures w14:val="none"/>
        </w:rPr>
        <w:t xml:space="preserve"> </w:t>
      </w:r>
      <w:r w:rsidR="002A4304" w:rsidRPr="00631DE0">
        <w:rPr>
          <w:rFonts w:ascii="Times New Roman" w:eastAsia="Times New Roman" w:hAnsi="Times New Roman" w:cs="Times New Roman"/>
          <w:color w:val="000000" w:themeColor="text1"/>
          <w:kern w:val="0"/>
          <w:sz w:val="24"/>
          <w:szCs w:val="24"/>
          <w14:ligatures w14:val="none"/>
        </w:rPr>
        <w:t>legitimacy threat</w:t>
      </w:r>
      <w:r w:rsidR="001603E9" w:rsidRPr="00631DE0">
        <w:rPr>
          <w:rFonts w:ascii="Times New Roman" w:eastAsia="Times New Roman" w:hAnsi="Times New Roman" w:cs="Times New Roman"/>
          <w:color w:val="000000" w:themeColor="text1"/>
          <w:kern w:val="0"/>
          <w:sz w:val="24"/>
          <w:szCs w:val="24"/>
          <w14:ligatures w14:val="none"/>
        </w:rPr>
        <w:t xml:space="preserve"> (</w:t>
      </w:r>
      <w:r w:rsidR="009F7881" w:rsidRPr="00631DE0">
        <w:rPr>
          <w:rFonts w:ascii="Times New Roman" w:eastAsia="Times New Roman" w:hAnsi="Times New Roman" w:cs="Times New Roman"/>
          <w:color w:val="000000" w:themeColor="text1"/>
          <w:kern w:val="0"/>
          <w:sz w:val="24"/>
          <w:szCs w:val="24"/>
          <w14:ligatures w14:val="none"/>
        </w:rPr>
        <w:t>Conway et al., 2017; Deegan, 2019).</w:t>
      </w:r>
      <w:r w:rsidR="009F6087" w:rsidRPr="00631DE0">
        <w:rPr>
          <w:rFonts w:ascii="Times New Roman" w:eastAsia="Times New Roman" w:hAnsi="Times New Roman" w:cs="Times New Roman"/>
          <w:color w:val="000000" w:themeColor="text1"/>
          <w:kern w:val="0"/>
          <w:sz w:val="24"/>
          <w:szCs w:val="24"/>
          <w14:ligatures w14:val="none"/>
        </w:rPr>
        <w:t xml:space="preserve"> For example, Deegan (2002) </w:t>
      </w:r>
      <w:r w:rsidR="004F423A" w:rsidRPr="00631DE0">
        <w:rPr>
          <w:rFonts w:ascii="Times New Roman" w:eastAsia="Times New Roman" w:hAnsi="Times New Roman" w:cs="Times New Roman"/>
          <w:color w:val="000000" w:themeColor="text1"/>
          <w:kern w:val="0"/>
          <w:sz w:val="24"/>
          <w:szCs w:val="24"/>
          <w14:ligatures w14:val="none"/>
        </w:rPr>
        <w:t>establishes</w:t>
      </w:r>
      <w:r w:rsidR="008313D8" w:rsidRPr="00631DE0">
        <w:rPr>
          <w:rFonts w:ascii="Times New Roman" w:eastAsia="Times New Roman" w:hAnsi="Times New Roman" w:cs="Times New Roman"/>
          <w:color w:val="000000" w:themeColor="text1"/>
          <w:kern w:val="0"/>
          <w:sz w:val="24"/>
          <w:szCs w:val="24"/>
          <w14:ligatures w14:val="none"/>
        </w:rPr>
        <w:t xml:space="preserve"> using</w:t>
      </w:r>
      <w:r w:rsidR="00CC7A35" w:rsidRPr="00631DE0">
        <w:rPr>
          <w:rFonts w:ascii="Times New Roman" w:eastAsia="Times New Roman" w:hAnsi="Times New Roman" w:cs="Times New Roman"/>
          <w:color w:val="000000" w:themeColor="text1"/>
          <w:kern w:val="0"/>
          <w:sz w:val="24"/>
          <w:szCs w:val="24"/>
          <w14:ligatures w14:val="none"/>
        </w:rPr>
        <w:t xml:space="preserve"> a data drawn from</w:t>
      </w:r>
      <w:r w:rsidR="009F6087" w:rsidRPr="00631DE0">
        <w:rPr>
          <w:rFonts w:ascii="Times New Roman" w:eastAsia="Times New Roman" w:hAnsi="Times New Roman" w:cs="Times New Roman"/>
          <w:color w:val="000000" w:themeColor="text1"/>
          <w:kern w:val="0"/>
          <w:sz w:val="24"/>
          <w:szCs w:val="24"/>
          <w14:ligatures w14:val="none"/>
        </w:rPr>
        <w:t xml:space="preserve"> BHP</w:t>
      </w:r>
      <w:r w:rsidR="00CC7A35" w:rsidRPr="00631DE0">
        <w:rPr>
          <w:rFonts w:ascii="Times New Roman" w:eastAsia="Times New Roman" w:hAnsi="Times New Roman" w:cs="Times New Roman"/>
          <w:color w:val="000000" w:themeColor="text1"/>
          <w:kern w:val="0"/>
          <w:sz w:val="24"/>
          <w:szCs w:val="24"/>
          <w14:ligatures w14:val="none"/>
        </w:rPr>
        <w:t xml:space="preserve"> firm between 1983-1997, that BHP</w:t>
      </w:r>
      <w:r w:rsidR="002C7043" w:rsidRPr="00631DE0">
        <w:rPr>
          <w:rFonts w:ascii="Times New Roman" w:eastAsia="Times New Roman" w:hAnsi="Times New Roman" w:cs="Times New Roman"/>
          <w:color w:val="000000" w:themeColor="text1"/>
          <w:kern w:val="0"/>
          <w:sz w:val="24"/>
          <w:szCs w:val="24"/>
          <w14:ligatures w14:val="none"/>
        </w:rPr>
        <w:t xml:space="preserve"> firm</w:t>
      </w:r>
      <w:r w:rsidR="00CC7A35" w:rsidRPr="00631DE0">
        <w:rPr>
          <w:rFonts w:ascii="Times New Roman" w:eastAsia="Times New Roman" w:hAnsi="Times New Roman" w:cs="Times New Roman"/>
          <w:color w:val="000000" w:themeColor="text1"/>
          <w:kern w:val="0"/>
          <w:sz w:val="24"/>
          <w:szCs w:val="24"/>
          <w14:ligatures w14:val="none"/>
        </w:rPr>
        <w:t xml:space="preserve"> </w:t>
      </w:r>
      <w:r w:rsidR="009F6087" w:rsidRPr="00631DE0">
        <w:rPr>
          <w:rFonts w:ascii="Times New Roman" w:eastAsia="Times New Roman" w:hAnsi="Times New Roman" w:cs="Times New Roman"/>
          <w:color w:val="000000" w:themeColor="text1"/>
          <w:kern w:val="0"/>
          <w:sz w:val="24"/>
          <w:szCs w:val="24"/>
          <w14:ligatures w14:val="none"/>
        </w:rPr>
        <w:t>increase</w:t>
      </w:r>
      <w:r w:rsidR="00CC7A35" w:rsidRPr="00631DE0">
        <w:rPr>
          <w:rFonts w:ascii="Times New Roman" w:eastAsia="Times New Roman" w:hAnsi="Times New Roman" w:cs="Times New Roman"/>
          <w:color w:val="000000" w:themeColor="text1"/>
          <w:kern w:val="0"/>
          <w:sz w:val="24"/>
          <w:szCs w:val="24"/>
          <w14:ligatures w14:val="none"/>
        </w:rPr>
        <w:t>s</w:t>
      </w:r>
      <w:r w:rsidR="009F6087" w:rsidRPr="00631DE0">
        <w:rPr>
          <w:rFonts w:ascii="Times New Roman" w:eastAsia="Times New Roman" w:hAnsi="Times New Roman" w:cs="Times New Roman"/>
          <w:color w:val="000000" w:themeColor="text1"/>
          <w:kern w:val="0"/>
          <w:sz w:val="24"/>
          <w:szCs w:val="24"/>
          <w14:ligatures w14:val="none"/>
        </w:rPr>
        <w:t xml:space="preserve"> environmental disclosure </w:t>
      </w:r>
      <w:r w:rsidR="00CC7A35" w:rsidRPr="00631DE0">
        <w:rPr>
          <w:rFonts w:ascii="Times New Roman" w:eastAsia="Times New Roman" w:hAnsi="Times New Roman" w:cs="Times New Roman"/>
          <w:color w:val="000000" w:themeColor="text1"/>
          <w:kern w:val="0"/>
          <w:sz w:val="24"/>
          <w:szCs w:val="24"/>
          <w14:ligatures w14:val="none"/>
        </w:rPr>
        <w:t>as a way to minimise</w:t>
      </w:r>
      <w:r w:rsidR="009F6087" w:rsidRPr="00631DE0">
        <w:rPr>
          <w:rFonts w:ascii="Times New Roman" w:eastAsia="Times New Roman" w:hAnsi="Times New Roman" w:cs="Times New Roman"/>
          <w:color w:val="000000" w:themeColor="text1"/>
          <w:kern w:val="0"/>
          <w:sz w:val="24"/>
          <w:szCs w:val="24"/>
          <w14:ligatures w14:val="none"/>
        </w:rPr>
        <w:t xml:space="preserve"> legitimacy threats.</w:t>
      </w:r>
      <w:r w:rsidR="002C7043" w:rsidRPr="00631DE0">
        <w:rPr>
          <w:rFonts w:ascii="Times New Roman" w:eastAsia="Times New Roman" w:hAnsi="Times New Roman" w:cs="Times New Roman"/>
          <w:color w:val="000000" w:themeColor="text1"/>
          <w:kern w:val="0"/>
          <w:sz w:val="24"/>
          <w:szCs w:val="24"/>
          <w14:ligatures w14:val="none"/>
        </w:rPr>
        <w:t xml:space="preserve"> </w:t>
      </w:r>
      <w:r w:rsidR="002A3AB5" w:rsidRPr="00631DE0">
        <w:rPr>
          <w:rFonts w:ascii="Times New Roman" w:eastAsia="Times New Roman" w:hAnsi="Times New Roman" w:cs="Times New Roman"/>
          <w:color w:val="000000" w:themeColor="text1"/>
          <w:kern w:val="0"/>
          <w:sz w:val="24"/>
          <w:szCs w:val="24"/>
          <w14:ligatures w14:val="none"/>
        </w:rPr>
        <w:t>Consistently</w:t>
      </w:r>
      <w:r w:rsidR="002A4304" w:rsidRPr="00631DE0">
        <w:rPr>
          <w:rFonts w:ascii="Times New Roman" w:eastAsia="Times New Roman" w:hAnsi="Times New Roman" w:cs="Times New Roman"/>
          <w:color w:val="000000" w:themeColor="text1"/>
          <w:kern w:val="0"/>
          <w:sz w:val="24"/>
          <w:szCs w:val="24"/>
          <w14:ligatures w14:val="none"/>
        </w:rPr>
        <w:t xml:space="preserve">, </w:t>
      </w:r>
      <w:r w:rsidR="00A56407" w:rsidRPr="00631DE0">
        <w:rPr>
          <w:rFonts w:ascii="Times New Roman" w:eastAsia="Times New Roman" w:hAnsi="Times New Roman" w:cs="Times New Roman"/>
          <w:color w:val="000000" w:themeColor="text1"/>
          <w:kern w:val="0"/>
          <w:sz w:val="24"/>
          <w:szCs w:val="24"/>
          <w14:ligatures w14:val="none"/>
        </w:rPr>
        <w:t xml:space="preserve">studies </w:t>
      </w:r>
      <w:r w:rsidR="00E07217" w:rsidRPr="00631DE0">
        <w:rPr>
          <w:rFonts w:ascii="Times New Roman" w:eastAsia="Times New Roman" w:hAnsi="Times New Roman" w:cs="Times New Roman"/>
          <w:color w:val="000000" w:themeColor="text1"/>
          <w:kern w:val="0"/>
          <w:sz w:val="24"/>
          <w:szCs w:val="24"/>
          <w14:ligatures w14:val="none"/>
        </w:rPr>
        <w:t xml:space="preserve">report </w:t>
      </w:r>
      <w:r w:rsidR="0077024B" w:rsidRPr="00631DE0">
        <w:rPr>
          <w:rFonts w:ascii="Times New Roman" w:eastAsia="Times New Roman" w:hAnsi="Times New Roman" w:cs="Times New Roman"/>
          <w:color w:val="000000" w:themeColor="text1"/>
          <w:kern w:val="0"/>
          <w:sz w:val="24"/>
          <w:szCs w:val="24"/>
          <w14:ligatures w14:val="none"/>
        </w:rPr>
        <w:t>growing</w:t>
      </w:r>
      <w:r w:rsidR="00E07217" w:rsidRPr="00631DE0">
        <w:rPr>
          <w:rFonts w:ascii="Times New Roman" w:eastAsia="Times New Roman" w:hAnsi="Times New Roman" w:cs="Times New Roman"/>
          <w:color w:val="000000" w:themeColor="text1"/>
          <w:kern w:val="0"/>
          <w:sz w:val="24"/>
          <w:szCs w:val="24"/>
          <w14:ligatures w14:val="none"/>
        </w:rPr>
        <w:t xml:space="preserve"> voluntary environmental disclosure in </w:t>
      </w:r>
      <w:r w:rsidR="0077024B" w:rsidRPr="00631DE0">
        <w:rPr>
          <w:rFonts w:ascii="Times New Roman" w:eastAsia="Times New Roman" w:hAnsi="Times New Roman" w:cs="Times New Roman"/>
          <w:color w:val="000000" w:themeColor="text1"/>
          <w:kern w:val="0"/>
          <w:sz w:val="24"/>
          <w:szCs w:val="24"/>
          <w14:ligatures w14:val="none"/>
        </w:rPr>
        <w:t xml:space="preserve">exchange with </w:t>
      </w:r>
      <w:r w:rsidR="00E07217" w:rsidRPr="00631DE0">
        <w:rPr>
          <w:rFonts w:ascii="Times New Roman" w:eastAsia="Times New Roman" w:hAnsi="Times New Roman" w:cs="Times New Roman"/>
          <w:color w:val="000000" w:themeColor="text1"/>
          <w:kern w:val="0"/>
          <w:sz w:val="24"/>
          <w:szCs w:val="24"/>
          <w14:ligatures w14:val="none"/>
        </w:rPr>
        <w:t>legitimacy</w:t>
      </w:r>
      <w:r w:rsidR="00A56407" w:rsidRPr="00631DE0">
        <w:rPr>
          <w:rFonts w:ascii="Times New Roman" w:eastAsia="Times New Roman" w:hAnsi="Times New Roman" w:cs="Times New Roman"/>
          <w:color w:val="000000" w:themeColor="text1"/>
          <w:kern w:val="0"/>
          <w:sz w:val="24"/>
          <w:szCs w:val="24"/>
          <w14:ligatures w14:val="none"/>
        </w:rPr>
        <w:t xml:space="preserve"> (An </w:t>
      </w:r>
      <w:r w:rsidR="00A56407" w:rsidRPr="00631DE0">
        <w:rPr>
          <w:rFonts w:ascii="Times New Roman" w:eastAsia="Times New Roman" w:hAnsi="Times New Roman" w:cs="Times New Roman"/>
          <w:i/>
          <w:iCs/>
          <w:color w:val="000000" w:themeColor="text1"/>
          <w:kern w:val="0"/>
          <w:sz w:val="24"/>
          <w:szCs w:val="24"/>
          <w14:ligatures w14:val="none"/>
        </w:rPr>
        <w:t>et al</w:t>
      </w:r>
      <w:r w:rsidR="00A56407" w:rsidRPr="00631DE0">
        <w:rPr>
          <w:rFonts w:ascii="Times New Roman" w:eastAsia="Times New Roman" w:hAnsi="Times New Roman" w:cs="Times New Roman"/>
          <w:color w:val="000000" w:themeColor="text1"/>
          <w:kern w:val="0"/>
          <w:sz w:val="24"/>
          <w:szCs w:val="24"/>
          <w14:ligatures w14:val="none"/>
        </w:rPr>
        <w:t>., 2019; Belal &amp; Owen, 2015;</w:t>
      </w:r>
      <w:r w:rsidR="00E07217" w:rsidRPr="00631DE0">
        <w:rPr>
          <w:rFonts w:ascii="Times New Roman" w:eastAsia="Times New Roman" w:hAnsi="Times New Roman" w:cs="Times New Roman"/>
          <w:color w:val="000000" w:themeColor="text1"/>
          <w:kern w:val="0"/>
          <w:sz w:val="24"/>
          <w:szCs w:val="24"/>
          <w14:ligatures w14:val="none"/>
        </w:rPr>
        <w:t xml:space="preserve"> Boiral, 2013</w:t>
      </w:r>
      <w:r w:rsidR="00A56407" w:rsidRPr="00631DE0">
        <w:rPr>
          <w:rFonts w:ascii="Times New Roman" w:eastAsia="Times New Roman" w:hAnsi="Times New Roman" w:cs="Times New Roman"/>
          <w:color w:val="000000" w:themeColor="text1"/>
          <w:kern w:val="0"/>
          <w:sz w:val="24"/>
          <w:szCs w:val="24"/>
          <w14:ligatures w14:val="none"/>
        </w:rPr>
        <w:t>).</w:t>
      </w:r>
      <w:r w:rsidR="00E07217" w:rsidRPr="00631DE0">
        <w:rPr>
          <w:rFonts w:ascii="Times New Roman" w:eastAsia="Times New Roman" w:hAnsi="Times New Roman" w:cs="Times New Roman"/>
          <w:color w:val="000000" w:themeColor="text1"/>
          <w:kern w:val="0"/>
          <w:sz w:val="24"/>
          <w:szCs w:val="24"/>
          <w14:ligatures w14:val="none"/>
        </w:rPr>
        <w:t xml:space="preserve"> </w:t>
      </w:r>
      <w:r w:rsidR="002C7043" w:rsidRPr="00631DE0">
        <w:rPr>
          <w:rFonts w:ascii="Times New Roman" w:eastAsia="Times New Roman" w:hAnsi="Times New Roman" w:cs="Times New Roman"/>
          <w:color w:val="000000" w:themeColor="text1"/>
          <w:kern w:val="0"/>
          <w:sz w:val="24"/>
          <w:szCs w:val="24"/>
          <w14:ligatures w14:val="none"/>
        </w:rPr>
        <w:t>R</w:t>
      </w:r>
      <w:r w:rsidR="0077024B" w:rsidRPr="00631DE0">
        <w:rPr>
          <w:rFonts w:ascii="Times New Roman" w:eastAsia="Times New Roman" w:hAnsi="Times New Roman" w:cs="Times New Roman"/>
          <w:color w:val="000000" w:themeColor="text1"/>
          <w:kern w:val="0"/>
          <w:sz w:val="24"/>
          <w:szCs w:val="24"/>
          <w14:ligatures w14:val="none"/>
        </w:rPr>
        <w:t>esearch reveals that legitimacy help firms to improve their social acceptance</w:t>
      </w:r>
      <w:r w:rsidR="00A56407" w:rsidRPr="00631DE0">
        <w:rPr>
          <w:rFonts w:ascii="Times New Roman" w:eastAsia="Times New Roman" w:hAnsi="Times New Roman" w:cs="Times New Roman"/>
          <w:color w:val="000000" w:themeColor="text1"/>
          <w:kern w:val="0"/>
          <w:sz w:val="24"/>
          <w:szCs w:val="24"/>
          <w14:ligatures w14:val="none"/>
        </w:rPr>
        <w:t xml:space="preserve"> (</w:t>
      </w:r>
      <w:r w:rsidR="0077024B" w:rsidRPr="00631DE0">
        <w:rPr>
          <w:rFonts w:ascii="Times New Roman" w:eastAsia="Times New Roman" w:hAnsi="Times New Roman" w:cs="Times New Roman"/>
          <w:color w:val="000000" w:themeColor="text1"/>
          <w:kern w:val="0"/>
          <w:sz w:val="24"/>
          <w:szCs w:val="24"/>
          <w14:ligatures w14:val="none"/>
        </w:rPr>
        <w:t xml:space="preserve">Filatotchev &amp; Nakajima, 2014; </w:t>
      </w:r>
      <w:r w:rsidR="00A56407" w:rsidRPr="00631DE0">
        <w:rPr>
          <w:rFonts w:ascii="Times New Roman" w:eastAsia="Times New Roman" w:hAnsi="Times New Roman" w:cs="Times New Roman"/>
          <w:color w:val="000000" w:themeColor="text1"/>
          <w:kern w:val="0"/>
          <w:sz w:val="24"/>
          <w:szCs w:val="24"/>
          <w14:ligatures w14:val="none"/>
        </w:rPr>
        <w:t xml:space="preserve">Nicolo </w:t>
      </w:r>
      <w:r w:rsidR="00A56407" w:rsidRPr="00631DE0">
        <w:rPr>
          <w:rFonts w:ascii="Times New Roman" w:eastAsia="Times New Roman" w:hAnsi="Times New Roman" w:cs="Times New Roman"/>
          <w:i/>
          <w:iCs/>
          <w:color w:val="000000" w:themeColor="text1"/>
          <w:kern w:val="0"/>
          <w:sz w:val="24"/>
          <w:szCs w:val="24"/>
          <w14:ligatures w14:val="none"/>
        </w:rPr>
        <w:t>et al</w:t>
      </w:r>
      <w:r w:rsidR="00A56407" w:rsidRPr="00631DE0">
        <w:rPr>
          <w:rFonts w:ascii="Times New Roman" w:eastAsia="Times New Roman" w:hAnsi="Times New Roman" w:cs="Times New Roman"/>
          <w:color w:val="000000" w:themeColor="text1"/>
          <w:kern w:val="0"/>
          <w:sz w:val="24"/>
          <w:szCs w:val="24"/>
          <w14:ligatures w14:val="none"/>
        </w:rPr>
        <w:t xml:space="preserve">., 2021; Manes-Rossi &amp; Nicolo, </w:t>
      </w:r>
      <w:r w:rsidR="0077024B" w:rsidRPr="00631DE0">
        <w:rPr>
          <w:rFonts w:ascii="Times New Roman" w:eastAsia="Times New Roman" w:hAnsi="Times New Roman" w:cs="Times New Roman"/>
          <w:color w:val="000000" w:themeColor="text1"/>
          <w:kern w:val="0"/>
          <w:sz w:val="24"/>
          <w:szCs w:val="24"/>
          <w14:ligatures w14:val="none"/>
        </w:rPr>
        <w:t>2022</w:t>
      </w:r>
      <w:r w:rsidR="00A56407" w:rsidRPr="00631DE0">
        <w:rPr>
          <w:rFonts w:ascii="Times New Roman" w:eastAsia="Times New Roman" w:hAnsi="Times New Roman" w:cs="Times New Roman"/>
          <w:color w:val="000000" w:themeColor="text1"/>
          <w:kern w:val="0"/>
          <w:sz w:val="24"/>
          <w:szCs w:val="24"/>
          <w14:ligatures w14:val="none"/>
        </w:rPr>
        <w:t>)</w:t>
      </w:r>
      <w:r w:rsidR="0077024B" w:rsidRPr="00631DE0">
        <w:rPr>
          <w:rFonts w:ascii="Times New Roman" w:eastAsia="Times New Roman" w:hAnsi="Times New Roman" w:cs="Times New Roman"/>
          <w:color w:val="000000" w:themeColor="text1"/>
          <w:kern w:val="0"/>
          <w:sz w:val="24"/>
          <w:szCs w:val="24"/>
          <w14:ligatures w14:val="none"/>
        </w:rPr>
        <w:t xml:space="preserve">, which inherently, serve as </w:t>
      </w:r>
      <w:r w:rsidR="00E8091E" w:rsidRPr="00631DE0">
        <w:rPr>
          <w:rFonts w:ascii="Times New Roman" w:eastAsia="Times New Roman" w:hAnsi="Times New Roman" w:cs="Times New Roman"/>
          <w:color w:val="000000" w:themeColor="text1"/>
          <w:kern w:val="0"/>
          <w:sz w:val="24"/>
          <w:szCs w:val="24"/>
          <w14:ligatures w14:val="none"/>
        </w:rPr>
        <w:t>a resource</w:t>
      </w:r>
      <w:r w:rsidR="003B6324" w:rsidRPr="00631DE0">
        <w:rPr>
          <w:rFonts w:ascii="Times New Roman" w:eastAsia="Times New Roman" w:hAnsi="Times New Roman" w:cs="Times New Roman"/>
          <w:color w:val="000000" w:themeColor="text1"/>
          <w:kern w:val="0"/>
          <w:sz w:val="24"/>
          <w:szCs w:val="24"/>
          <w14:ligatures w14:val="none"/>
        </w:rPr>
        <w:t xml:space="preserve"> </w:t>
      </w:r>
      <w:r w:rsidR="00A56407" w:rsidRPr="00631DE0">
        <w:rPr>
          <w:rFonts w:ascii="Times New Roman" w:eastAsia="Times New Roman" w:hAnsi="Times New Roman" w:cs="Times New Roman"/>
          <w:color w:val="000000" w:themeColor="text1"/>
          <w:kern w:val="0"/>
          <w:sz w:val="24"/>
          <w:szCs w:val="24"/>
          <w14:ligatures w14:val="none"/>
        </w:rPr>
        <w:t>(Deegan, 2019; Suchman, 1995)</w:t>
      </w:r>
      <w:r w:rsidR="002C7043" w:rsidRPr="00631DE0">
        <w:rPr>
          <w:rFonts w:ascii="Times New Roman" w:eastAsia="Times New Roman" w:hAnsi="Times New Roman" w:cs="Times New Roman"/>
          <w:color w:val="000000" w:themeColor="text1"/>
          <w:kern w:val="0"/>
          <w:sz w:val="24"/>
          <w:szCs w:val="24"/>
          <w14:ligatures w14:val="none"/>
        </w:rPr>
        <w:t>.</w:t>
      </w:r>
      <w:r w:rsidR="00E8091E" w:rsidRPr="00631DE0">
        <w:rPr>
          <w:rFonts w:ascii="Times New Roman" w:eastAsia="Times New Roman" w:hAnsi="Times New Roman" w:cs="Times New Roman"/>
          <w:color w:val="000000" w:themeColor="text1"/>
          <w:kern w:val="0"/>
          <w:sz w:val="24"/>
          <w:szCs w:val="24"/>
          <w14:ligatures w14:val="none"/>
        </w:rPr>
        <w:t xml:space="preserve"> Therefore, as suggested</w:t>
      </w:r>
      <w:r w:rsidR="00802F74" w:rsidRPr="00631DE0">
        <w:rPr>
          <w:rFonts w:ascii="Times New Roman" w:eastAsia="Times New Roman" w:hAnsi="Times New Roman" w:cs="Times New Roman"/>
          <w:color w:val="000000" w:themeColor="text1"/>
          <w:kern w:val="0"/>
          <w:sz w:val="24"/>
          <w:szCs w:val="24"/>
          <w14:ligatures w14:val="none"/>
        </w:rPr>
        <w:t xml:space="preserve"> by prior literature (Asogwa </w:t>
      </w:r>
      <w:r w:rsidR="00802F74" w:rsidRPr="00631DE0">
        <w:rPr>
          <w:rFonts w:ascii="Times New Roman" w:eastAsia="Times New Roman" w:hAnsi="Times New Roman" w:cs="Times New Roman"/>
          <w:i/>
          <w:iCs/>
          <w:color w:val="000000" w:themeColor="text1"/>
          <w:kern w:val="0"/>
          <w:sz w:val="24"/>
          <w:szCs w:val="24"/>
          <w14:ligatures w14:val="none"/>
        </w:rPr>
        <w:t>et al</w:t>
      </w:r>
      <w:r w:rsidR="00802F74" w:rsidRPr="00631DE0">
        <w:rPr>
          <w:rFonts w:ascii="Times New Roman" w:eastAsia="Times New Roman" w:hAnsi="Times New Roman" w:cs="Times New Roman"/>
          <w:color w:val="000000" w:themeColor="text1"/>
          <w:kern w:val="0"/>
          <w:sz w:val="24"/>
          <w:szCs w:val="24"/>
          <w14:ligatures w14:val="none"/>
        </w:rPr>
        <w:t xml:space="preserve">., 2021; Deephouse </w:t>
      </w:r>
      <w:r w:rsidR="00802F74" w:rsidRPr="00631DE0">
        <w:rPr>
          <w:rFonts w:ascii="Times New Roman" w:eastAsia="Times New Roman" w:hAnsi="Times New Roman" w:cs="Times New Roman"/>
          <w:i/>
          <w:iCs/>
          <w:color w:val="000000" w:themeColor="text1"/>
          <w:kern w:val="0"/>
          <w:sz w:val="24"/>
          <w:szCs w:val="24"/>
          <w14:ligatures w14:val="none"/>
        </w:rPr>
        <w:t>et al</w:t>
      </w:r>
      <w:r w:rsidR="00802F74" w:rsidRPr="00631DE0">
        <w:rPr>
          <w:rFonts w:ascii="Times New Roman" w:eastAsia="Times New Roman" w:hAnsi="Times New Roman" w:cs="Times New Roman"/>
          <w:color w:val="000000" w:themeColor="text1"/>
          <w:kern w:val="0"/>
          <w:sz w:val="24"/>
          <w:szCs w:val="24"/>
          <w14:ligatures w14:val="none"/>
        </w:rPr>
        <w:t>., 2017; Huang &amp; Chen, 2015)</w:t>
      </w:r>
      <w:r w:rsidR="00E8091E" w:rsidRPr="00631DE0">
        <w:rPr>
          <w:rFonts w:ascii="Times New Roman" w:eastAsia="Times New Roman" w:hAnsi="Times New Roman" w:cs="Times New Roman"/>
          <w:color w:val="000000" w:themeColor="text1"/>
          <w:kern w:val="0"/>
          <w:sz w:val="24"/>
          <w:szCs w:val="24"/>
          <w14:ligatures w14:val="none"/>
        </w:rPr>
        <w:t xml:space="preserve">, being legitimate helps </w:t>
      </w:r>
      <w:r w:rsidR="00A56407" w:rsidRPr="00631DE0">
        <w:rPr>
          <w:rFonts w:ascii="Times New Roman" w:eastAsia="Times New Roman" w:hAnsi="Times New Roman" w:cs="Times New Roman"/>
          <w:color w:val="000000" w:themeColor="text1"/>
          <w:kern w:val="0"/>
          <w:sz w:val="24"/>
          <w:szCs w:val="24"/>
          <w14:ligatures w14:val="none"/>
        </w:rPr>
        <w:t xml:space="preserve">corporations to attract additional resources required for their survival because stakeholders are more likely to </w:t>
      </w:r>
      <w:r w:rsidR="00802F74" w:rsidRPr="00631DE0">
        <w:rPr>
          <w:rFonts w:ascii="Times New Roman" w:eastAsia="Times New Roman" w:hAnsi="Times New Roman" w:cs="Times New Roman"/>
          <w:color w:val="000000" w:themeColor="text1"/>
          <w:kern w:val="0"/>
          <w:sz w:val="24"/>
          <w:szCs w:val="24"/>
          <w14:ligatures w14:val="none"/>
        </w:rPr>
        <w:t>offer</w:t>
      </w:r>
      <w:r w:rsidR="00A56407" w:rsidRPr="00631DE0">
        <w:rPr>
          <w:rFonts w:ascii="Times New Roman" w:eastAsia="Times New Roman" w:hAnsi="Times New Roman" w:cs="Times New Roman"/>
          <w:color w:val="000000" w:themeColor="text1"/>
          <w:kern w:val="0"/>
          <w:sz w:val="24"/>
          <w:szCs w:val="24"/>
          <w14:ligatures w14:val="none"/>
        </w:rPr>
        <w:t xml:space="preserve"> support to firms that share their desirable societal behaviours </w:t>
      </w:r>
      <w:r w:rsidR="00802F74" w:rsidRPr="00631DE0">
        <w:rPr>
          <w:rFonts w:ascii="Times New Roman" w:eastAsia="Times New Roman" w:hAnsi="Times New Roman" w:cs="Times New Roman"/>
          <w:color w:val="000000" w:themeColor="text1"/>
          <w:kern w:val="0"/>
          <w:sz w:val="24"/>
          <w:szCs w:val="24"/>
          <w14:ligatures w14:val="none"/>
        </w:rPr>
        <w:t>, thus, providing incentives to firms to incrementally engage on environmental performance accountability.</w:t>
      </w:r>
    </w:p>
    <w:p w14:paraId="6D74F2C1" w14:textId="51DD7A03" w:rsidR="006A06B0" w:rsidRPr="00631DE0" w:rsidRDefault="005C3BEC" w:rsidP="00501460">
      <w:pPr>
        <w:pStyle w:val="NormalWeb"/>
        <w:spacing w:line="360" w:lineRule="auto"/>
        <w:ind w:firstLine="0"/>
        <w:rPr>
          <w:rFonts w:eastAsia="Times New Roman"/>
          <w:color w:val="000000" w:themeColor="text1"/>
          <w:kern w:val="0"/>
          <w14:ligatures w14:val="none"/>
        </w:rPr>
      </w:pPr>
      <w:r w:rsidRPr="00631DE0">
        <w:rPr>
          <w:rFonts w:eastAsia="Times New Roman"/>
          <w:color w:val="000000" w:themeColor="text1"/>
          <w:kern w:val="0"/>
          <w14:ligatures w14:val="none"/>
        </w:rPr>
        <w:lastRenderedPageBreak/>
        <w:t>Drawing insights f</w:t>
      </w:r>
      <w:r w:rsidR="00F43AA5" w:rsidRPr="00631DE0">
        <w:rPr>
          <w:rFonts w:eastAsia="Times New Roman"/>
          <w:color w:val="000000" w:themeColor="text1"/>
          <w:kern w:val="0"/>
          <w14:ligatures w14:val="none"/>
        </w:rPr>
        <w:t xml:space="preserve">rom the legitimacy theory, </w:t>
      </w:r>
      <w:r w:rsidRPr="00631DE0">
        <w:rPr>
          <w:rFonts w:eastAsia="Times New Roman"/>
          <w:color w:val="000000" w:themeColor="text1"/>
          <w:kern w:val="0"/>
          <w14:ligatures w14:val="none"/>
        </w:rPr>
        <w:t>NGOs</w:t>
      </w:r>
      <w:r w:rsidR="00F43AA5" w:rsidRPr="00631DE0">
        <w:rPr>
          <w:rFonts w:eastAsia="Times New Roman"/>
          <w:color w:val="000000" w:themeColor="text1"/>
          <w:kern w:val="0"/>
          <w14:ligatures w14:val="none"/>
        </w:rPr>
        <w:t xml:space="preserve"> use environment disclosure </w:t>
      </w:r>
      <w:r w:rsidR="00CC7A35" w:rsidRPr="00631DE0">
        <w:rPr>
          <w:rFonts w:eastAsia="Times New Roman"/>
          <w:color w:val="000000" w:themeColor="text1"/>
          <w:kern w:val="0"/>
          <w14:ligatures w14:val="none"/>
        </w:rPr>
        <w:t>as a means to acquire legitimacy</w:t>
      </w:r>
      <w:r w:rsidR="008313D8" w:rsidRPr="00631DE0">
        <w:rPr>
          <w:rFonts w:eastAsia="Times New Roman"/>
          <w:color w:val="000000" w:themeColor="text1"/>
          <w:kern w:val="0"/>
          <w14:ligatures w14:val="none"/>
        </w:rPr>
        <w:t xml:space="preserve"> </w:t>
      </w:r>
      <w:r w:rsidR="00F43AA5" w:rsidRPr="00631DE0">
        <w:rPr>
          <w:rFonts w:eastAsia="Times New Roman"/>
          <w:color w:val="000000" w:themeColor="text1"/>
          <w:kern w:val="0"/>
          <w14:ligatures w14:val="none"/>
        </w:rPr>
        <w:t>(</w:t>
      </w:r>
      <w:r w:rsidR="00CC7A35" w:rsidRPr="00631DE0">
        <w:rPr>
          <w:rFonts w:eastAsia="Times New Roman"/>
          <w:color w:val="000000" w:themeColor="text1"/>
          <w:kern w:val="0"/>
          <w14:ligatures w14:val="none"/>
        </w:rPr>
        <w:t xml:space="preserve">Asogwa </w:t>
      </w:r>
      <w:r w:rsidR="00CC7A35" w:rsidRPr="00631DE0">
        <w:rPr>
          <w:rFonts w:eastAsia="Times New Roman"/>
          <w:i/>
          <w:iCs/>
          <w:color w:val="000000" w:themeColor="text1"/>
          <w:kern w:val="0"/>
          <w14:ligatures w14:val="none"/>
        </w:rPr>
        <w:t>et al</w:t>
      </w:r>
      <w:r w:rsidR="00CC7A35" w:rsidRPr="00631DE0">
        <w:rPr>
          <w:rFonts w:eastAsia="Times New Roman"/>
          <w:color w:val="000000" w:themeColor="text1"/>
          <w:kern w:val="0"/>
          <w14:ligatures w14:val="none"/>
        </w:rPr>
        <w:t>., 2021;</w:t>
      </w:r>
      <w:r w:rsidR="00F43AA5" w:rsidRPr="00631DE0">
        <w:rPr>
          <w:rFonts w:eastAsia="Times New Roman"/>
          <w:color w:val="000000" w:themeColor="text1"/>
          <w:kern w:val="0"/>
          <w14:ligatures w14:val="none"/>
        </w:rPr>
        <w:t xml:space="preserve"> </w:t>
      </w:r>
      <w:r w:rsidR="00CC7A35" w:rsidRPr="00631DE0">
        <w:rPr>
          <w:rFonts w:eastAsia="Times New Roman"/>
          <w:color w:val="000000" w:themeColor="text1"/>
          <w:kern w:val="0"/>
          <w14:ligatures w14:val="none"/>
        </w:rPr>
        <w:t>Deegan, 2019</w:t>
      </w:r>
      <w:r w:rsidR="00F43AA5" w:rsidRPr="00631DE0">
        <w:rPr>
          <w:rFonts w:eastAsia="Times New Roman"/>
          <w:color w:val="000000" w:themeColor="text1"/>
          <w:kern w:val="0"/>
          <w14:ligatures w14:val="none"/>
        </w:rPr>
        <w:t>)</w:t>
      </w:r>
      <w:r w:rsidR="00DE2D5E" w:rsidRPr="00631DE0">
        <w:rPr>
          <w:rFonts w:eastAsia="Times New Roman"/>
          <w:color w:val="000000" w:themeColor="text1"/>
          <w:kern w:val="0"/>
          <w14:ligatures w14:val="none"/>
        </w:rPr>
        <w:t>.</w:t>
      </w:r>
      <w:r w:rsidR="00F43AA5" w:rsidRPr="00631DE0">
        <w:rPr>
          <w:rFonts w:eastAsia="Times New Roman"/>
          <w:color w:val="000000" w:themeColor="text1"/>
          <w:kern w:val="0"/>
          <w14:ligatures w14:val="none"/>
        </w:rPr>
        <w:t xml:space="preserve"> </w:t>
      </w:r>
      <w:r w:rsidR="006118B5" w:rsidRPr="00631DE0">
        <w:rPr>
          <w:rFonts w:eastAsia="Calibri"/>
          <w:color w:val="000000" w:themeColor="text1"/>
          <w:kern w:val="0"/>
          <w14:ligatures w14:val="none"/>
        </w:rPr>
        <w:t xml:space="preserve">Thus, NGOs engage in voluntary environmental disclosure to conform with the society's acceptable environmental standards and to influence their opinions regarding their environmental consciousness (Deegan, 2017; Kamal &amp; Deegan, 2013; Raimo </w:t>
      </w:r>
      <w:r w:rsidR="006118B5" w:rsidRPr="00631DE0">
        <w:rPr>
          <w:rFonts w:eastAsia="Calibri"/>
          <w:i/>
          <w:iCs/>
          <w:color w:val="000000" w:themeColor="text1"/>
          <w:kern w:val="0"/>
          <w14:ligatures w14:val="none"/>
        </w:rPr>
        <w:t>et al</w:t>
      </w:r>
      <w:r w:rsidR="006118B5" w:rsidRPr="00631DE0">
        <w:rPr>
          <w:rFonts w:eastAsia="Calibri"/>
          <w:color w:val="000000" w:themeColor="text1"/>
          <w:kern w:val="0"/>
          <w14:ligatures w14:val="none"/>
        </w:rPr>
        <w:t>., 2021).</w:t>
      </w:r>
      <w:r w:rsidR="00376139" w:rsidRPr="00631DE0">
        <w:rPr>
          <w:rFonts w:eastAsia="Calibri"/>
          <w:color w:val="000000" w:themeColor="text1"/>
          <w:kern w:val="0"/>
          <w14:ligatures w14:val="none"/>
        </w:rPr>
        <w:t xml:space="preserve"> For example, large NGOs in UK pursue their legitimacy through mandatory environmental reporting </w:t>
      </w:r>
      <w:r w:rsidR="002C7043" w:rsidRPr="00631DE0">
        <w:rPr>
          <w:rFonts w:eastAsia="Calibri"/>
          <w:color w:val="000000" w:themeColor="text1"/>
          <w:kern w:val="0"/>
          <w14:ligatures w14:val="none"/>
        </w:rPr>
        <w:t>as defined</w:t>
      </w:r>
      <w:r w:rsidR="00376139" w:rsidRPr="00631DE0">
        <w:rPr>
          <w:rFonts w:eastAsia="Calibri"/>
          <w:color w:val="000000" w:themeColor="text1"/>
          <w:kern w:val="0"/>
          <w14:ligatures w14:val="none"/>
        </w:rPr>
        <w:t xml:space="preserve"> </w:t>
      </w:r>
      <w:r w:rsidR="002C7043" w:rsidRPr="00631DE0">
        <w:rPr>
          <w:rFonts w:eastAsia="Calibri"/>
          <w:color w:val="000000" w:themeColor="text1"/>
          <w:kern w:val="0"/>
          <w14:ligatures w14:val="none"/>
        </w:rPr>
        <w:t>in</w:t>
      </w:r>
      <w:r w:rsidR="00376139" w:rsidRPr="00631DE0">
        <w:rPr>
          <w:rFonts w:eastAsia="Calibri"/>
          <w:color w:val="000000" w:themeColor="text1"/>
          <w:kern w:val="0"/>
          <w14:ligatures w14:val="none"/>
        </w:rPr>
        <w:t xml:space="preserve"> Sec 172 (1) of Company Act 2006 (Connolly </w:t>
      </w:r>
      <w:r w:rsidR="00376139" w:rsidRPr="00631DE0">
        <w:rPr>
          <w:rFonts w:eastAsia="Calibri"/>
          <w:i/>
          <w:iCs/>
          <w:color w:val="000000" w:themeColor="text1"/>
          <w:kern w:val="0"/>
          <w14:ligatures w14:val="none"/>
        </w:rPr>
        <w:t>et al</w:t>
      </w:r>
      <w:r w:rsidR="00376139" w:rsidRPr="00631DE0">
        <w:rPr>
          <w:rFonts w:eastAsia="Calibri"/>
          <w:color w:val="000000" w:themeColor="text1"/>
          <w:kern w:val="0"/>
          <w14:ligatures w14:val="none"/>
        </w:rPr>
        <w:t>., 2017; McConville, 2017). Also,</w:t>
      </w:r>
      <w:r w:rsidR="002C7043" w:rsidRPr="00631DE0">
        <w:rPr>
          <w:rFonts w:eastAsia="Calibri"/>
          <w:color w:val="000000" w:themeColor="text1"/>
          <w:kern w:val="0"/>
          <w14:ligatures w14:val="none"/>
        </w:rPr>
        <w:t xml:space="preserve"> NGOs</w:t>
      </w:r>
      <w:r w:rsidR="00376139" w:rsidRPr="00631DE0">
        <w:rPr>
          <w:rFonts w:eastAsia="Calibri"/>
          <w:color w:val="000000" w:themeColor="text1"/>
          <w:kern w:val="0"/>
          <w14:ligatures w14:val="none"/>
        </w:rPr>
        <w:t xml:space="preserve"> just lik</w:t>
      </w:r>
      <w:r w:rsidR="002C7043" w:rsidRPr="00631DE0">
        <w:rPr>
          <w:rFonts w:eastAsia="Calibri"/>
          <w:color w:val="000000" w:themeColor="text1"/>
          <w:kern w:val="0"/>
          <w14:ligatures w14:val="none"/>
        </w:rPr>
        <w:t>e corporations,</w:t>
      </w:r>
      <w:r w:rsidR="00376139" w:rsidRPr="00631DE0">
        <w:rPr>
          <w:rFonts w:eastAsia="Calibri"/>
          <w:color w:val="000000" w:themeColor="text1"/>
          <w:kern w:val="0"/>
          <w14:ligatures w14:val="none"/>
        </w:rPr>
        <w:t xml:space="preserve"> face stakeholder pressure to </w:t>
      </w:r>
      <w:r w:rsidR="002C7043" w:rsidRPr="00631DE0">
        <w:rPr>
          <w:rFonts w:eastAsia="Calibri"/>
          <w:color w:val="000000" w:themeColor="text1"/>
          <w:kern w:val="0"/>
          <w14:ligatures w14:val="none"/>
        </w:rPr>
        <w:t>account for their</w:t>
      </w:r>
      <w:r w:rsidR="00376139" w:rsidRPr="00631DE0">
        <w:rPr>
          <w:rFonts w:eastAsia="Calibri"/>
          <w:color w:val="000000" w:themeColor="text1"/>
          <w:kern w:val="0"/>
          <w14:ligatures w14:val="none"/>
        </w:rPr>
        <w:t xml:space="preserve"> environmental</w:t>
      </w:r>
      <w:r w:rsidR="002C7043" w:rsidRPr="00631DE0">
        <w:rPr>
          <w:rFonts w:eastAsia="Calibri"/>
          <w:color w:val="000000" w:themeColor="text1"/>
          <w:kern w:val="0"/>
          <w14:ligatures w14:val="none"/>
        </w:rPr>
        <w:t xml:space="preserve"> performance</w:t>
      </w:r>
      <w:r w:rsidR="00376139" w:rsidRPr="00631DE0">
        <w:rPr>
          <w:rFonts w:eastAsia="Calibri"/>
          <w:color w:val="000000" w:themeColor="text1"/>
          <w:kern w:val="0"/>
          <w14:ligatures w14:val="none"/>
        </w:rPr>
        <w:t xml:space="preserve"> (Alsaeed, 2006; Nicolo </w:t>
      </w:r>
      <w:r w:rsidR="00376139" w:rsidRPr="00631DE0">
        <w:rPr>
          <w:rFonts w:eastAsia="Calibri"/>
          <w:i/>
          <w:iCs/>
          <w:color w:val="000000" w:themeColor="text1"/>
          <w:kern w:val="0"/>
          <w14:ligatures w14:val="none"/>
        </w:rPr>
        <w:t>et al</w:t>
      </w:r>
      <w:r w:rsidR="00376139" w:rsidRPr="00631DE0">
        <w:rPr>
          <w:rFonts w:eastAsia="Calibri"/>
          <w:color w:val="000000" w:themeColor="text1"/>
          <w:kern w:val="0"/>
          <w14:ligatures w14:val="none"/>
        </w:rPr>
        <w:t xml:space="preserve">., 2022). </w:t>
      </w:r>
      <w:r w:rsidR="004F423A" w:rsidRPr="00631DE0">
        <w:rPr>
          <w:rFonts w:eastAsia="Times New Roman"/>
          <w:color w:val="000000" w:themeColor="text1"/>
          <w:kern w:val="0"/>
          <w14:ligatures w14:val="none"/>
        </w:rPr>
        <w:t>In comparison to listed firms,</w:t>
      </w:r>
      <w:r w:rsidR="00F43AA5" w:rsidRPr="00631DE0">
        <w:rPr>
          <w:rFonts w:eastAsia="Times New Roman"/>
          <w:color w:val="000000" w:themeColor="text1"/>
          <w:kern w:val="0"/>
          <w14:ligatures w14:val="none"/>
        </w:rPr>
        <w:t xml:space="preserve"> </w:t>
      </w:r>
      <w:r w:rsidR="00501460" w:rsidRPr="00631DE0">
        <w:rPr>
          <w:rFonts w:eastAsia="Times New Roman"/>
          <w:color w:val="000000" w:themeColor="text1"/>
          <w:kern w:val="0"/>
          <w14:ligatures w14:val="none"/>
        </w:rPr>
        <w:t>NGOs face</w:t>
      </w:r>
      <w:r w:rsidR="00F43AA5" w:rsidRPr="00631DE0">
        <w:rPr>
          <w:rFonts w:eastAsia="Times New Roman"/>
          <w:color w:val="000000" w:themeColor="text1"/>
          <w:kern w:val="0"/>
          <w14:ligatures w14:val="none"/>
        </w:rPr>
        <w:t xml:space="preserve"> legitimacy gaps</w:t>
      </w:r>
      <w:r w:rsidR="004F423A" w:rsidRPr="00631DE0">
        <w:rPr>
          <w:rFonts w:eastAsia="Times New Roman"/>
          <w:color w:val="000000" w:themeColor="text1"/>
          <w:kern w:val="0"/>
          <w14:ligatures w14:val="none"/>
        </w:rPr>
        <w:t xml:space="preserve"> </w:t>
      </w:r>
      <w:r w:rsidR="00F43AA5" w:rsidRPr="00631DE0">
        <w:rPr>
          <w:rFonts w:eastAsia="Times New Roman"/>
          <w:color w:val="000000" w:themeColor="text1"/>
          <w:kern w:val="0"/>
          <w14:ligatures w14:val="none"/>
        </w:rPr>
        <w:t>due</w:t>
      </w:r>
      <w:r w:rsidR="001E2599" w:rsidRPr="00631DE0">
        <w:rPr>
          <w:rFonts w:eastAsia="Times New Roman"/>
          <w:color w:val="000000" w:themeColor="text1"/>
          <w:kern w:val="0"/>
          <w14:ligatures w14:val="none"/>
        </w:rPr>
        <w:t xml:space="preserve"> to</w:t>
      </w:r>
      <w:r w:rsidR="00F43AA5" w:rsidRPr="00631DE0">
        <w:rPr>
          <w:rFonts w:eastAsia="Times New Roman"/>
          <w:color w:val="000000" w:themeColor="text1"/>
          <w:kern w:val="0"/>
          <w14:ligatures w14:val="none"/>
        </w:rPr>
        <w:t xml:space="preserve"> </w:t>
      </w:r>
      <w:r w:rsidR="001E2599" w:rsidRPr="00631DE0">
        <w:rPr>
          <w:rFonts w:eastAsia="Times New Roman"/>
          <w:color w:val="000000" w:themeColor="text1"/>
          <w:kern w:val="0"/>
          <w14:ligatures w14:val="none"/>
        </w:rPr>
        <w:t>low</w:t>
      </w:r>
      <w:r w:rsidR="00501460" w:rsidRPr="00631DE0">
        <w:rPr>
          <w:rFonts w:eastAsia="Times New Roman"/>
          <w:color w:val="000000" w:themeColor="text1"/>
          <w:kern w:val="0"/>
          <w14:ligatures w14:val="none"/>
        </w:rPr>
        <w:t>er</w:t>
      </w:r>
      <w:r w:rsidR="001E2599" w:rsidRPr="00631DE0">
        <w:rPr>
          <w:rFonts w:eastAsia="Times New Roman"/>
          <w:color w:val="000000" w:themeColor="text1"/>
          <w:kern w:val="0"/>
          <w14:ligatures w14:val="none"/>
        </w:rPr>
        <w:t xml:space="preserve"> level of environmental disclosure</w:t>
      </w:r>
      <w:r w:rsidR="00D43A4E" w:rsidRPr="00631DE0">
        <w:rPr>
          <w:rFonts w:eastAsia="Times New Roman"/>
          <w:color w:val="000000" w:themeColor="text1"/>
          <w:kern w:val="0"/>
          <w14:ligatures w14:val="none"/>
        </w:rPr>
        <w:t xml:space="preserve"> co</w:t>
      </w:r>
      <w:r w:rsidR="00756A5A" w:rsidRPr="00631DE0">
        <w:rPr>
          <w:rFonts w:eastAsia="Times New Roman"/>
          <w:color w:val="000000" w:themeColor="text1"/>
          <w:kern w:val="0"/>
          <w14:ligatures w14:val="none"/>
        </w:rPr>
        <w:t>mbine</w:t>
      </w:r>
      <w:r w:rsidR="00501460" w:rsidRPr="00631DE0">
        <w:rPr>
          <w:rFonts w:eastAsia="Times New Roman"/>
          <w:color w:val="000000" w:themeColor="text1"/>
          <w:kern w:val="0"/>
          <w14:ligatures w14:val="none"/>
        </w:rPr>
        <w:t xml:space="preserve"> with inferior</w:t>
      </w:r>
      <w:r w:rsidR="00D43A4E" w:rsidRPr="00631DE0">
        <w:rPr>
          <w:rFonts w:eastAsia="Times New Roman"/>
          <w:color w:val="000000" w:themeColor="text1"/>
          <w:kern w:val="0"/>
          <w14:ligatures w14:val="none"/>
        </w:rPr>
        <w:t xml:space="preserve"> </w:t>
      </w:r>
      <w:r w:rsidR="00501460" w:rsidRPr="00631DE0">
        <w:rPr>
          <w:rFonts w:eastAsia="Times New Roman"/>
          <w:color w:val="000000" w:themeColor="text1"/>
          <w:kern w:val="0"/>
          <w14:ligatures w14:val="none"/>
        </w:rPr>
        <w:t>reports</w:t>
      </w:r>
      <w:r w:rsidR="001E2599" w:rsidRPr="00631DE0">
        <w:rPr>
          <w:rFonts w:eastAsia="Times New Roman"/>
          <w:color w:val="000000" w:themeColor="text1"/>
          <w:kern w:val="0"/>
          <w14:ligatures w14:val="none"/>
        </w:rPr>
        <w:t xml:space="preserve"> </w:t>
      </w:r>
      <w:r w:rsidR="0092363F" w:rsidRPr="00631DE0">
        <w:rPr>
          <w:rFonts w:eastAsia="Times New Roman"/>
          <w:color w:val="000000" w:themeColor="text1"/>
          <w:kern w:val="0"/>
          <w14:ligatures w14:val="none"/>
        </w:rPr>
        <w:t>(</w:t>
      </w:r>
      <w:r w:rsidR="001E2599" w:rsidRPr="00631DE0">
        <w:rPr>
          <w:rFonts w:eastAsia="Times New Roman"/>
          <w:color w:val="000000" w:themeColor="text1"/>
          <w:kern w:val="0"/>
          <w14:ligatures w14:val="none"/>
        </w:rPr>
        <w:t xml:space="preserve">Agyemang et al., 2019; </w:t>
      </w:r>
      <w:r w:rsidR="0092363F" w:rsidRPr="00631DE0">
        <w:rPr>
          <w:rFonts w:eastAsia="Times New Roman"/>
          <w:color w:val="000000" w:themeColor="text1"/>
          <w:kern w:val="0"/>
          <w14:ligatures w14:val="none"/>
        </w:rPr>
        <w:t>A</w:t>
      </w:r>
      <w:r w:rsidR="00536728" w:rsidRPr="00631DE0">
        <w:rPr>
          <w:rFonts w:eastAsia="Times New Roman"/>
          <w:color w:val="000000" w:themeColor="text1"/>
          <w:kern w:val="0"/>
          <w14:ligatures w14:val="none"/>
        </w:rPr>
        <w:t>sogwa</w:t>
      </w:r>
      <w:r w:rsidR="0092363F" w:rsidRPr="00631DE0">
        <w:rPr>
          <w:rFonts w:eastAsia="Times New Roman"/>
          <w:color w:val="000000" w:themeColor="text1"/>
          <w:kern w:val="0"/>
          <w14:ligatures w14:val="none"/>
        </w:rPr>
        <w:t>, 202</w:t>
      </w:r>
      <w:r w:rsidR="00536728" w:rsidRPr="00631DE0">
        <w:rPr>
          <w:rFonts w:eastAsia="Times New Roman"/>
          <w:color w:val="000000" w:themeColor="text1"/>
          <w:kern w:val="0"/>
          <w14:ligatures w14:val="none"/>
        </w:rPr>
        <w:t>3</w:t>
      </w:r>
      <w:r w:rsidR="0092363F" w:rsidRPr="00631DE0">
        <w:rPr>
          <w:rFonts w:eastAsia="Times New Roman"/>
          <w:color w:val="000000" w:themeColor="text1"/>
          <w:kern w:val="0"/>
          <w14:ligatures w14:val="none"/>
        </w:rPr>
        <w:t>; Goddard, 2020</w:t>
      </w:r>
      <w:r w:rsidR="00501460" w:rsidRPr="00631DE0">
        <w:rPr>
          <w:rFonts w:eastAsia="Times New Roman"/>
          <w:color w:val="000000" w:themeColor="text1"/>
          <w:kern w:val="0"/>
          <w14:ligatures w14:val="none"/>
        </w:rPr>
        <w:t xml:space="preserve">; Pariag-Maraye </w:t>
      </w:r>
      <w:r w:rsidR="00501460" w:rsidRPr="00631DE0">
        <w:rPr>
          <w:rFonts w:eastAsia="Times New Roman"/>
          <w:i/>
          <w:iCs/>
          <w:color w:val="000000" w:themeColor="text1"/>
          <w:kern w:val="0"/>
          <w14:ligatures w14:val="none"/>
        </w:rPr>
        <w:t>et al</w:t>
      </w:r>
      <w:r w:rsidR="00501460" w:rsidRPr="00631DE0">
        <w:rPr>
          <w:rFonts w:eastAsia="Times New Roman"/>
          <w:color w:val="000000" w:themeColor="text1"/>
          <w:kern w:val="0"/>
          <w14:ligatures w14:val="none"/>
        </w:rPr>
        <w:t>., 2022</w:t>
      </w:r>
      <w:r w:rsidR="0092363F" w:rsidRPr="00631DE0">
        <w:rPr>
          <w:rFonts w:eastAsia="Times New Roman"/>
          <w:color w:val="000000" w:themeColor="text1"/>
          <w:kern w:val="0"/>
          <w14:ligatures w14:val="none"/>
        </w:rPr>
        <w:t>)</w:t>
      </w:r>
      <w:r w:rsidR="00501460" w:rsidRPr="00631DE0">
        <w:rPr>
          <w:rFonts w:eastAsia="Times New Roman"/>
          <w:color w:val="000000" w:themeColor="text1"/>
          <w:kern w:val="0"/>
          <w14:ligatures w14:val="none"/>
        </w:rPr>
        <w:t>.</w:t>
      </w:r>
      <w:r w:rsidR="0092363F" w:rsidRPr="00631DE0">
        <w:rPr>
          <w:rFonts w:eastAsia="Times New Roman"/>
          <w:color w:val="000000" w:themeColor="text1"/>
          <w:kern w:val="0"/>
          <w14:ligatures w14:val="none"/>
        </w:rPr>
        <w:t xml:space="preserve"> </w:t>
      </w:r>
      <w:r w:rsidR="00756A5A" w:rsidRPr="00631DE0">
        <w:rPr>
          <w:rFonts w:eastAsia="Times New Roman"/>
          <w:color w:val="000000" w:themeColor="text1"/>
          <w:kern w:val="0"/>
          <w14:ligatures w14:val="none"/>
        </w:rPr>
        <w:t>Despite this, the empirical studies explaining the motivation for NGOs engagement on environmental disclosure is relatively low</w:t>
      </w:r>
      <w:r w:rsidR="00376139" w:rsidRPr="00631DE0">
        <w:rPr>
          <w:rFonts w:eastAsia="Times New Roman"/>
          <w:color w:val="000000" w:themeColor="text1"/>
          <w:kern w:val="0"/>
          <w14:ligatures w14:val="none"/>
        </w:rPr>
        <w:t xml:space="preserve"> (</w:t>
      </w:r>
      <w:r w:rsidR="00376139" w:rsidRPr="00631DE0">
        <w:rPr>
          <w:rFonts w:eastAsia="Calibri"/>
          <w:color w:val="000000" w:themeColor="text1"/>
          <w:kern w:val="0"/>
          <w14:ligatures w14:val="none"/>
        </w:rPr>
        <w:t xml:space="preserve">Comyns &amp; Figge, 2015; Diouf &amp; Boiral, 2017). </w:t>
      </w:r>
      <w:r w:rsidR="00756A5A" w:rsidRPr="00631DE0">
        <w:rPr>
          <w:rFonts w:eastAsia="Calibri"/>
          <w:color w:val="000000" w:themeColor="text1"/>
          <w:kern w:val="0"/>
          <w14:ligatures w14:val="none"/>
        </w:rPr>
        <w:t>For instance</w:t>
      </w:r>
      <w:r w:rsidR="00376139" w:rsidRPr="00631DE0">
        <w:rPr>
          <w:rFonts w:eastAsia="Calibri"/>
          <w:color w:val="000000" w:themeColor="text1"/>
          <w:kern w:val="0"/>
          <w14:ligatures w14:val="none"/>
        </w:rPr>
        <w:t xml:space="preserve">, </w:t>
      </w:r>
      <w:r w:rsidR="00850D33" w:rsidRPr="00631DE0">
        <w:rPr>
          <w:rFonts w:eastAsia="Calibri"/>
          <w:color w:val="000000" w:themeColor="text1"/>
          <w:kern w:val="0"/>
          <w14:ligatures w14:val="none"/>
        </w:rPr>
        <w:t xml:space="preserve">Haque &amp; Irvine (2014) </w:t>
      </w:r>
      <w:r w:rsidR="00756A5A" w:rsidRPr="00631DE0">
        <w:rPr>
          <w:rFonts w:eastAsia="Calibri"/>
          <w:color w:val="000000" w:themeColor="text1"/>
          <w:kern w:val="0"/>
          <w14:ligatures w14:val="none"/>
        </w:rPr>
        <w:t>show</w:t>
      </w:r>
      <w:r w:rsidR="00850D33" w:rsidRPr="00631DE0">
        <w:rPr>
          <w:rFonts w:eastAsia="Calibri"/>
          <w:color w:val="000000" w:themeColor="text1"/>
          <w:kern w:val="0"/>
          <w14:ligatures w14:val="none"/>
        </w:rPr>
        <w:t xml:space="preserve"> an increase of environmental disclosure of 30 Australian NGOs between 2008 and 2012. Similarly, Leardini </w:t>
      </w:r>
      <w:r w:rsidR="00850D33" w:rsidRPr="00631DE0">
        <w:rPr>
          <w:rFonts w:eastAsia="Calibri"/>
          <w:i/>
          <w:iCs/>
          <w:color w:val="000000" w:themeColor="text1"/>
          <w:kern w:val="0"/>
          <w14:ligatures w14:val="none"/>
        </w:rPr>
        <w:t>et al</w:t>
      </w:r>
      <w:r w:rsidR="00850D33" w:rsidRPr="00631DE0">
        <w:rPr>
          <w:rFonts w:eastAsia="Calibri"/>
          <w:color w:val="000000" w:themeColor="text1"/>
          <w:kern w:val="0"/>
          <w14:ligatures w14:val="none"/>
        </w:rPr>
        <w:t xml:space="preserve">. (2020) note </w:t>
      </w:r>
      <w:r w:rsidR="001759CE">
        <w:rPr>
          <w:rFonts w:eastAsia="Calibri"/>
          <w:color w:val="000000" w:themeColor="text1"/>
          <w:kern w:val="0"/>
          <w14:ligatures w14:val="none"/>
        </w:rPr>
        <w:t xml:space="preserve">an </w:t>
      </w:r>
      <w:r w:rsidR="003B2612" w:rsidRPr="00631DE0">
        <w:rPr>
          <w:rFonts w:eastAsia="Calibri"/>
          <w:color w:val="000000" w:themeColor="text1"/>
          <w:kern w:val="0"/>
          <w14:ligatures w14:val="none"/>
        </w:rPr>
        <w:t>increase</w:t>
      </w:r>
      <w:r w:rsidR="00850D33" w:rsidRPr="00631DE0">
        <w:rPr>
          <w:rFonts w:eastAsia="Calibri"/>
          <w:color w:val="000000" w:themeColor="text1"/>
          <w:kern w:val="0"/>
          <w14:ligatures w14:val="none"/>
        </w:rPr>
        <w:t xml:space="preserve"> of environmental disclosure</w:t>
      </w:r>
      <w:r w:rsidR="00D1747D">
        <w:rPr>
          <w:rFonts w:eastAsia="Calibri"/>
          <w:color w:val="000000" w:themeColor="text1"/>
          <w:kern w:val="0"/>
          <w14:ligatures w14:val="none"/>
        </w:rPr>
        <w:t>s</w:t>
      </w:r>
      <w:r w:rsidR="003B2612" w:rsidRPr="00631DE0">
        <w:rPr>
          <w:rFonts w:eastAsia="Calibri"/>
          <w:color w:val="000000" w:themeColor="text1"/>
          <w:kern w:val="0"/>
          <w14:ligatures w14:val="none"/>
        </w:rPr>
        <w:t xml:space="preserve"> as a condition of donation using I42 NGOs in </w:t>
      </w:r>
      <w:r w:rsidR="00D1747D">
        <w:rPr>
          <w:rFonts w:eastAsia="Calibri"/>
          <w:color w:val="000000" w:themeColor="text1"/>
          <w:kern w:val="0"/>
          <w14:ligatures w14:val="none"/>
        </w:rPr>
        <w:t xml:space="preserve">the </w:t>
      </w:r>
      <w:r w:rsidR="003B2612" w:rsidRPr="00631DE0">
        <w:rPr>
          <w:rFonts w:eastAsia="Calibri"/>
          <w:color w:val="000000" w:themeColor="text1"/>
          <w:kern w:val="0"/>
          <w14:ligatures w14:val="none"/>
        </w:rPr>
        <w:t xml:space="preserve">USA in 2018. </w:t>
      </w:r>
      <w:r w:rsidR="006A06B0" w:rsidRPr="00631DE0">
        <w:rPr>
          <w:rFonts w:eastAsia="Calibri"/>
          <w:color w:val="000000" w:themeColor="text1"/>
          <w:kern w:val="0"/>
          <w14:ligatures w14:val="none"/>
        </w:rPr>
        <w:t xml:space="preserve">Moreover, </w:t>
      </w:r>
      <w:r w:rsidR="00113D03" w:rsidRPr="00631DE0">
        <w:rPr>
          <w:rFonts w:eastAsia="Calibri"/>
          <w:color w:val="000000" w:themeColor="text1"/>
          <w:kern w:val="0"/>
          <w14:ligatures w14:val="none"/>
        </w:rPr>
        <w:t>Aswoga (202</w:t>
      </w:r>
      <w:r w:rsidR="00783771" w:rsidRPr="00631DE0">
        <w:rPr>
          <w:rFonts w:eastAsia="Calibri"/>
          <w:color w:val="000000" w:themeColor="text1"/>
          <w:kern w:val="0"/>
          <w14:ligatures w14:val="none"/>
        </w:rPr>
        <w:t>3</w:t>
      </w:r>
      <w:r w:rsidR="00113D03" w:rsidRPr="00631DE0">
        <w:rPr>
          <w:rFonts w:eastAsia="Calibri"/>
          <w:color w:val="000000" w:themeColor="text1"/>
          <w:kern w:val="0"/>
          <w14:ligatures w14:val="none"/>
        </w:rPr>
        <w:t>)</w:t>
      </w:r>
      <w:r w:rsidR="00783771" w:rsidRPr="00631DE0">
        <w:rPr>
          <w:rFonts w:eastAsia="Calibri"/>
          <w:color w:val="000000" w:themeColor="text1"/>
          <w:kern w:val="0"/>
          <w14:ligatures w14:val="none"/>
        </w:rPr>
        <w:t xml:space="preserve"> using NGOs in Nigeria</w:t>
      </w:r>
      <w:r w:rsidR="006A06B0" w:rsidRPr="00631DE0">
        <w:rPr>
          <w:rFonts w:eastAsia="Calibri"/>
          <w:color w:val="000000" w:themeColor="text1"/>
          <w:kern w:val="0"/>
          <w14:ligatures w14:val="none"/>
        </w:rPr>
        <w:t>, finds</w:t>
      </w:r>
      <w:r w:rsidR="00783771" w:rsidRPr="00631DE0">
        <w:rPr>
          <w:rFonts w:eastAsia="Calibri"/>
          <w:color w:val="000000" w:themeColor="text1"/>
          <w:kern w:val="0"/>
          <w14:ligatures w14:val="none"/>
        </w:rPr>
        <w:t xml:space="preserve"> that legitimacy drives environmental disclosure.</w:t>
      </w:r>
      <w:r w:rsidR="00DE2D5E" w:rsidRPr="00631DE0">
        <w:rPr>
          <w:rFonts w:eastAsia="Calibri"/>
          <w:color w:val="000000" w:themeColor="text1"/>
          <w:kern w:val="0"/>
          <w14:ligatures w14:val="none"/>
        </w:rPr>
        <w:t xml:space="preserve"> </w:t>
      </w:r>
    </w:p>
    <w:p w14:paraId="595E018F" w14:textId="389EB928" w:rsidR="00F04C3D" w:rsidRPr="00631DE0" w:rsidRDefault="006A06B0" w:rsidP="006A06B0">
      <w:pPr>
        <w:pStyle w:val="NormalWeb"/>
        <w:spacing w:line="360" w:lineRule="auto"/>
        <w:ind w:firstLine="0"/>
        <w:rPr>
          <w:rFonts w:eastAsia="Times New Roman"/>
          <w:color w:val="000000" w:themeColor="text1"/>
          <w:kern w:val="0"/>
          <w14:ligatures w14:val="none"/>
        </w:rPr>
      </w:pPr>
      <w:r w:rsidRPr="00631DE0">
        <w:rPr>
          <w:rFonts w:eastAsia="Calibri"/>
          <w:color w:val="000000" w:themeColor="text1"/>
          <w:kern w:val="0"/>
          <w14:ligatures w14:val="none"/>
        </w:rPr>
        <w:t>Besides</w:t>
      </w:r>
      <w:r w:rsidR="003B2612" w:rsidRPr="00631DE0">
        <w:rPr>
          <w:rFonts w:eastAsia="Calibri"/>
          <w:color w:val="000000" w:themeColor="text1"/>
          <w:kern w:val="0"/>
          <w14:ligatures w14:val="none"/>
        </w:rPr>
        <w:t xml:space="preserve">, as suggested by </w:t>
      </w:r>
      <w:r w:rsidR="00113D03" w:rsidRPr="00631DE0">
        <w:rPr>
          <w:rFonts w:eastAsia="Calibri"/>
          <w:color w:val="000000" w:themeColor="text1"/>
          <w:kern w:val="0"/>
          <w14:ligatures w14:val="none"/>
        </w:rPr>
        <w:t>coercive isomorphic pressure (Di Maggios &amp; Powell, 1983), firm</w:t>
      </w:r>
      <w:r w:rsidR="001B4AC8" w:rsidRPr="00631DE0">
        <w:rPr>
          <w:rFonts w:eastAsia="Calibri"/>
          <w:color w:val="000000" w:themeColor="text1"/>
          <w:kern w:val="0"/>
          <w14:ligatures w14:val="none"/>
        </w:rPr>
        <w:t>s</w:t>
      </w:r>
      <w:r w:rsidR="00113D03" w:rsidRPr="00631DE0">
        <w:rPr>
          <w:rFonts w:eastAsia="Calibri"/>
          <w:color w:val="000000" w:themeColor="text1"/>
          <w:kern w:val="0"/>
          <w14:ligatures w14:val="none"/>
        </w:rPr>
        <w:t xml:space="preserve"> face pressure to increase environmental disclosure in line with new environmental guidelines. For example, Tauringan</w:t>
      </w:r>
      <w:r w:rsidR="00F73913" w:rsidRPr="00631DE0">
        <w:rPr>
          <w:rFonts w:eastAsia="Calibri"/>
          <w:color w:val="000000" w:themeColor="text1"/>
          <w:kern w:val="0"/>
          <w14:ligatures w14:val="none"/>
        </w:rPr>
        <w:t>a</w:t>
      </w:r>
      <w:r w:rsidR="00113D03" w:rsidRPr="00631DE0">
        <w:rPr>
          <w:rFonts w:eastAsia="Calibri"/>
          <w:color w:val="000000" w:themeColor="text1"/>
          <w:kern w:val="0"/>
          <w14:ligatures w14:val="none"/>
        </w:rPr>
        <w:t xml:space="preserve"> &amp; Chitambo (2015) establish that after issuance of DEFRA guidance in 2009, there was significant GHC disclosure level among FTSE firms over a period between 2008-2011.</w:t>
      </w:r>
      <w:r w:rsidR="003B2612" w:rsidRPr="00631DE0">
        <w:rPr>
          <w:rFonts w:eastAsia="Calibri"/>
          <w:color w:val="000000" w:themeColor="text1"/>
          <w:kern w:val="0"/>
          <w14:ligatures w14:val="none"/>
        </w:rPr>
        <w:t xml:space="preserve"> </w:t>
      </w:r>
      <w:r w:rsidR="00113D03" w:rsidRPr="00631DE0">
        <w:rPr>
          <w:rFonts w:eastAsia="Calibri"/>
          <w:color w:val="000000" w:themeColor="text1"/>
          <w:kern w:val="0"/>
          <w14:ligatures w14:val="none"/>
        </w:rPr>
        <w:t xml:space="preserve">In the same vein, D’Amico </w:t>
      </w:r>
      <w:r w:rsidR="00113D03" w:rsidRPr="00631DE0">
        <w:rPr>
          <w:rFonts w:eastAsia="Calibri"/>
          <w:i/>
          <w:iCs/>
          <w:color w:val="000000" w:themeColor="text1"/>
          <w:kern w:val="0"/>
          <w14:ligatures w14:val="none"/>
        </w:rPr>
        <w:t>et al</w:t>
      </w:r>
      <w:r w:rsidR="00113D03" w:rsidRPr="00631DE0">
        <w:rPr>
          <w:rFonts w:eastAsia="Calibri"/>
          <w:color w:val="000000" w:themeColor="text1"/>
          <w:kern w:val="0"/>
          <w14:ligatures w14:val="none"/>
        </w:rPr>
        <w:t>. (2016) observe that publication of voluntary code on environmental disclosure in Italy, resulted to increase of</w:t>
      </w:r>
      <w:r w:rsidR="001B4AC8" w:rsidRPr="00631DE0">
        <w:rPr>
          <w:rFonts w:eastAsia="Calibri"/>
          <w:color w:val="000000" w:themeColor="text1"/>
          <w:kern w:val="0"/>
          <w14:ligatures w14:val="none"/>
        </w:rPr>
        <w:t xml:space="preserve"> firm’s</w:t>
      </w:r>
      <w:r w:rsidR="00113D03" w:rsidRPr="00631DE0">
        <w:rPr>
          <w:rFonts w:eastAsia="Calibri"/>
          <w:color w:val="000000" w:themeColor="text1"/>
          <w:kern w:val="0"/>
          <w14:ligatures w14:val="none"/>
        </w:rPr>
        <w:t xml:space="preserve"> environmental disclosure. Besides, </w:t>
      </w:r>
      <w:r w:rsidR="00CB0D55" w:rsidRPr="00631DE0">
        <w:rPr>
          <w:rFonts w:eastAsia="Calibri"/>
          <w:color w:val="000000" w:themeColor="text1"/>
          <w:kern w:val="0"/>
          <w14:ligatures w14:val="none"/>
        </w:rPr>
        <w:t xml:space="preserve">Li </w:t>
      </w:r>
      <w:r w:rsidR="00CB0D55" w:rsidRPr="00631DE0">
        <w:rPr>
          <w:rFonts w:eastAsia="Calibri"/>
          <w:i/>
          <w:iCs/>
          <w:color w:val="000000" w:themeColor="text1"/>
          <w:kern w:val="0"/>
          <w14:ligatures w14:val="none"/>
        </w:rPr>
        <w:t>et al</w:t>
      </w:r>
      <w:r w:rsidR="00CB0D55" w:rsidRPr="00631DE0">
        <w:rPr>
          <w:rFonts w:eastAsia="Calibri"/>
          <w:color w:val="000000" w:themeColor="text1"/>
          <w:kern w:val="0"/>
          <w14:ligatures w14:val="none"/>
        </w:rPr>
        <w:t xml:space="preserve">. (2018) report using Chinese firms between 2008-2012 that environmental legitimacy provides incentives to firms to report more carbon disclosure. Likewise, Hofer </w:t>
      </w:r>
      <w:r w:rsidR="00CB0D55" w:rsidRPr="00631DE0">
        <w:rPr>
          <w:rFonts w:eastAsia="Calibri"/>
          <w:i/>
          <w:iCs/>
          <w:color w:val="000000" w:themeColor="text1"/>
          <w:kern w:val="0"/>
          <w14:ligatures w14:val="none"/>
        </w:rPr>
        <w:t>et al</w:t>
      </w:r>
      <w:r w:rsidR="00CB0D55" w:rsidRPr="00631DE0">
        <w:rPr>
          <w:rFonts w:eastAsia="Calibri"/>
          <w:color w:val="000000" w:themeColor="text1"/>
          <w:kern w:val="0"/>
          <w14:ligatures w14:val="none"/>
        </w:rPr>
        <w:t xml:space="preserve">. (2012) establish that legitimacy compel firms to increase environmental disclosure in order to attract stakeholders. </w:t>
      </w:r>
      <w:r w:rsidR="00DE2D5E" w:rsidRPr="00631DE0">
        <w:rPr>
          <w:rFonts w:eastAsia="Calibri"/>
          <w:color w:val="000000" w:themeColor="text1"/>
          <w:kern w:val="0"/>
          <w14:ligatures w14:val="none"/>
        </w:rPr>
        <w:t>Relatedly, prior studies provide evidence that environmental disclosure enhances firm visibility of good corporate citizen</w:t>
      </w:r>
      <w:r w:rsidR="001B4AC8" w:rsidRPr="00631DE0">
        <w:rPr>
          <w:rFonts w:eastAsia="Calibri"/>
          <w:color w:val="000000" w:themeColor="text1"/>
          <w:kern w:val="0"/>
          <w14:ligatures w14:val="none"/>
        </w:rPr>
        <w:t>ship</w:t>
      </w:r>
      <w:r w:rsidR="00DE2D5E" w:rsidRPr="00631DE0">
        <w:rPr>
          <w:rFonts w:eastAsia="Calibri"/>
          <w:color w:val="000000" w:themeColor="text1"/>
          <w:kern w:val="0"/>
          <w14:ligatures w14:val="none"/>
        </w:rPr>
        <w:t xml:space="preserve">, thus affecting </w:t>
      </w:r>
      <w:r w:rsidR="001B4AC8" w:rsidRPr="00631DE0">
        <w:rPr>
          <w:rFonts w:eastAsia="Calibri"/>
          <w:color w:val="000000" w:themeColor="text1"/>
          <w:kern w:val="0"/>
          <w14:ligatures w14:val="none"/>
        </w:rPr>
        <w:t>improving its</w:t>
      </w:r>
      <w:r w:rsidR="00DE2D5E" w:rsidRPr="00631DE0">
        <w:rPr>
          <w:rFonts w:eastAsia="Calibri"/>
          <w:color w:val="000000" w:themeColor="text1"/>
          <w:kern w:val="0"/>
          <w14:ligatures w14:val="none"/>
        </w:rPr>
        <w:t xml:space="preserve"> outcomes (Lauwo </w:t>
      </w:r>
      <w:r w:rsidR="00DE2D5E" w:rsidRPr="00631DE0">
        <w:rPr>
          <w:rFonts w:eastAsia="Calibri"/>
          <w:i/>
          <w:iCs/>
          <w:color w:val="000000" w:themeColor="text1"/>
          <w:kern w:val="0"/>
          <w14:ligatures w14:val="none"/>
        </w:rPr>
        <w:t>et al</w:t>
      </w:r>
      <w:r w:rsidR="00DE2D5E" w:rsidRPr="00631DE0">
        <w:rPr>
          <w:rFonts w:eastAsia="Calibri"/>
          <w:color w:val="000000" w:themeColor="text1"/>
          <w:kern w:val="0"/>
          <w14:ligatures w14:val="none"/>
        </w:rPr>
        <w:t xml:space="preserve">., 2016; Yin &amp; Wang, 2018). </w:t>
      </w:r>
      <w:r w:rsidRPr="00631DE0">
        <w:rPr>
          <w:rFonts w:eastAsia="Calibri"/>
          <w:color w:val="000000" w:themeColor="text1"/>
          <w:kern w:val="0"/>
          <w14:ligatures w14:val="none"/>
        </w:rPr>
        <w:t>As such,</w:t>
      </w:r>
      <w:r w:rsidR="00DE2D5E" w:rsidRPr="00631DE0">
        <w:rPr>
          <w:rFonts w:eastAsia="Calibri"/>
          <w:color w:val="000000" w:themeColor="text1"/>
          <w:kern w:val="0"/>
          <w14:ligatures w14:val="none"/>
        </w:rPr>
        <w:t xml:space="preserve"> empirical studies document that NGOs with higher environmental disclosure</w:t>
      </w:r>
      <w:r w:rsidR="00D436B6">
        <w:rPr>
          <w:rFonts w:eastAsia="Calibri"/>
          <w:color w:val="000000" w:themeColor="text1"/>
          <w:kern w:val="0"/>
          <w14:ligatures w14:val="none"/>
        </w:rPr>
        <w:t>s</w:t>
      </w:r>
      <w:r w:rsidR="00DE2D5E" w:rsidRPr="00631DE0">
        <w:rPr>
          <w:rFonts w:eastAsia="Calibri"/>
          <w:color w:val="000000" w:themeColor="text1"/>
          <w:kern w:val="0"/>
          <w14:ligatures w14:val="none"/>
        </w:rPr>
        <w:t xml:space="preserve"> attract more donations than those that report less</w:t>
      </w:r>
      <w:r w:rsidR="00DE2D5E" w:rsidRPr="00631DE0">
        <w:rPr>
          <w:rFonts w:eastAsia="Times New Roman"/>
          <w:color w:val="000000" w:themeColor="text1"/>
          <w:kern w:val="0"/>
          <w14:ligatures w14:val="none"/>
        </w:rPr>
        <w:t xml:space="preserve"> (Agyemang </w:t>
      </w:r>
      <w:r w:rsidR="00DE2D5E" w:rsidRPr="00631DE0">
        <w:rPr>
          <w:rFonts w:eastAsia="Times New Roman"/>
          <w:i/>
          <w:iCs/>
          <w:color w:val="000000" w:themeColor="text1"/>
          <w:kern w:val="0"/>
          <w14:ligatures w14:val="none"/>
        </w:rPr>
        <w:t>et al</w:t>
      </w:r>
      <w:r w:rsidR="00DE2D5E" w:rsidRPr="00631DE0">
        <w:rPr>
          <w:rFonts w:eastAsia="Times New Roman"/>
          <w:color w:val="000000" w:themeColor="text1"/>
          <w:kern w:val="0"/>
          <w14:ligatures w14:val="none"/>
        </w:rPr>
        <w:t>., 2019; Clerkin and Quinn, 2021).</w:t>
      </w:r>
      <w:r w:rsidR="00F04C3D" w:rsidRPr="00631DE0">
        <w:rPr>
          <w:rFonts w:eastAsia="Calibri"/>
          <w:color w:val="000000" w:themeColor="text1"/>
          <w:kern w:val="0"/>
          <w14:ligatures w14:val="none"/>
        </w:rPr>
        <w:t xml:space="preserve"> </w:t>
      </w:r>
      <w:r w:rsidR="00955FCA" w:rsidRPr="00631DE0">
        <w:rPr>
          <w:rFonts w:eastAsia="Times New Roman"/>
          <w:color w:val="000000" w:themeColor="text1"/>
          <w:kern w:val="0"/>
          <w14:ligatures w14:val="none"/>
        </w:rPr>
        <w:t>We pos</w:t>
      </w:r>
      <w:r w:rsidR="00F04C3D" w:rsidRPr="00631DE0">
        <w:rPr>
          <w:rFonts w:eastAsia="Times New Roman"/>
          <w:color w:val="000000" w:themeColor="text1"/>
          <w:kern w:val="0"/>
          <w14:ligatures w14:val="none"/>
        </w:rPr>
        <w:t>it</w:t>
      </w:r>
      <w:r w:rsidR="00955FCA" w:rsidRPr="00631DE0">
        <w:rPr>
          <w:rFonts w:eastAsia="Times New Roman"/>
          <w:color w:val="000000" w:themeColor="text1"/>
          <w:kern w:val="0"/>
          <w14:ligatures w14:val="none"/>
        </w:rPr>
        <w:t xml:space="preserve"> that a deeper understanding of the overall NGOs’ environmental disclosure level regarding environmental management (ENVMGT), climate changes (CC), and ecosystems (ECO) can extend</w:t>
      </w:r>
      <w:r w:rsidRPr="00631DE0">
        <w:rPr>
          <w:rFonts w:eastAsia="Times New Roman"/>
          <w:color w:val="000000" w:themeColor="text1"/>
          <w:kern w:val="0"/>
          <w14:ligatures w14:val="none"/>
        </w:rPr>
        <w:t xml:space="preserve"> the</w:t>
      </w:r>
      <w:r w:rsidR="00955FCA" w:rsidRPr="00631DE0">
        <w:rPr>
          <w:rFonts w:eastAsia="Times New Roman"/>
          <w:color w:val="000000" w:themeColor="text1"/>
          <w:kern w:val="0"/>
          <w14:ligatures w14:val="none"/>
        </w:rPr>
        <w:t xml:space="preserve"> knowledge, extant literature, and </w:t>
      </w:r>
      <w:r w:rsidR="00955FCA" w:rsidRPr="00631DE0">
        <w:rPr>
          <w:rFonts w:eastAsia="Times New Roman"/>
          <w:color w:val="000000" w:themeColor="text1"/>
          <w:kern w:val="0"/>
          <w14:ligatures w14:val="none"/>
        </w:rPr>
        <w:lastRenderedPageBreak/>
        <w:t xml:space="preserve">serve as a reference to inspire this important sector to </w:t>
      </w:r>
      <w:r w:rsidRPr="00631DE0">
        <w:rPr>
          <w:rFonts w:eastAsia="Times New Roman"/>
          <w:color w:val="000000" w:themeColor="text1"/>
          <w:kern w:val="0"/>
          <w14:ligatures w14:val="none"/>
        </w:rPr>
        <w:t>strive for environmental performance accountability</w:t>
      </w:r>
      <w:r w:rsidR="00955FCA" w:rsidRPr="00631DE0">
        <w:rPr>
          <w:rFonts w:eastAsia="Times New Roman"/>
          <w:color w:val="000000" w:themeColor="text1"/>
          <w:kern w:val="0"/>
          <w14:ligatures w14:val="none"/>
        </w:rPr>
        <w:t>.</w:t>
      </w:r>
    </w:p>
    <w:p w14:paraId="62C1F262" w14:textId="11CA9566" w:rsidR="00DE2D5E" w:rsidRPr="00631DE0" w:rsidRDefault="00715938" w:rsidP="006A06B0">
      <w:pPr>
        <w:pStyle w:val="NormalWeb"/>
        <w:spacing w:line="360" w:lineRule="auto"/>
        <w:ind w:firstLine="0"/>
        <w:rPr>
          <w:rFonts w:eastAsia="Calibri"/>
          <w:color w:val="000000" w:themeColor="text1"/>
          <w:kern w:val="0"/>
          <w14:ligatures w14:val="none"/>
        </w:rPr>
      </w:pPr>
      <w:r w:rsidRPr="00631DE0">
        <w:rPr>
          <w:rFonts w:eastAsia="Calibri"/>
          <w:color w:val="000000" w:themeColor="text1"/>
          <w:kern w:val="0"/>
          <w14:ligatures w14:val="none"/>
        </w:rPr>
        <w:t>Given that</w:t>
      </w:r>
      <w:r w:rsidR="006A06B0" w:rsidRPr="00631DE0">
        <w:rPr>
          <w:rFonts w:eastAsia="Calibri"/>
          <w:color w:val="000000" w:themeColor="text1"/>
          <w:kern w:val="0"/>
          <w14:ligatures w14:val="none"/>
        </w:rPr>
        <w:t xml:space="preserve"> only</w:t>
      </w:r>
      <w:r w:rsidRPr="00631DE0">
        <w:rPr>
          <w:rFonts w:eastAsia="Calibri"/>
          <w:color w:val="000000" w:themeColor="text1"/>
          <w:kern w:val="0"/>
          <w14:ligatures w14:val="none"/>
        </w:rPr>
        <w:t xml:space="preserve"> few studies </w:t>
      </w:r>
      <w:r w:rsidR="006A06B0" w:rsidRPr="00631DE0">
        <w:rPr>
          <w:rFonts w:eastAsia="Calibri"/>
          <w:color w:val="000000" w:themeColor="text1"/>
          <w:kern w:val="0"/>
          <w14:ligatures w14:val="none"/>
        </w:rPr>
        <w:t>have examined</w:t>
      </w:r>
      <w:r w:rsidRPr="00631DE0">
        <w:rPr>
          <w:rFonts w:eastAsia="Calibri"/>
          <w:color w:val="000000" w:themeColor="text1"/>
          <w:kern w:val="0"/>
          <w14:ligatures w14:val="none"/>
        </w:rPr>
        <w:t xml:space="preserve"> extent to which NGOs adhere to environmental reporting expectations of society, academic tension exists. There</w:t>
      </w:r>
      <w:r w:rsidR="003D20DC" w:rsidRPr="00631DE0">
        <w:rPr>
          <w:rFonts w:eastAsia="Calibri"/>
          <w:color w:val="000000" w:themeColor="text1"/>
          <w:kern w:val="0"/>
          <w14:ligatures w14:val="none"/>
        </w:rPr>
        <w:t xml:space="preserve"> is the potential that because the role of NGOs </w:t>
      </w:r>
      <w:r w:rsidRPr="00631DE0">
        <w:rPr>
          <w:rFonts w:eastAsia="Calibri"/>
          <w:color w:val="000000" w:themeColor="text1"/>
          <w:kern w:val="0"/>
          <w14:ligatures w14:val="none"/>
        </w:rPr>
        <w:t>is</w:t>
      </w:r>
      <w:r w:rsidR="003D20DC" w:rsidRPr="00631DE0">
        <w:rPr>
          <w:rFonts w:eastAsia="Calibri"/>
          <w:color w:val="000000" w:themeColor="text1"/>
          <w:kern w:val="0"/>
          <w14:ligatures w14:val="none"/>
        </w:rPr>
        <w:t xml:space="preserve"> to promote wellbeing in</w:t>
      </w:r>
      <w:r w:rsidRPr="00631DE0">
        <w:rPr>
          <w:rFonts w:eastAsia="Calibri"/>
          <w:color w:val="000000" w:themeColor="text1"/>
          <w:kern w:val="0"/>
          <w14:ligatures w14:val="none"/>
        </w:rPr>
        <w:t xml:space="preserve"> the</w:t>
      </w:r>
      <w:r w:rsidR="003D20DC" w:rsidRPr="00631DE0">
        <w:rPr>
          <w:rFonts w:eastAsia="Calibri"/>
          <w:color w:val="000000" w:themeColor="text1"/>
          <w:kern w:val="0"/>
          <w14:ligatures w14:val="none"/>
        </w:rPr>
        <w:t xml:space="preserve"> society, they may simply lack the financial knowledge or expertise to pro</w:t>
      </w:r>
      <w:r w:rsidR="00F04C3D" w:rsidRPr="00631DE0">
        <w:rPr>
          <w:rFonts w:eastAsia="Calibri"/>
          <w:color w:val="000000" w:themeColor="text1"/>
          <w:kern w:val="0"/>
          <w14:ligatures w14:val="none"/>
        </w:rPr>
        <w:t>duce</w:t>
      </w:r>
      <w:r w:rsidR="003D20DC" w:rsidRPr="00631DE0">
        <w:rPr>
          <w:rFonts w:eastAsia="Calibri"/>
          <w:color w:val="000000" w:themeColor="text1"/>
          <w:kern w:val="0"/>
          <w14:ligatures w14:val="none"/>
        </w:rPr>
        <w:t xml:space="preserve"> high quality environmental disclosures. </w:t>
      </w:r>
      <w:r w:rsidR="006A06B0" w:rsidRPr="00631DE0">
        <w:rPr>
          <w:rFonts w:eastAsia="Calibri"/>
          <w:color w:val="000000" w:themeColor="text1"/>
          <w:kern w:val="0"/>
          <w14:ligatures w14:val="none"/>
        </w:rPr>
        <w:t xml:space="preserve">Also, there is </w:t>
      </w:r>
      <w:r w:rsidR="00F561B6">
        <w:rPr>
          <w:rFonts w:eastAsia="Calibri"/>
          <w:color w:val="000000" w:themeColor="text1"/>
          <w:kern w:val="0"/>
          <w14:ligatures w14:val="none"/>
        </w:rPr>
        <w:t xml:space="preserve">a </w:t>
      </w:r>
      <w:r w:rsidR="006A06B0" w:rsidRPr="00631DE0">
        <w:rPr>
          <w:rFonts w:eastAsia="Calibri"/>
          <w:color w:val="000000" w:themeColor="text1"/>
          <w:kern w:val="0"/>
          <w14:ligatures w14:val="none"/>
        </w:rPr>
        <w:t>possibility that</w:t>
      </w:r>
      <w:r w:rsidR="00F04C3D" w:rsidRPr="00631DE0">
        <w:rPr>
          <w:rFonts w:eastAsia="Calibri"/>
          <w:color w:val="000000" w:themeColor="text1"/>
          <w:kern w:val="0"/>
          <w14:ligatures w14:val="none"/>
        </w:rPr>
        <w:t xml:space="preserve"> </w:t>
      </w:r>
      <w:r w:rsidR="003D20DC" w:rsidRPr="00631DE0">
        <w:rPr>
          <w:rFonts w:eastAsia="Calibri"/>
          <w:color w:val="000000" w:themeColor="text1"/>
          <w:kern w:val="0"/>
          <w14:ligatures w14:val="none"/>
        </w:rPr>
        <w:t>NGOs may simply not adhere to the environmental expectations of society, and exclude environmental disclosures from</w:t>
      </w:r>
      <w:r w:rsidRPr="00631DE0">
        <w:rPr>
          <w:rFonts w:eastAsia="Calibri"/>
          <w:color w:val="000000" w:themeColor="text1"/>
          <w:kern w:val="0"/>
          <w14:ligatures w14:val="none"/>
        </w:rPr>
        <w:t xml:space="preserve"> the</w:t>
      </w:r>
      <w:r w:rsidR="003D20DC" w:rsidRPr="00631DE0">
        <w:rPr>
          <w:rFonts w:eastAsia="Calibri"/>
          <w:color w:val="000000" w:themeColor="text1"/>
          <w:kern w:val="0"/>
          <w14:ligatures w14:val="none"/>
        </w:rPr>
        <w:t xml:space="preserve"> annual reports. </w:t>
      </w:r>
    </w:p>
    <w:p w14:paraId="193066B8" w14:textId="3C31F4DF" w:rsidR="007960CD" w:rsidRPr="00631DE0" w:rsidRDefault="003D20DC" w:rsidP="007478FB">
      <w:pPr>
        <w:pStyle w:val="NormalWeb"/>
        <w:spacing w:after="120" w:line="360" w:lineRule="auto"/>
        <w:ind w:firstLine="0"/>
        <w:rPr>
          <w:rFonts w:eastAsia="Calibri"/>
          <w:color w:val="000000" w:themeColor="text1"/>
          <w:kern w:val="0"/>
          <w14:ligatures w14:val="none"/>
        </w:rPr>
      </w:pPr>
      <w:r w:rsidRPr="00631DE0">
        <w:rPr>
          <w:rFonts w:eastAsia="Calibri"/>
          <w:color w:val="000000" w:themeColor="text1"/>
          <w:kern w:val="0"/>
          <w14:ligatures w14:val="none"/>
        </w:rPr>
        <w:t xml:space="preserve">On the other </w:t>
      </w:r>
      <w:r w:rsidR="00715938" w:rsidRPr="00631DE0">
        <w:rPr>
          <w:rFonts w:eastAsia="Calibri"/>
          <w:color w:val="000000" w:themeColor="text1"/>
          <w:kern w:val="0"/>
          <w14:ligatures w14:val="none"/>
        </w:rPr>
        <w:t>hand,</w:t>
      </w:r>
      <w:r w:rsidRPr="00631DE0">
        <w:rPr>
          <w:rFonts w:eastAsia="Calibri"/>
          <w:color w:val="000000" w:themeColor="text1"/>
          <w:kern w:val="0"/>
          <w14:ligatures w14:val="none"/>
        </w:rPr>
        <w:t xml:space="preserve"> based on three assertions, we pos</w:t>
      </w:r>
      <w:r w:rsidR="00F04C3D" w:rsidRPr="00631DE0">
        <w:rPr>
          <w:rFonts w:eastAsia="Calibri"/>
          <w:color w:val="000000" w:themeColor="text1"/>
          <w:kern w:val="0"/>
          <w14:ligatures w14:val="none"/>
        </w:rPr>
        <w:t>tulate that</w:t>
      </w:r>
      <w:r w:rsidRPr="00631DE0">
        <w:rPr>
          <w:rFonts w:eastAsia="Calibri"/>
          <w:color w:val="000000" w:themeColor="text1"/>
          <w:kern w:val="0"/>
          <w14:ligatures w14:val="none"/>
        </w:rPr>
        <w:t xml:space="preserve"> it is more likely that NGOs will have higher quality/quantity disclosures over the passage of time. </w:t>
      </w:r>
      <w:r w:rsidR="00715938" w:rsidRPr="00631DE0">
        <w:rPr>
          <w:rFonts w:eastAsia="Calibri"/>
          <w:color w:val="000000" w:themeColor="text1"/>
          <w:kern w:val="0"/>
          <w14:ligatures w14:val="none"/>
        </w:rPr>
        <w:t>First, NGOs</w:t>
      </w:r>
      <w:r w:rsidR="00417C70" w:rsidRPr="00631DE0">
        <w:rPr>
          <w:rFonts w:eastAsia="Calibri"/>
          <w:color w:val="000000" w:themeColor="text1"/>
          <w:kern w:val="0"/>
          <w14:ligatures w14:val="none"/>
        </w:rPr>
        <w:t xml:space="preserve"> are resource-dependent firms</w:t>
      </w:r>
      <w:r w:rsidR="00313704" w:rsidRPr="00631DE0">
        <w:rPr>
          <w:rFonts w:eastAsia="Calibri"/>
          <w:color w:val="000000" w:themeColor="text1"/>
          <w:kern w:val="0"/>
          <w14:ligatures w14:val="none"/>
        </w:rPr>
        <w:t xml:space="preserve"> (Aswoga </w:t>
      </w:r>
      <w:r w:rsidR="00313704" w:rsidRPr="00631DE0">
        <w:rPr>
          <w:rFonts w:eastAsia="Calibri"/>
          <w:i/>
          <w:iCs/>
          <w:color w:val="000000" w:themeColor="text1"/>
          <w:kern w:val="0"/>
          <w14:ligatures w14:val="none"/>
        </w:rPr>
        <w:t>et al</w:t>
      </w:r>
      <w:r w:rsidR="00313704" w:rsidRPr="00631DE0">
        <w:rPr>
          <w:rFonts w:eastAsia="Calibri"/>
          <w:color w:val="000000" w:themeColor="text1"/>
          <w:kern w:val="0"/>
          <w14:ligatures w14:val="none"/>
        </w:rPr>
        <w:t xml:space="preserve">., 2021; Thijssens </w:t>
      </w:r>
      <w:r w:rsidR="00313704" w:rsidRPr="00631DE0">
        <w:rPr>
          <w:rFonts w:eastAsia="Calibri"/>
          <w:i/>
          <w:iCs/>
          <w:color w:val="000000" w:themeColor="text1"/>
          <w:kern w:val="0"/>
          <w14:ligatures w14:val="none"/>
        </w:rPr>
        <w:t>et al</w:t>
      </w:r>
      <w:r w:rsidR="00313704" w:rsidRPr="00631DE0">
        <w:rPr>
          <w:rFonts w:eastAsia="Calibri"/>
          <w:color w:val="000000" w:themeColor="text1"/>
          <w:kern w:val="0"/>
          <w14:ligatures w14:val="none"/>
        </w:rPr>
        <w:t>., 2016)</w:t>
      </w:r>
      <w:r w:rsidR="00715938" w:rsidRPr="00631DE0">
        <w:rPr>
          <w:rFonts w:eastAsia="Calibri"/>
          <w:color w:val="000000" w:themeColor="text1"/>
          <w:kern w:val="0"/>
          <w14:ligatures w14:val="none"/>
        </w:rPr>
        <w:t xml:space="preserve"> </w:t>
      </w:r>
      <w:r w:rsidR="00313704" w:rsidRPr="00631DE0">
        <w:rPr>
          <w:rFonts w:eastAsia="Calibri"/>
          <w:color w:val="000000" w:themeColor="text1"/>
          <w:kern w:val="0"/>
          <w14:ligatures w14:val="none"/>
        </w:rPr>
        <w:t>and their survival and growth are subject to being accountable</w:t>
      </w:r>
      <w:r w:rsidR="00E77B4B" w:rsidRPr="00631DE0">
        <w:rPr>
          <w:rFonts w:eastAsia="Calibri"/>
          <w:color w:val="000000" w:themeColor="text1"/>
          <w:kern w:val="0"/>
          <w14:ligatures w14:val="none"/>
        </w:rPr>
        <w:t xml:space="preserve"> to society</w:t>
      </w:r>
      <w:r w:rsidR="00313704" w:rsidRPr="00631DE0">
        <w:rPr>
          <w:rFonts w:eastAsia="Calibri"/>
          <w:color w:val="000000" w:themeColor="text1"/>
          <w:kern w:val="0"/>
          <w14:ligatures w14:val="none"/>
        </w:rPr>
        <w:t xml:space="preserve"> and responsive to social norms</w:t>
      </w:r>
      <w:r w:rsidR="00E77B4B" w:rsidRPr="00631DE0">
        <w:rPr>
          <w:rFonts w:eastAsia="Calibri"/>
          <w:color w:val="000000" w:themeColor="text1"/>
          <w:kern w:val="0"/>
          <w14:ligatures w14:val="none"/>
        </w:rPr>
        <w:t xml:space="preserve"> (Connolly &amp; Hyndman, 2013; Deegman, 2017). W</w:t>
      </w:r>
      <w:r w:rsidR="00417C70" w:rsidRPr="00631DE0">
        <w:rPr>
          <w:rFonts w:eastAsia="Calibri"/>
          <w:color w:val="000000" w:themeColor="text1"/>
          <w:kern w:val="0"/>
          <w14:ligatures w14:val="none"/>
        </w:rPr>
        <w:t xml:space="preserve">e </w:t>
      </w:r>
      <w:r w:rsidRPr="00631DE0">
        <w:rPr>
          <w:rFonts w:eastAsia="Calibri"/>
          <w:color w:val="000000" w:themeColor="text1"/>
          <w:kern w:val="0"/>
          <w14:ligatures w14:val="none"/>
        </w:rPr>
        <w:t xml:space="preserve">therefore </w:t>
      </w:r>
      <w:r w:rsidR="00417C70" w:rsidRPr="00631DE0">
        <w:rPr>
          <w:rFonts w:eastAsia="Calibri"/>
          <w:color w:val="000000" w:themeColor="text1"/>
          <w:kern w:val="0"/>
          <w14:ligatures w14:val="none"/>
        </w:rPr>
        <w:t xml:space="preserve">surmise that </w:t>
      </w:r>
      <w:r w:rsidR="00E77B4B" w:rsidRPr="00631DE0">
        <w:rPr>
          <w:rFonts w:eastAsia="Calibri"/>
          <w:color w:val="000000" w:themeColor="text1"/>
          <w:kern w:val="0"/>
          <w14:ligatures w14:val="none"/>
        </w:rPr>
        <w:t>NGOs</w:t>
      </w:r>
      <w:r w:rsidR="00417C70" w:rsidRPr="00631DE0">
        <w:rPr>
          <w:rFonts w:eastAsia="Calibri"/>
          <w:color w:val="000000" w:themeColor="text1"/>
          <w:kern w:val="0"/>
          <w14:ligatures w14:val="none"/>
        </w:rPr>
        <w:t xml:space="preserve"> are more likely to continue increasing quality and quantity of environmental disclosure</w:t>
      </w:r>
      <w:r w:rsidR="00F561B6">
        <w:rPr>
          <w:rFonts w:eastAsia="Calibri"/>
          <w:color w:val="000000" w:themeColor="text1"/>
          <w:kern w:val="0"/>
          <w14:ligatures w14:val="none"/>
        </w:rPr>
        <w:t>s</w:t>
      </w:r>
      <w:r w:rsidR="00417C70" w:rsidRPr="00631DE0">
        <w:rPr>
          <w:rFonts w:eastAsia="Calibri"/>
          <w:color w:val="000000" w:themeColor="text1"/>
          <w:kern w:val="0"/>
          <w14:ligatures w14:val="none"/>
        </w:rPr>
        <w:t xml:space="preserve"> over time, thereby improving their social contract with</w:t>
      </w:r>
      <w:r w:rsidR="00F04C3D" w:rsidRPr="00631DE0">
        <w:rPr>
          <w:rFonts w:eastAsia="Calibri"/>
          <w:color w:val="000000" w:themeColor="text1"/>
          <w:kern w:val="0"/>
          <w14:ligatures w14:val="none"/>
        </w:rPr>
        <w:t xml:space="preserve"> the</w:t>
      </w:r>
      <w:r w:rsidR="00417C70" w:rsidRPr="00631DE0">
        <w:rPr>
          <w:rFonts w:eastAsia="Calibri"/>
          <w:color w:val="000000" w:themeColor="text1"/>
          <w:kern w:val="0"/>
          <w14:ligatures w14:val="none"/>
        </w:rPr>
        <w:t xml:space="preserve"> diverse stakeholders</w:t>
      </w:r>
      <w:r w:rsidR="00E77B4B" w:rsidRPr="00631DE0">
        <w:rPr>
          <w:rFonts w:eastAsia="Calibri"/>
          <w:color w:val="000000" w:themeColor="text1"/>
          <w:kern w:val="0"/>
          <w14:ligatures w14:val="none"/>
        </w:rPr>
        <w:t>.</w:t>
      </w:r>
      <w:r w:rsidR="00417C70" w:rsidRPr="00631DE0">
        <w:rPr>
          <w:rFonts w:eastAsia="Calibri"/>
          <w:color w:val="000000" w:themeColor="text1"/>
          <w:kern w:val="0"/>
          <w14:ligatures w14:val="none"/>
        </w:rPr>
        <w:t xml:space="preserve"> </w:t>
      </w:r>
      <w:r w:rsidR="00F04C3D" w:rsidRPr="00631DE0">
        <w:rPr>
          <w:rFonts w:eastAsia="Calibri"/>
          <w:color w:val="000000" w:themeColor="text1"/>
          <w:kern w:val="0"/>
          <w14:ligatures w14:val="none"/>
        </w:rPr>
        <w:t xml:space="preserve">For example, NGOs are likely to increase environmental </w:t>
      </w:r>
      <w:r w:rsidR="00C24EF1" w:rsidRPr="00631DE0">
        <w:rPr>
          <w:rFonts w:eastAsia="Calibri"/>
          <w:color w:val="000000" w:themeColor="text1"/>
          <w:kern w:val="0"/>
          <w14:ligatures w14:val="none"/>
        </w:rPr>
        <w:t xml:space="preserve">disclosure over passage of time to enhance compliance with the UK environmental guidelines as means of obtaining legitimacy. </w:t>
      </w:r>
      <w:r w:rsidR="0041274C" w:rsidRPr="00631DE0">
        <w:rPr>
          <w:rFonts w:eastAsia="Calibri"/>
          <w:color w:val="000000" w:themeColor="text1"/>
          <w:kern w:val="0"/>
          <w14:ligatures w14:val="none"/>
        </w:rPr>
        <w:t xml:space="preserve">Second, NGOs serve as advocates for sustainability practice; thus, it is essential for them to exemplify these practices to maintain credibility (O’Dwyer &amp; Boomsma, 2015; Scobie </w:t>
      </w:r>
      <w:r w:rsidR="0041274C" w:rsidRPr="00631DE0">
        <w:rPr>
          <w:rFonts w:eastAsia="Calibri"/>
          <w:i/>
          <w:iCs/>
          <w:color w:val="000000" w:themeColor="text1"/>
          <w:kern w:val="0"/>
          <w14:ligatures w14:val="none"/>
        </w:rPr>
        <w:t>et al</w:t>
      </w:r>
      <w:r w:rsidR="0041274C" w:rsidRPr="00631DE0">
        <w:rPr>
          <w:rFonts w:eastAsia="Calibri"/>
          <w:color w:val="000000" w:themeColor="text1"/>
          <w:kern w:val="0"/>
          <w14:ligatures w14:val="none"/>
        </w:rPr>
        <w:t xml:space="preserve">., 2020). </w:t>
      </w:r>
      <w:r w:rsidR="00A01C34" w:rsidRPr="00631DE0">
        <w:rPr>
          <w:rFonts w:eastAsia="Calibri"/>
          <w:color w:val="000000" w:themeColor="text1"/>
          <w:kern w:val="0"/>
          <w14:ligatures w14:val="none"/>
        </w:rPr>
        <w:t>One</w:t>
      </w:r>
      <w:r w:rsidR="00E77B4B" w:rsidRPr="00631DE0">
        <w:rPr>
          <w:rFonts w:eastAsia="Calibri"/>
          <w:color w:val="000000" w:themeColor="text1"/>
          <w:kern w:val="0"/>
          <w14:ligatures w14:val="none"/>
        </w:rPr>
        <w:t xml:space="preserve"> way of achieving this is</w:t>
      </w:r>
      <w:r w:rsidR="00A01C34" w:rsidRPr="00631DE0">
        <w:rPr>
          <w:rFonts w:eastAsia="Calibri"/>
          <w:color w:val="000000" w:themeColor="text1"/>
          <w:kern w:val="0"/>
          <w14:ligatures w14:val="none"/>
        </w:rPr>
        <w:t xml:space="preserve"> by </w:t>
      </w:r>
      <w:r w:rsidR="00186331" w:rsidRPr="00631DE0">
        <w:rPr>
          <w:rFonts w:eastAsia="Calibri"/>
          <w:color w:val="000000" w:themeColor="text1"/>
          <w:kern w:val="0"/>
          <w14:ligatures w14:val="none"/>
        </w:rPr>
        <w:t>increasing</w:t>
      </w:r>
      <w:r w:rsidR="00E77B4B" w:rsidRPr="00631DE0">
        <w:rPr>
          <w:rFonts w:eastAsia="Calibri"/>
          <w:color w:val="000000" w:themeColor="text1"/>
          <w:kern w:val="0"/>
          <w14:ligatures w14:val="none"/>
        </w:rPr>
        <w:t xml:space="preserve"> the</w:t>
      </w:r>
      <w:r w:rsidR="00A01C34" w:rsidRPr="00631DE0">
        <w:rPr>
          <w:rFonts w:eastAsia="Calibri"/>
          <w:color w:val="000000" w:themeColor="text1"/>
          <w:kern w:val="0"/>
          <w14:ligatures w14:val="none"/>
        </w:rPr>
        <w:t xml:space="preserve"> quality</w:t>
      </w:r>
      <w:r w:rsidR="0041274C" w:rsidRPr="00631DE0">
        <w:rPr>
          <w:rFonts w:eastAsia="Calibri"/>
          <w:color w:val="000000" w:themeColor="text1"/>
          <w:kern w:val="0"/>
          <w14:ligatures w14:val="none"/>
        </w:rPr>
        <w:t xml:space="preserve"> and quantity</w:t>
      </w:r>
      <w:r w:rsidR="00186331" w:rsidRPr="00631DE0">
        <w:rPr>
          <w:rFonts w:eastAsia="Calibri"/>
          <w:color w:val="000000" w:themeColor="text1"/>
          <w:kern w:val="0"/>
          <w14:ligatures w14:val="none"/>
        </w:rPr>
        <w:t xml:space="preserve"> </w:t>
      </w:r>
      <w:r w:rsidR="00A01C34" w:rsidRPr="00631DE0">
        <w:rPr>
          <w:rFonts w:eastAsia="Calibri"/>
          <w:color w:val="000000" w:themeColor="text1"/>
          <w:kern w:val="0"/>
          <w14:ligatures w14:val="none"/>
        </w:rPr>
        <w:t xml:space="preserve">of environmental disclosure </w:t>
      </w:r>
      <w:r w:rsidR="00755F09" w:rsidRPr="00631DE0">
        <w:rPr>
          <w:rFonts w:eastAsia="Calibri"/>
          <w:color w:val="000000" w:themeColor="text1"/>
          <w:kern w:val="0"/>
          <w14:ligatures w14:val="none"/>
        </w:rPr>
        <w:t>to</w:t>
      </w:r>
      <w:r w:rsidR="00A01C34" w:rsidRPr="00631DE0">
        <w:rPr>
          <w:rFonts w:eastAsia="Calibri"/>
          <w:color w:val="000000" w:themeColor="text1"/>
          <w:kern w:val="0"/>
          <w14:ligatures w14:val="none"/>
        </w:rPr>
        <w:t xml:space="preserve"> serve as a role model</w:t>
      </w:r>
      <w:r w:rsidR="00E77B4B" w:rsidRPr="00631DE0">
        <w:rPr>
          <w:rFonts w:eastAsia="Calibri"/>
          <w:color w:val="000000" w:themeColor="text1"/>
          <w:kern w:val="0"/>
          <w14:ligatures w14:val="none"/>
        </w:rPr>
        <w:t xml:space="preserve"> to other </w:t>
      </w:r>
      <w:r w:rsidR="00C24EF1" w:rsidRPr="00631DE0">
        <w:rPr>
          <w:rFonts w:eastAsia="Calibri"/>
          <w:color w:val="000000" w:themeColor="text1"/>
          <w:kern w:val="0"/>
          <w14:ligatures w14:val="none"/>
        </w:rPr>
        <w:t>firms. Third</w:t>
      </w:r>
      <w:r w:rsidR="0041274C" w:rsidRPr="00631DE0">
        <w:rPr>
          <w:rFonts w:eastAsia="Calibri"/>
          <w:color w:val="000000" w:themeColor="text1"/>
          <w:kern w:val="0"/>
          <w14:ligatures w14:val="none"/>
        </w:rPr>
        <w:t>,</w:t>
      </w:r>
      <w:r w:rsidR="00E77B4B" w:rsidRPr="00631DE0">
        <w:rPr>
          <w:rFonts w:eastAsia="Calibri"/>
          <w:color w:val="000000" w:themeColor="text1"/>
          <w:kern w:val="0"/>
          <w14:ligatures w14:val="none"/>
        </w:rPr>
        <w:t xml:space="preserve"> because of ever-increasing demand of environmental accountability (Asogwa, 2023; Cordery </w:t>
      </w:r>
      <w:r w:rsidR="00E77B4B" w:rsidRPr="00631DE0">
        <w:rPr>
          <w:rFonts w:eastAsia="Calibri"/>
          <w:i/>
          <w:iCs/>
          <w:color w:val="000000" w:themeColor="text1"/>
          <w:kern w:val="0"/>
          <w14:ligatures w14:val="none"/>
        </w:rPr>
        <w:t>et</w:t>
      </w:r>
      <w:r w:rsidR="00E77B4B" w:rsidRPr="00631DE0">
        <w:rPr>
          <w:rFonts w:eastAsia="Calibri"/>
          <w:color w:val="000000" w:themeColor="text1"/>
          <w:kern w:val="0"/>
          <w14:ligatures w14:val="none"/>
        </w:rPr>
        <w:t xml:space="preserve"> </w:t>
      </w:r>
      <w:r w:rsidR="00E77B4B" w:rsidRPr="00631DE0">
        <w:rPr>
          <w:rFonts w:eastAsia="Calibri"/>
          <w:i/>
          <w:iCs/>
          <w:color w:val="000000" w:themeColor="text1"/>
          <w:kern w:val="0"/>
          <w14:ligatures w14:val="none"/>
        </w:rPr>
        <w:t>al</w:t>
      </w:r>
      <w:r w:rsidR="00E77B4B" w:rsidRPr="00631DE0">
        <w:rPr>
          <w:rFonts w:eastAsia="Calibri"/>
          <w:color w:val="000000" w:themeColor="text1"/>
          <w:kern w:val="0"/>
          <w14:ligatures w14:val="none"/>
        </w:rPr>
        <w:t>., 2019)</w:t>
      </w:r>
      <w:r w:rsidR="00715938" w:rsidRPr="00631DE0">
        <w:rPr>
          <w:rFonts w:eastAsia="Calibri"/>
          <w:color w:val="000000" w:themeColor="text1"/>
          <w:kern w:val="0"/>
          <w14:ligatures w14:val="none"/>
        </w:rPr>
        <w:t>,</w:t>
      </w:r>
      <w:r w:rsidR="00E77B4B" w:rsidRPr="00631DE0">
        <w:rPr>
          <w:rFonts w:eastAsia="Calibri"/>
          <w:color w:val="000000" w:themeColor="text1"/>
          <w:kern w:val="0"/>
          <w14:ligatures w14:val="none"/>
        </w:rPr>
        <w:t xml:space="preserve"> </w:t>
      </w:r>
      <w:r w:rsidR="00C24EF1" w:rsidRPr="00631DE0">
        <w:rPr>
          <w:rFonts w:eastAsia="Calibri"/>
          <w:color w:val="000000" w:themeColor="text1"/>
          <w:kern w:val="0"/>
          <w14:ligatures w14:val="none"/>
        </w:rPr>
        <w:t>w</w:t>
      </w:r>
      <w:r w:rsidR="00E77B4B" w:rsidRPr="00631DE0">
        <w:rPr>
          <w:rFonts w:eastAsia="Calibri"/>
          <w:color w:val="000000" w:themeColor="text1"/>
          <w:kern w:val="0"/>
          <w14:ligatures w14:val="none"/>
        </w:rPr>
        <w:t>e argue that NGOs are more likely to increas</w:t>
      </w:r>
      <w:r w:rsidR="0087756B" w:rsidRPr="00631DE0">
        <w:rPr>
          <w:rFonts w:eastAsia="Calibri"/>
          <w:color w:val="000000" w:themeColor="text1"/>
          <w:kern w:val="0"/>
          <w14:ligatures w14:val="none"/>
        </w:rPr>
        <w:t>e</w:t>
      </w:r>
      <w:r w:rsidR="00E77B4B" w:rsidRPr="00631DE0">
        <w:rPr>
          <w:rFonts w:eastAsia="Calibri"/>
          <w:color w:val="000000" w:themeColor="text1"/>
          <w:kern w:val="0"/>
          <w14:ligatures w14:val="none"/>
        </w:rPr>
        <w:t xml:space="preserve"> the quality and quantity of environmental disclosure over</w:t>
      </w:r>
      <w:r w:rsidR="00715938" w:rsidRPr="00631DE0">
        <w:rPr>
          <w:rFonts w:eastAsia="Calibri"/>
          <w:color w:val="000000" w:themeColor="text1"/>
          <w:kern w:val="0"/>
          <w14:ligatures w14:val="none"/>
        </w:rPr>
        <w:t xml:space="preserve"> the</w:t>
      </w:r>
      <w:r w:rsidR="00E77B4B" w:rsidRPr="00631DE0">
        <w:rPr>
          <w:rFonts w:eastAsia="Calibri"/>
          <w:color w:val="000000" w:themeColor="text1"/>
          <w:kern w:val="0"/>
          <w14:ligatures w14:val="none"/>
        </w:rPr>
        <w:t xml:space="preserve"> passage of the time</w:t>
      </w:r>
      <w:r w:rsidR="0087756B" w:rsidRPr="00631DE0">
        <w:rPr>
          <w:rFonts w:eastAsia="Calibri"/>
          <w:color w:val="000000" w:themeColor="text1"/>
          <w:kern w:val="0"/>
          <w14:ligatures w14:val="none"/>
        </w:rPr>
        <w:t xml:space="preserve"> to minimise environmental performance information asymmetry. </w:t>
      </w:r>
      <w:r w:rsidR="00A01C34" w:rsidRPr="00631DE0">
        <w:rPr>
          <w:rFonts w:eastAsia="Calibri"/>
          <w:color w:val="000000" w:themeColor="text1"/>
          <w:kern w:val="0"/>
          <w14:ligatures w14:val="none"/>
        </w:rPr>
        <w:t xml:space="preserve">Based on the preceding discussion, we propose </w:t>
      </w:r>
      <w:r w:rsidR="00770FBA" w:rsidRPr="00631DE0">
        <w:rPr>
          <w:rFonts w:eastAsia="Calibri"/>
          <w:color w:val="000000" w:themeColor="text1"/>
          <w:kern w:val="0"/>
          <w14:ligatures w14:val="none"/>
        </w:rPr>
        <w:t>below</w:t>
      </w:r>
      <w:r w:rsidR="004A6B6A" w:rsidRPr="00631DE0">
        <w:rPr>
          <w:rFonts w:eastAsia="Calibri"/>
          <w:color w:val="000000" w:themeColor="text1"/>
          <w:kern w:val="0"/>
          <w14:ligatures w14:val="none"/>
        </w:rPr>
        <w:t xml:space="preserve"> hypothesis.</w:t>
      </w:r>
    </w:p>
    <w:p w14:paraId="619803ED" w14:textId="638BD179" w:rsidR="009817BB" w:rsidRDefault="00446A7A" w:rsidP="007478FB">
      <w:pPr>
        <w:suppressAutoHyphens/>
        <w:autoSpaceDN w:val="0"/>
        <w:spacing w:after="240" w:line="360" w:lineRule="auto"/>
        <w:ind w:left="794" w:hanging="794"/>
        <w:textAlignment w:val="baseline"/>
        <w:rPr>
          <w:rFonts w:ascii="Times New Roman" w:eastAsia="Calibri" w:hAnsi="Times New Roman" w:cs="Times New Roman"/>
          <w:i/>
          <w:iCs/>
          <w:color w:val="000000" w:themeColor="text1"/>
          <w:sz w:val="24"/>
          <w:szCs w:val="24"/>
          <w:shd w:val="clear" w:color="auto" w:fill="FFFFFF"/>
        </w:rPr>
      </w:pPr>
      <w:r w:rsidRPr="00631DE0">
        <w:rPr>
          <w:rFonts w:ascii="Times New Roman" w:eastAsia="Calibri" w:hAnsi="Times New Roman" w:cs="Times New Roman"/>
          <w:color w:val="000000" w:themeColor="text1"/>
          <w:sz w:val="24"/>
          <w:szCs w:val="24"/>
          <w:shd w:val="clear" w:color="auto" w:fill="FFFFFF"/>
        </w:rPr>
        <w:t xml:space="preserve">     </w:t>
      </w:r>
      <w:r w:rsidRPr="00631DE0">
        <w:rPr>
          <w:rFonts w:ascii="Times New Roman" w:eastAsia="Calibri" w:hAnsi="Times New Roman" w:cs="Times New Roman"/>
          <w:i/>
          <w:iCs/>
          <w:color w:val="000000" w:themeColor="text1"/>
          <w:sz w:val="24"/>
          <w:szCs w:val="24"/>
          <w:shd w:val="clear" w:color="auto" w:fill="FFFFFF"/>
        </w:rPr>
        <w:t>H.</w:t>
      </w:r>
      <w:r w:rsidR="007478FB" w:rsidRPr="00631DE0">
        <w:rPr>
          <w:rFonts w:ascii="Times New Roman" w:eastAsia="Calibri" w:hAnsi="Times New Roman" w:cs="Times New Roman"/>
          <w:i/>
          <w:iCs/>
          <w:color w:val="000000" w:themeColor="text1"/>
          <w:sz w:val="24"/>
          <w:szCs w:val="24"/>
          <w:shd w:val="clear" w:color="auto" w:fill="FFFFFF"/>
        </w:rPr>
        <w:t>1</w:t>
      </w:r>
      <w:r w:rsidR="004A6B6A" w:rsidRPr="00631DE0">
        <w:rPr>
          <w:rFonts w:ascii="Times New Roman" w:eastAsia="Calibri" w:hAnsi="Times New Roman" w:cs="Times New Roman"/>
          <w:i/>
          <w:iCs/>
          <w:color w:val="000000" w:themeColor="text1"/>
          <w:sz w:val="24"/>
          <w:szCs w:val="24"/>
          <w:shd w:val="clear" w:color="auto" w:fill="FFFFFF"/>
        </w:rPr>
        <w:t>: There is</w:t>
      </w:r>
      <w:r w:rsidR="00F43E41" w:rsidRPr="00631DE0">
        <w:rPr>
          <w:rFonts w:ascii="Times New Roman" w:eastAsia="Calibri" w:hAnsi="Times New Roman" w:cs="Times New Roman"/>
          <w:i/>
          <w:iCs/>
          <w:color w:val="000000" w:themeColor="text1"/>
          <w:sz w:val="24"/>
          <w:szCs w:val="24"/>
          <w:shd w:val="clear" w:color="auto" w:fill="FFFFFF"/>
        </w:rPr>
        <w:t xml:space="preserve"> an</w:t>
      </w:r>
      <w:r w:rsidR="004A6B6A" w:rsidRPr="00631DE0">
        <w:rPr>
          <w:rFonts w:ascii="Times New Roman" w:eastAsia="Calibri" w:hAnsi="Times New Roman" w:cs="Times New Roman"/>
          <w:i/>
          <w:iCs/>
          <w:color w:val="000000" w:themeColor="text1"/>
          <w:sz w:val="24"/>
          <w:szCs w:val="24"/>
          <w:shd w:val="clear" w:color="auto" w:fill="FFFFFF"/>
        </w:rPr>
        <w:t xml:space="preserve"> increasing level of </w:t>
      </w:r>
      <w:r w:rsidR="005B6DB0" w:rsidRPr="00631DE0">
        <w:rPr>
          <w:rFonts w:ascii="Times New Roman" w:eastAsia="Calibri" w:hAnsi="Times New Roman" w:cs="Times New Roman"/>
          <w:i/>
          <w:iCs/>
          <w:color w:val="000000" w:themeColor="text1"/>
          <w:sz w:val="24"/>
          <w:szCs w:val="24"/>
          <w:shd w:val="clear" w:color="auto" w:fill="FFFFFF"/>
        </w:rPr>
        <w:t>total</w:t>
      </w:r>
      <w:r w:rsidR="004A6B6A" w:rsidRPr="00631DE0">
        <w:rPr>
          <w:rFonts w:ascii="Times New Roman" w:eastAsia="Calibri" w:hAnsi="Times New Roman" w:cs="Times New Roman"/>
          <w:i/>
          <w:iCs/>
          <w:color w:val="000000" w:themeColor="text1"/>
          <w:sz w:val="24"/>
          <w:szCs w:val="24"/>
          <w:shd w:val="clear" w:color="auto" w:fill="FFFFFF"/>
        </w:rPr>
        <w:t xml:space="preserve"> environmental disclosure of NGOs in 2023, relative to 2013</w:t>
      </w:r>
      <w:r w:rsidR="005B6DB0" w:rsidRPr="00631DE0">
        <w:rPr>
          <w:rFonts w:ascii="Times New Roman" w:eastAsia="Calibri" w:hAnsi="Times New Roman" w:cs="Times New Roman"/>
          <w:i/>
          <w:iCs/>
          <w:color w:val="000000" w:themeColor="text1"/>
          <w:sz w:val="24"/>
          <w:szCs w:val="24"/>
          <w:shd w:val="clear" w:color="auto" w:fill="FFFFFF"/>
        </w:rPr>
        <w:t>.</w:t>
      </w:r>
    </w:p>
    <w:p w14:paraId="4D3E8D9B" w14:textId="77777777" w:rsidR="00104B0B" w:rsidRDefault="00104B0B" w:rsidP="007478FB">
      <w:pPr>
        <w:suppressAutoHyphens/>
        <w:autoSpaceDN w:val="0"/>
        <w:spacing w:after="240" w:line="360" w:lineRule="auto"/>
        <w:ind w:left="794" w:hanging="794"/>
        <w:textAlignment w:val="baseline"/>
        <w:rPr>
          <w:rFonts w:ascii="Times New Roman" w:eastAsia="Calibri" w:hAnsi="Times New Roman" w:cs="Times New Roman"/>
          <w:i/>
          <w:iCs/>
          <w:color w:val="000000" w:themeColor="text1"/>
          <w:sz w:val="24"/>
          <w:szCs w:val="24"/>
          <w:shd w:val="clear" w:color="auto" w:fill="FFFFFF"/>
        </w:rPr>
      </w:pPr>
    </w:p>
    <w:p w14:paraId="5858C81D" w14:textId="77777777" w:rsidR="00104B0B" w:rsidRDefault="00104B0B" w:rsidP="00A268CC">
      <w:pPr>
        <w:suppressAutoHyphens/>
        <w:autoSpaceDN w:val="0"/>
        <w:spacing w:after="240" w:line="360" w:lineRule="auto"/>
        <w:ind w:firstLine="0"/>
        <w:textAlignment w:val="baseline"/>
        <w:rPr>
          <w:rFonts w:ascii="Times New Roman" w:eastAsia="Calibri" w:hAnsi="Times New Roman" w:cs="Times New Roman"/>
          <w:i/>
          <w:iCs/>
          <w:color w:val="000000" w:themeColor="text1"/>
          <w:sz w:val="24"/>
          <w:szCs w:val="24"/>
          <w:shd w:val="clear" w:color="auto" w:fill="FFFFFF"/>
        </w:rPr>
      </w:pPr>
    </w:p>
    <w:p w14:paraId="540229DD" w14:textId="379402CD" w:rsidR="009817BB" w:rsidRPr="00A268CC" w:rsidRDefault="000251D6" w:rsidP="00146467">
      <w:pPr>
        <w:suppressAutoHyphens/>
        <w:autoSpaceDN w:val="0"/>
        <w:spacing w:after="120" w:line="360" w:lineRule="auto"/>
        <w:ind w:left="510" w:hanging="510"/>
        <w:textAlignment w:val="baseline"/>
        <w:rPr>
          <w:rFonts w:ascii="Times New Roman" w:eastAsia="Calibri" w:hAnsi="Times New Roman" w:cs="Times New Roman"/>
          <w:b/>
          <w:bCs/>
          <w:color w:val="000000" w:themeColor="text1"/>
          <w:kern w:val="0"/>
          <w:sz w:val="24"/>
          <w:szCs w:val="24"/>
          <w14:ligatures w14:val="none"/>
        </w:rPr>
      </w:pPr>
      <w:r w:rsidRPr="00A268CC">
        <w:rPr>
          <w:rFonts w:ascii="Times New Roman" w:eastAsia="Calibri" w:hAnsi="Times New Roman" w:cs="Times New Roman"/>
          <w:b/>
          <w:bCs/>
          <w:color w:val="000000" w:themeColor="text1"/>
          <w:kern w:val="0"/>
          <w:sz w:val="24"/>
          <w:szCs w:val="24"/>
          <w14:ligatures w14:val="none"/>
        </w:rPr>
        <w:t>3</w:t>
      </w:r>
      <w:r w:rsidR="00D31D59" w:rsidRPr="00A268CC">
        <w:rPr>
          <w:rFonts w:ascii="Times New Roman" w:eastAsia="Calibri" w:hAnsi="Times New Roman" w:cs="Times New Roman"/>
          <w:b/>
          <w:bCs/>
          <w:color w:val="000000" w:themeColor="text1"/>
          <w:kern w:val="0"/>
          <w:sz w:val="24"/>
          <w:szCs w:val="24"/>
          <w14:ligatures w14:val="none"/>
        </w:rPr>
        <w:t>.2.2    Increased</w:t>
      </w:r>
      <w:r w:rsidR="004672D7" w:rsidRPr="00A268CC">
        <w:rPr>
          <w:rFonts w:ascii="Times New Roman" w:eastAsia="Calibri" w:hAnsi="Times New Roman" w:cs="Times New Roman"/>
          <w:b/>
          <w:bCs/>
          <w:color w:val="000000" w:themeColor="text1"/>
          <w:kern w:val="0"/>
          <w:sz w:val="24"/>
          <w:szCs w:val="24"/>
          <w14:ligatures w14:val="none"/>
        </w:rPr>
        <w:t xml:space="preserve"> Quality of Environmental</w:t>
      </w:r>
      <w:r w:rsidR="00D31D59" w:rsidRPr="00A268CC">
        <w:rPr>
          <w:rFonts w:ascii="Times New Roman" w:eastAsia="Calibri" w:hAnsi="Times New Roman" w:cs="Times New Roman"/>
          <w:b/>
          <w:bCs/>
          <w:color w:val="000000" w:themeColor="text1"/>
          <w:kern w:val="0"/>
          <w:sz w:val="24"/>
          <w:szCs w:val="24"/>
          <w14:ligatures w14:val="none"/>
        </w:rPr>
        <w:t xml:space="preserve"> </w:t>
      </w:r>
      <w:r w:rsidR="004672D7" w:rsidRPr="00A268CC">
        <w:rPr>
          <w:rFonts w:ascii="Times New Roman" w:eastAsia="Calibri" w:hAnsi="Times New Roman" w:cs="Times New Roman"/>
          <w:b/>
          <w:bCs/>
          <w:color w:val="000000" w:themeColor="text1"/>
          <w:kern w:val="0"/>
          <w:sz w:val="24"/>
          <w:szCs w:val="24"/>
          <w14:ligatures w14:val="none"/>
        </w:rPr>
        <w:t>Numerical Disclosure</w:t>
      </w:r>
      <w:r w:rsidR="0025189C" w:rsidRPr="00A268CC">
        <w:rPr>
          <w:rFonts w:ascii="Times New Roman" w:eastAsia="Calibri" w:hAnsi="Times New Roman" w:cs="Times New Roman"/>
          <w:b/>
          <w:bCs/>
          <w:color w:val="000000" w:themeColor="text1"/>
          <w:kern w:val="0"/>
          <w:sz w:val="24"/>
          <w:szCs w:val="24"/>
          <w14:ligatures w14:val="none"/>
        </w:rPr>
        <w:t xml:space="preserve"> </w:t>
      </w:r>
      <w:r w:rsidR="004672D7" w:rsidRPr="00A268CC">
        <w:rPr>
          <w:rFonts w:ascii="Times New Roman" w:eastAsia="Calibri" w:hAnsi="Times New Roman" w:cs="Times New Roman"/>
          <w:b/>
          <w:bCs/>
          <w:color w:val="000000" w:themeColor="text1"/>
          <w:kern w:val="0"/>
          <w:sz w:val="24"/>
          <w:szCs w:val="24"/>
          <w14:ligatures w14:val="none"/>
        </w:rPr>
        <w:t>over</w:t>
      </w:r>
      <w:r w:rsidR="0025189C" w:rsidRPr="00A268CC">
        <w:rPr>
          <w:rFonts w:ascii="Times New Roman" w:eastAsia="Calibri" w:hAnsi="Times New Roman" w:cs="Times New Roman"/>
          <w:b/>
          <w:bCs/>
          <w:color w:val="000000" w:themeColor="text1"/>
          <w:kern w:val="0"/>
          <w:sz w:val="24"/>
          <w:szCs w:val="24"/>
          <w14:ligatures w14:val="none"/>
        </w:rPr>
        <w:t xml:space="preserve"> Narrative </w:t>
      </w:r>
    </w:p>
    <w:p w14:paraId="4EFA4889" w14:textId="05EFED38" w:rsidR="0080072E" w:rsidRPr="00631DE0" w:rsidRDefault="00A3087B" w:rsidP="00BC6040">
      <w:pPr>
        <w:pStyle w:val="NormalWeb"/>
        <w:spacing w:after="120" w:line="360" w:lineRule="auto"/>
        <w:rPr>
          <w:rFonts w:eastAsia="Calibri"/>
          <w:color w:val="000000" w:themeColor="text1"/>
          <w:kern w:val="0"/>
          <w14:ligatures w14:val="none"/>
        </w:rPr>
      </w:pPr>
      <w:r w:rsidRPr="00631DE0">
        <w:rPr>
          <w:rFonts w:eastAsia="Calibri"/>
          <w:color w:val="000000" w:themeColor="text1"/>
          <w:kern w:val="0"/>
          <w14:ligatures w14:val="none"/>
        </w:rPr>
        <w:lastRenderedPageBreak/>
        <w:t>According to the literature on environmental reporting, managers use environmental disclosure as part of the company</w:t>
      </w:r>
      <w:r w:rsidR="008C15C7">
        <w:rPr>
          <w:rFonts w:eastAsia="Calibri"/>
          <w:color w:val="000000" w:themeColor="text1"/>
          <w:kern w:val="0"/>
          <w14:ligatures w14:val="none"/>
        </w:rPr>
        <w:t>’s</w:t>
      </w:r>
      <w:r w:rsidRPr="00631DE0">
        <w:rPr>
          <w:rFonts w:eastAsia="Calibri"/>
          <w:color w:val="000000" w:themeColor="text1"/>
          <w:kern w:val="0"/>
          <w14:ligatures w14:val="none"/>
        </w:rPr>
        <w:t xml:space="preserve"> publicity strategy in pursuit of legitimacy (Deegan, 2014; Talbot &amp; Boiral, 2016). As indicated, companies</w:t>
      </w:r>
      <w:r w:rsidR="00B65A48" w:rsidRPr="00631DE0">
        <w:rPr>
          <w:rFonts w:eastAsia="Calibri"/>
          <w:color w:val="000000" w:themeColor="text1"/>
          <w:kern w:val="0"/>
          <w14:ligatures w14:val="none"/>
        </w:rPr>
        <w:t xml:space="preserve"> disclose their environmental information in the form of qualitative/narrative or quantitative/numerical as strategies to acquire stakeholders’ recognition of their accountability efforts, thus, improving legitimacy (Helfaya et al., 2019; Moussa, 2020). </w:t>
      </w:r>
      <w:r w:rsidR="00D92AAB" w:rsidRPr="00631DE0">
        <w:rPr>
          <w:rFonts w:eastAsia="Calibri"/>
          <w:color w:val="000000" w:themeColor="text1"/>
          <w:kern w:val="0"/>
          <w14:ligatures w14:val="none"/>
        </w:rPr>
        <w:t>Yet</w:t>
      </w:r>
      <w:r w:rsidRPr="00631DE0">
        <w:rPr>
          <w:rFonts w:eastAsia="Calibri"/>
          <w:color w:val="000000" w:themeColor="text1"/>
          <w:kern w:val="0"/>
          <w14:ligatures w14:val="none"/>
        </w:rPr>
        <w:t>,</w:t>
      </w:r>
      <w:r w:rsidR="00EF2615" w:rsidRPr="00631DE0">
        <w:rPr>
          <w:rFonts w:eastAsia="Calibri"/>
          <w:color w:val="000000" w:themeColor="text1"/>
          <w:kern w:val="0"/>
          <w14:ligatures w14:val="none"/>
        </w:rPr>
        <w:t xml:space="preserve"> </w:t>
      </w:r>
      <w:r w:rsidR="00694E24" w:rsidRPr="00631DE0">
        <w:rPr>
          <w:rFonts w:eastAsia="Calibri"/>
          <w:color w:val="000000" w:themeColor="text1"/>
          <w:kern w:val="0"/>
          <w14:ligatures w14:val="none"/>
        </w:rPr>
        <w:t xml:space="preserve">recently, research shows growing adoption of quantitative environmental disclosure at the expense of qualitative (Agyemang et al., 2019; Cordery et al., 2019). Scholars argue </w:t>
      </w:r>
      <w:r w:rsidR="00EF2615" w:rsidRPr="00631DE0">
        <w:rPr>
          <w:rFonts w:eastAsia="Calibri"/>
          <w:color w:val="000000" w:themeColor="text1"/>
          <w:kern w:val="0"/>
          <w14:ligatures w14:val="none"/>
        </w:rPr>
        <w:t>that numerical (NUM) data disclosure</w:t>
      </w:r>
      <w:r w:rsidR="00F34CC6" w:rsidRPr="00631DE0">
        <w:rPr>
          <w:rFonts w:eastAsia="Calibri"/>
          <w:color w:val="000000" w:themeColor="text1"/>
          <w:kern w:val="0"/>
          <w14:ligatures w14:val="none"/>
        </w:rPr>
        <w:t>s</w:t>
      </w:r>
      <w:r w:rsidR="00EF2615" w:rsidRPr="00631DE0">
        <w:rPr>
          <w:rFonts w:eastAsia="Calibri"/>
          <w:color w:val="000000" w:themeColor="text1"/>
          <w:kern w:val="0"/>
          <w14:ligatures w14:val="none"/>
        </w:rPr>
        <w:t xml:space="preserve"> are </w:t>
      </w:r>
      <w:r w:rsidR="00694E24" w:rsidRPr="00631DE0">
        <w:rPr>
          <w:rFonts w:eastAsia="Calibri"/>
          <w:color w:val="000000" w:themeColor="text1"/>
          <w:kern w:val="0"/>
          <w14:ligatures w14:val="none"/>
        </w:rPr>
        <w:t>of superior</w:t>
      </w:r>
      <w:r w:rsidR="00EF2615" w:rsidRPr="00631DE0">
        <w:rPr>
          <w:rFonts w:eastAsia="Calibri"/>
          <w:color w:val="000000" w:themeColor="text1"/>
          <w:kern w:val="0"/>
          <w14:ligatures w14:val="none"/>
        </w:rPr>
        <w:t xml:space="preserve"> </w:t>
      </w:r>
      <w:r w:rsidR="00F34CC6" w:rsidRPr="00631DE0">
        <w:rPr>
          <w:rFonts w:eastAsia="Calibri"/>
          <w:color w:val="000000" w:themeColor="text1"/>
          <w:kern w:val="0"/>
          <w14:ligatures w14:val="none"/>
        </w:rPr>
        <w:t xml:space="preserve">quality in comparison </w:t>
      </w:r>
      <w:r w:rsidR="00EF2615" w:rsidRPr="00631DE0">
        <w:rPr>
          <w:rFonts w:eastAsia="Calibri"/>
          <w:color w:val="000000" w:themeColor="text1"/>
          <w:kern w:val="0"/>
          <w14:ligatures w14:val="none"/>
        </w:rPr>
        <w:t xml:space="preserve">to the narrative (NAR) disclosures (Agymang </w:t>
      </w:r>
      <w:r w:rsidR="00EF2615" w:rsidRPr="00631DE0">
        <w:rPr>
          <w:rFonts w:eastAsia="Calibri"/>
          <w:i/>
          <w:iCs/>
          <w:color w:val="000000" w:themeColor="text1"/>
          <w:kern w:val="0"/>
          <w14:ligatures w14:val="none"/>
        </w:rPr>
        <w:t>et al</w:t>
      </w:r>
      <w:r w:rsidR="00EF2615" w:rsidRPr="00631DE0">
        <w:rPr>
          <w:rFonts w:eastAsia="Calibri"/>
          <w:color w:val="000000" w:themeColor="text1"/>
          <w:kern w:val="0"/>
          <w14:ligatures w14:val="none"/>
        </w:rPr>
        <w:t>., 2019; Lim and Mali, 2022; Melloni</w:t>
      </w:r>
      <w:r w:rsidR="00295DFB" w:rsidRPr="00631DE0">
        <w:rPr>
          <w:rFonts w:eastAsia="Calibri"/>
          <w:color w:val="000000" w:themeColor="text1"/>
          <w:kern w:val="0"/>
          <w14:ligatures w14:val="none"/>
        </w:rPr>
        <w:t xml:space="preserve"> </w:t>
      </w:r>
      <w:r w:rsidR="00295DFB" w:rsidRPr="00631DE0">
        <w:rPr>
          <w:rFonts w:eastAsia="Calibri"/>
          <w:i/>
          <w:iCs/>
          <w:color w:val="000000" w:themeColor="text1"/>
          <w:kern w:val="0"/>
          <w14:ligatures w14:val="none"/>
        </w:rPr>
        <w:t>et al</w:t>
      </w:r>
      <w:r w:rsidR="00295DFB" w:rsidRPr="00631DE0">
        <w:rPr>
          <w:rFonts w:eastAsia="Calibri"/>
          <w:color w:val="000000" w:themeColor="text1"/>
          <w:kern w:val="0"/>
          <w14:ligatures w14:val="none"/>
        </w:rPr>
        <w:t>.,</w:t>
      </w:r>
      <w:r w:rsidR="00EF2615" w:rsidRPr="00631DE0">
        <w:rPr>
          <w:rFonts w:eastAsia="Calibri"/>
          <w:color w:val="000000" w:themeColor="text1"/>
          <w:kern w:val="0"/>
          <w14:ligatures w14:val="none"/>
        </w:rPr>
        <w:t xml:space="preserve"> 201</w:t>
      </w:r>
      <w:r w:rsidR="00295DFB" w:rsidRPr="00631DE0">
        <w:rPr>
          <w:rFonts w:eastAsia="Calibri"/>
          <w:color w:val="000000" w:themeColor="text1"/>
          <w:kern w:val="0"/>
          <w14:ligatures w14:val="none"/>
        </w:rPr>
        <w:t>7</w:t>
      </w:r>
      <w:r w:rsidR="00EF2615" w:rsidRPr="00631DE0">
        <w:rPr>
          <w:rFonts w:eastAsia="Calibri"/>
          <w:color w:val="000000" w:themeColor="text1"/>
          <w:kern w:val="0"/>
          <w14:ligatures w14:val="none"/>
        </w:rPr>
        <w:t xml:space="preserve">). </w:t>
      </w:r>
      <w:r w:rsidR="00F34CC6" w:rsidRPr="00631DE0">
        <w:rPr>
          <w:rFonts w:eastAsia="Calibri"/>
          <w:color w:val="000000" w:themeColor="text1"/>
          <w:kern w:val="0"/>
          <w14:ligatures w14:val="none"/>
        </w:rPr>
        <w:t>Specifically,</w:t>
      </w:r>
      <w:r w:rsidR="00D92AAB" w:rsidRPr="00631DE0">
        <w:rPr>
          <w:rFonts w:eastAsia="Calibri"/>
          <w:color w:val="000000" w:themeColor="text1"/>
          <w:kern w:val="0"/>
          <w14:ligatures w14:val="none"/>
        </w:rPr>
        <w:t xml:space="preserve"> studies pos</w:t>
      </w:r>
      <w:r w:rsidR="00694E24" w:rsidRPr="00631DE0">
        <w:rPr>
          <w:rFonts w:eastAsia="Calibri"/>
          <w:color w:val="000000" w:themeColor="text1"/>
          <w:kern w:val="0"/>
          <w14:ligatures w14:val="none"/>
        </w:rPr>
        <w:t>tulate</w:t>
      </w:r>
      <w:r w:rsidR="00D92AAB" w:rsidRPr="00631DE0">
        <w:rPr>
          <w:rFonts w:eastAsia="Calibri"/>
          <w:color w:val="000000" w:themeColor="text1"/>
          <w:kern w:val="0"/>
          <w14:ligatures w14:val="none"/>
        </w:rPr>
        <w:t xml:space="preserve"> that</w:t>
      </w:r>
      <w:r w:rsidR="00F34CC6" w:rsidRPr="00631DE0">
        <w:rPr>
          <w:rFonts w:eastAsia="Calibri"/>
          <w:color w:val="000000" w:themeColor="text1"/>
          <w:kern w:val="0"/>
          <w14:ligatures w14:val="none"/>
        </w:rPr>
        <w:t xml:space="preserve"> NUM environmental disclosure offers easier comparison of information </w:t>
      </w:r>
      <w:r w:rsidR="0094378E" w:rsidRPr="00631DE0">
        <w:rPr>
          <w:color w:val="000000" w:themeColor="text1"/>
        </w:rPr>
        <w:t>over</w:t>
      </w:r>
      <w:r w:rsidR="00994A61" w:rsidRPr="00631DE0">
        <w:rPr>
          <w:color w:val="000000" w:themeColor="text1"/>
        </w:rPr>
        <w:t xml:space="preserve"> passage of</w:t>
      </w:r>
      <w:r w:rsidR="00F34CC6" w:rsidRPr="00631DE0">
        <w:rPr>
          <w:color w:val="000000" w:themeColor="text1"/>
        </w:rPr>
        <w:t xml:space="preserve"> the</w:t>
      </w:r>
      <w:r w:rsidR="00994A61" w:rsidRPr="00631DE0">
        <w:rPr>
          <w:color w:val="000000" w:themeColor="text1"/>
        </w:rPr>
        <w:t xml:space="preserve"> time,</w:t>
      </w:r>
      <w:r w:rsidR="0094378E" w:rsidRPr="00631DE0">
        <w:rPr>
          <w:color w:val="000000" w:themeColor="text1"/>
        </w:rPr>
        <w:t xml:space="preserve"> and across the firms (Bourveau </w:t>
      </w:r>
      <w:r w:rsidR="0094378E" w:rsidRPr="00631DE0">
        <w:rPr>
          <w:i/>
          <w:iCs/>
          <w:color w:val="000000" w:themeColor="text1"/>
        </w:rPr>
        <w:t>et al</w:t>
      </w:r>
      <w:r w:rsidR="0094378E" w:rsidRPr="00631DE0">
        <w:rPr>
          <w:color w:val="000000" w:themeColor="text1"/>
        </w:rPr>
        <w:t xml:space="preserve">., 2022; Espeland &amp; Saunder, 2016). </w:t>
      </w:r>
      <w:r w:rsidR="00694E24" w:rsidRPr="00631DE0">
        <w:rPr>
          <w:color w:val="000000" w:themeColor="text1"/>
        </w:rPr>
        <w:t>Additionally</w:t>
      </w:r>
      <w:r w:rsidR="0094378E" w:rsidRPr="00631DE0">
        <w:rPr>
          <w:color w:val="000000" w:themeColor="text1"/>
        </w:rPr>
        <w:t xml:space="preserve">, NUM environmental disclosures are verifiable ex-post (Cordery </w:t>
      </w:r>
      <w:r w:rsidR="0094378E" w:rsidRPr="00631DE0">
        <w:rPr>
          <w:i/>
          <w:iCs/>
          <w:color w:val="000000" w:themeColor="text1"/>
        </w:rPr>
        <w:t>et al</w:t>
      </w:r>
      <w:r w:rsidR="0094378E" w:rsidRPr="00631DE0">
        <w:rPr>
          <w:color w:val="000000" w:themeColor="text1"/>
        </w:rPr>
        <w:t xml:space="preserve">., 2019; Yuesti </w:t>
      </w:r>
      <w:r w:rsidR="0094378E" w:rsidRPr="00631DE0">
        <w:rPr>
          <w:i/>
          <w:iCs/>
          <w:color w:val="000000" w:themeColor="text1"/>
        </w:rPr>
        <w:t>et al</w:t>
      </w:r>
      <w:r w:rsidR="0094378E" w:rsidRPr="00631DE0">
        <w:rPr>
          <w:color w:val="000000" w:themeColor="text1"/>
        </w:rPr>
        <w:t>., 2016)</w:t>
      </w:r>
      <w:r w:rsidR="00251030" w:rsidRPr="00631DE0">
        <w:rPr>
          <w:color w:val="000000" w:themeColor="text1"/>
        </w:rPr>
        <w:t>.</w:t>
      </w:r>
      <w:r w:rsidR="0094378E" w:rsidRPr="00631DE0">
        <w:rPr>
          <w:color w:val="000000" w:themeColor="text1"/>
        </w:rPr>
        <w:t xml:space="preserve"> </w:t>
      </w:r>
      <w:r w:rsidR="00694E24" w:rsidRPr="00631DE0">
        <w:rPr>
          <w:color w:val="000000" w:themeColor="text1"/>
        </w:rPr>
        <w:t>Moreover, studies emphasise that qualitative environmental disclosure is often manipulated by the management impression (Jones &amp; Slack, 2013; Maas, 2018).</w:t>
      </w:r>
      <w:r w:rsidR="00895513" w:rsidRPr="00631DE0">
        <w:rPr>
          <w:color w:val="000000" w:themeColor="text1"/>
        </w:rPr>
        <w:t xml:space="preserve"> Conversely, some studies suggest that narrative disclosure </w:t>
      </w:r>
      <w:r w:rsidR="0080072E" w:rsidRPr="00631DE0">
        <w:rPr>
          <w:color w:val="000000" w:themeColor="text1"/>
        </w:rPr>
        <w:t>provides constructive soft information that may enhance firm environmental accountability image in a wider society (Cho et al., 2014).</w:t>
      </w:r>
      <w:r w:rsidR="0080072E" w:rsidRPr="00631DE0">
        <w:rPr>
          <w:rFonts w:eastAsia="Calibri"/>
          <w:color w:val="000000" w:themeColor="text1"/>
          <w:kern w:val="0"/>
          <w14:ligatures w14:val="none"/>
        </w:rPr>
        <w:t xml:space="preserve"> Against this backdrop, coupled with sparsely studies, literature document limited studies on numerical and narrative environmental disclosure </w:t>
      </w:r>
      <w:r w:rsidR="00285806" w:rsidRPr="00631DE0">
        <w:rPr>
          <w:rFonts w:eastAsia="Calibri"/>
          <w:color w:val="000000" w:themeColor="text1"/>
          <w:kern w:val="0"/>
          <w14:ligatures w14:val="none"/>
        </w:rPr>
        <w:t xml:space="preserve">(Tjarvinen </w:t>
      </w:r>
      <w:r w:rsidR="00285806" w:rsidRPr="00631DE0">
        <w:rPr>
          <w:rFonts w:eastAsia="Calibri"/>
          <w:i/>
          <w:iCs/>
          <w:color w:val="000000" w:themeColor="text1"/>
          <w:kern w:val="0"/>
          <w14:ligatures w14:val="none"/>
        </w:rPr>
        <w:t>et al</w:t>
      </w:r>
      <w:r w:rsidR="00285806" w:rsidRPr="00631DE0">
        <w:rPr>
          <w:rFonts w:eastAsia="Calibri"/>
          <w:color w:val="000000" w:themeColor="text1"/>
          <w:kern w:val="0"/>
          <w14:ligatures w14:val="none"/>
        </w:rPr>
        <w:t xml:space="preserve">., 2022; </w:t>
      </w:r>
      <w:r w:rsidR="009D18EC" w:rsidRPr="00631DE0">
        <w:rPr>
          <w:rFonts w:eastAsia="Calibri"/>
          <w:color w:val="000000" w:themeColor="text1"/>
          <w:kern w:val="0"/>
          <w14:ligatures w14:val="none"/>
        </w:rPr>
        <w:t xml:space="preserve">Espeland &amp; </w:t>
      </w:r>
      <w:r w:rsidR="008169D1" w:rsidRPr="00631DE0">
        <w:rPr>
          <w:rFonts w:eastAsia="Calibri"/>
          <w:color w:val="000000" w:themeColor="text1"/>
          <w:kern w:val="0"/>
          <w14:ligatures w14:val="none"/>
        </w:rPr>
        <w:t>Sauder,</w:t>
      </w:r>
      <w:r w:rsidR="009D18EC" w:rsidRPr="00631DE0">
        <w:rPr>
          <w:rFonts w:eastAsia="Calibri"/>
          <w:color w:val="000000" w:themeColor="text1"/>
          <w:kern w:val="0"/>
          <w14:ligatures w14:val="none"/>
        </w:rPr>
        <w:t xml:space="preserve"> 2016).</w:t>
      </w:r>
      <w:r w:rsidR="005C2FBC" w:rsidRPr="00631DE0">
        <w:rPr>
          <w:rFonts w:eastAsia="Calibri"/>
          <w:color w:val="000000" w:themeColor="text1"/>
          <w:kern w:val="0"/>
          <w14:ligatures w14:val="none"/>
        </w:rPr>
        <w:t xml:space="preserve"> </w:t>
      </w:r>
      <w:r w:rsidR="0080072E" w:rsidRPr="00631DE0">
        <w:rPr>
          <w:rFonts w:eastAsia="Calibri"/>
          <w:color w:val="000000" w:themeColor="text1"/>
          <w:kern w:val="0"/>
          <w14:ligatures w14:val="none"/>
        </w:rPr>
        <w:t xml:space="preserve">For example, </w:t>
      </w:r>
      <w:r w:rsidR="007A0D1C" w:rsidRPr="00631DE0">
        <w:rPr>
          <w:rFonts w:eastAsia="Calibri"/>
          <w:color w:val="000000" w:themeColor="text1"/>
          <w:kern w:val="0"/>
          <w14:ligatures w14:val="none"/>
        </w:rPr>
        <w:t>Neu et al. (1998) using Canadians firms, report that managers prefer using narrative because of ease on employing impression management. Similarly, Cho et al (2014) report that managers prefer narrative</w:t>
      </w:r>
      <w:r w:rsidR="00B42E07" w:rsidRPr="00631DE0">
        <w:rPr>
          <w:rFonts w:eastAsia="Calibri"/>
          <w:color w:val="000000" w:themeColor="text1"/>
          <w:kern w:val="0"/>
          <w14:ligatures w14:val="none"/>
        </w:rPr>
        <w:t xml:space="preserve"> disclosure</w:t>
      </w:r>
      <w:r w:rsidR="007A0D1C" w:rsidRPr="00631DE0">
        <w:rPr>
          <w:rFonts w:eastAsia="Calibri"/>
          <w:color w:val="000000" w:themeColor="text1"/>
          <w:kern w:val="0"/>
          <w14:ligatures w14:val="none"/>
        </w:rPr>
        <w:t xml:space="preserve"> </w:t>
      </w:r>
      <w:r w:rsidR="00B42E07" w:rsidRPr="00631DE0">
        <w:rPr>
          <w:rFonts w:eastAsia="Calibri"/>
          <w:color w:val="000000" w:themeColor="text1"/>
          <w:kern w:val="0"/>
          <w14:ligatures w14:val="none"/>
        </w:rPr>
        <w:t>relative</w:t>
      </w:r>
      <w:r w:rsidR="007A0D1C" w:rsidRPr="00631DE0">
        <w:rPr>
          <w:rFonts w:eastAsia="Calibri"/>
          <w:color w:val="000000" w:themeColor="text1"/>
          <w:kern w:val="0"/>
          <w14:ligatures w14:val="none"/>
        </w:rPr>
        <w:t xml:space="preserve"> to </w:t>
      </w:r>
      <w:r w:rsidR="00F86011" w:rsidRPr="00631DE0">
        <w:rPr>
          <w:rFonts w:eastAsia="Calibri"/>
          <w:color w:val="000000" w:themeColor="text1"/>
          <w:kern w:val="0"/>
          <w14:ligatures w14:val="none"/>
        </w:rPr>
        <w:t>numeric</w:t>
      </w:r>
      <w:r w:rsidR="00FB3471">
        <w:rPr>
          <w:rFonts w:eastAsia="Calibri"/>
          <w:color w:val="000000" w:themeColor="text1"/>
          <w:kern w:val="0"/>
          <w14:ligatures w14:val="none"/>
        </w:rPr>
        <w:t>,</w:t>
      </w:r>
      <w:r w:rsidR="00F86011" w:rsidRPr="00631DE0">
        <w:rPr>
          <w:rFonts w:eastAsia="Calibri"/>
          <w:color w:val="000000" w:themeColor="text1"/>
          <w:kern w:val="0"/>
          <w14:ligatures w14:val="none"/>
        </w:rPr>
        <w:t xml:space="preserve"> because of its adaptability to management tone. On the other hand</w:t>
      </w:r>
      <w:r w:rsidR="00B42E07" w:rsidRPr="00631DE0">
        <w:rPr>
          <w:rFonts w:eastAsia="Calibri"/>
          <w:color w:val="000000" w:themeColor="text1"/>
          <w:kern w:val="0"/>
          <w14:ligatures w14:val="none"/>
        </w:rPr>
        <w:t xml:space="preserve">, Vesty </w:t>
      </w:r>
      <w:r w:rsidR="00D801A4" w:rsidRPr="00631DE0">
        <w:rPr>
          <w:rFonts w:eastAsia="Calibri"/>
          <w:color w:val="000000" w:themeColor="text1"/>
          <w:kern w:val="0"/>
          <w14:ligatures w14:val="none"/>
        </w:rPr>
        <w:t>et al. (</w:t>
      </w:r>
      <w:r w:rsidR="00B42E07" w:rsidRPr="00631DE0">
        <w:rPr>
          <w:rFonts w:eastAsia="Calibri"/>
          <w:color w:val="000000" w:themeColor="text1"/>
          <w:kern w:val="0"/>
          <w14:ligatures w14:val="none"/>
        </w:rPr>
        <w:t>2015)</w:t>
      </w:r>
      <w:r w:rsidR="00F86011" w:rsidRPr="00631DE0">
        <w:rPr>
          <w:rFonts w:eastAsia="Calibri"/>
          <w:color w:val="000000" w:themeColor="text1"/>
          <w:kern w:val="0"/>
          <w14:ligatures w14:val="none"/>
        </w:rPr>
        <w:t xml:space="preserve"> find using Australian Banks </w:t>
      </w:r>
      <w:r w:rsidR="00FB3471">
        <w:rPr>
          <w:rFonts w:eastAsia="Calibri"/>
          <w:color w:val="000000" w:themeColor="text1"/>
          <w:kern w:val="0"/>
          <w14:ligatures w14:val="none"/>
        </w:rPr>
        <w:t xml:space="preserve">as a sample, </w:t>
      </w:r>
      <w:r w:rsidR="00F86011" w:rsidRPr="00631DE0">
        <w:rPr>
          <w:rFonts w:eastAsia="Calibri"/>
          <w:color w:val="000000" w:themeColor="text1"/>
          <w:kern w:val="0"/>
          <w14:ligatures w14:val="none"/>
        </w:rPr>
        <w:t>that numerical carbon emission reporting improves Banks credibility on environmental performance accountability.</w:t>
      </w:r>
      <w:r w:rsidR="00BC6040" w:rsidRPr="00631DE0">
        <w:rPr>
          <w:rFonts w:eastAsia="Calibri"/>
          <w:color w:val="000000" w:themeColor="text1"/>
          <w:kern w:val="0"/>
          <w14:ligatures w14:val="none"/>
        </w:rPr>
        <w:t xml:space="preserve"> </w:t>
      </w:r>
      <w:r w:rsidR="00A47B94" w:rsidRPr="00631DE0">
        <w:rPr>
          <w:rFonts w:eastAsia="Calibri"/>
          <w:color w:val="000000" w:themeColor="text1"/>
          <w:kern w:val="0"/>
          <w14:ligatures w14:val="none"/>
        </w:rPr>
        <w:t xml:space="preserve">Similar </w:t>
      </w:r>
      <w:r w:rsidR="00BC6040" w:rsidRPr="00631DE0">
        <w:rPr>
          <w:rFonts w:eastAsia="Calibri"/>
          <w:color w:val="000000" w:themeColor="text1"/>
          <w:kern w:val="0"/>
          <w14:ligatures w14:val="none"/>
        </w:rPr>
        <w:t>finding</w:t>
      </w:r>
      <w:r w:rsidR="00A94C79">
        <w:rPr>
          <w:rFonts w:eastAsia="Calibri"/>
          <w:color w:val="000000" w:themeColor="text1"/>
          <w:kern w:val="0"/>
          <w14:ligatures w14:val="none"/>
        </w:rPr>
        <w:t>s</w:t>
      </w:r>
      <w:r w:rsidR="00BC6040" w:rsidRPr="00631DE0">
        <w:rPr>
          <w:rFonts w:eastAsia="Calibri"/>
          <w:color w:val="000000" w:themeColor="text1"/>
          <w:kern w:val="0"/>
          <w14:ligatures w14:val="none"/>
        </w:rPr>
        <w:t xml:space="preserve"> </w:t>
      </w:r>
      <w:r w:rsidR="00C41561" w:rsidRPr="00631DE0">
        <w:rPr>
          <w:rFonts w:eastAsia="Calibri"/>
          <w:color w:val="000000" w:themeColor="text1"/>
          <w:kern w:val="0"/>
          <w14:ligatures w14:val="none"/>
        </w:rPr>
        <w:t>ha</w:t>
      </w:r>
      <w:r w:rsidR="00A94C79">
        <w:rPr>
          <w:rFonts w:eastAsia="Calibri"/>
          <w:color w:val="000000" w:themeColor="text1"/>
          <w:kern w:val="0"/>
          <w14:ligatures w14:val="none"/>
        </w:rPr>
        <w:t>ve</w:t>
      </w:r>
      <w:r w:rsidR="00A47B94" w:rsidRPr="00631DE0">
        <w:rPr>
          <w:rFonts w:eastAsia="Calibri"/>
          <w:color w:val="000000" w:themeColor="text1"/>
          <w:kern w:val="0"/>
          <w14:ligatures w14:val="none"/>
        </w:rPr>
        <w:t xml:space="preserve"> been</w:t>
      </w:r>
      <w:r w:rsidR="00BC6040" w:rsidRPr="00631DE0">
        <w:rPr>
          <w:rFonts w:eastAsia="Calibri"/>
          <w:color w:val="000000" w:themeColor="text1"/>
          <w:kern w:val="0"/>
          <w14:ligatures w14:val="none"/>
        </w:rPr>
        <w:t xml:space="preserve"> confirmed by </w:t>
      </w:r>
      <w:r w:rsidR="00D801A4" w:rsidRPr="00631DE0">
        <w:rPr>
          <w:rFonts w:eastAsia="Calibri"/>
          <w:color w:val="000000" w:themeColor="text1"/>
          <w:kern w:val="0"/>
          <w14:ligatures w14:val="none"/>
        </w:rPr>
        <w:t>Laine et al. (2017)</w:t>
      </w:r>
      <w:r w:rsidR="00BC6040" w:rsidRPr="00631DE0">
        <w:rPr>
          <w:rFonts w:eastAsia="Calibri"/>
          <w:color w:val="000000" w:themeColor="text1"/>
          <w:kern w:val="0"/>
          <w14:ligatures w14:val="none"/>
        </w:rPr>
        <w:t>.</w:t>
      </w:r>
      <w:r w:rsidR="00793F8E" w:rsidRPr="00631DE0">
        <w:rPr>
          <w:rFonts w:eastAsia="Calibri"/>
          <w:color w:val="000000" w:themeColor="text1"/>
          <w:kern w:val="0"/>
          <w14:ligatures w14:val="none"/>
        </w:rPr>
        <w:t xml:space="preserve"> Also, as </w:t>
      </w:r>
      <w:r w:rsidR="00BA73BF" w:rsidRPr="00631DE0">
        <w:rPr>
          <w:rFonts w:eastAsia="Calibri"/>
          <w:color w:val="000000" w:themeColor="text1"/>
          <w:kern w:val="0"/>
          <w14:ligatures w14:val="none"/>
        </w:rPr>
        <w:t>emphasised</w:t>
      </w:r>
      <w:r w:rsidR="00793F8E" w:rsidRPr="00631DE0">
        <w:rPr>
          <w:rFonts w:eastAsia="Calibri"/>
          <w:color w:val="000000" w:themeColor="text1"/>
          <w:kern w:val="0"/>
          <w14:ligatures w14:val="none"/>
        </w:rPr>
        <w:t xml:space="preserve"> by scholars that institutional pressure inculcates </w:t>
      </w:r>
      <w:r w:rsidR="00BA73BF" w:rsidRPr="00631DE0">
        <w:rPr>
          <w:rFonts w:eastAsia="Calibri"/>
          <w:color w:val="000000" w:themeColor="text1"/>
          <w:kern w:val="0"/>
          <w14:ligatures w14:val="none"/>
        </w:rPr>
        <w:t>firms’</w:t>
      </w:r>
      <w:r w:rsidR="00793F8E" w:rsidRPr="00631DE0">
        <w:rPr>
          <w:rFonts w:eastAsia="Calibri"/>
          <w:color w:val="000000" w:themeColor="text1"/>
          <w:kern w:val="0"/>
          <w14:ligatures w14:val="none"/>
        </w:rPr>
        <w:t xml:space="preserve"> corporate governance practices (</w:t>
      </w:r>
      <w:r w:rsidR="00BA73BF" w:rsidRPr="00631DE0">
        <w:rPr>
          <w:rFonts w:eastAsia="Calibri"/>
          <w:color w:val="000000" w:themeColor="text1"/>
          <w:kern w:val="0"/>
          <w14:ligatures w14:val="none"/>
        </w:rPr>
        <w:t>DiMaggios &amp;</w:t>
      </w:r>
      <w:r w:rsidR="00104B0B">
        <w:rPr>
          <w:rFonts w:eastAsia="Calibri"/>
          <w:color w:val="000000" w:themeColor="text1"/>
          <w:kern w:val="0"/>
          <w14:ligatures w14:val="none"/>
        </w:rPr>
        <w:t xml:space="preserve"> </w:t>
      </w:r>
      <w:r w:rsidR="00BA73BF" w:rsidRPr="00631DE0">
        <w:rPr>
          <w:rFonts w:eastAsia="Calibri"/>
          <w:color w:val="000000" w:themeColor="text1"/>
          <w:kern w:val="0"/>
          <w14:ligatures w14:val="none"/>
        </w:rPr>
        <w:t>Powell, 1983</w:t>
      </w:r>
      <w:r w:rsidR="00793F8E" w:rsidRPr="00631DE0">
        <w:rPr>
          <w:rFonts w:eastAsia="Calibri"/>
          <w:color w:val="000000" w:themeColor="text1"/>
          <w:kern w:val="0"/>
          <w14:ligatures w14:val="none"/>
        </w:rPr>
        <w:t xml:space="preserve">), </w:t>
      </w:r>
      <w:r w:rsidR="00BA73BF" w:rsidRPr="00631DE0">
        <w:rPr>
          <w:rFonts w:eastAsia="Calibri"/>
          <w:color w:val="000000" w:themeColor="text1"/>
          <w:kern w:val="0"/>
          <w14:ligatures w14:val="none"/>
        </w:rPr>
        <w:t>UK environmental regulations  and guidelines such as zero net carbon emissions, may influence NGOs in UK to adopt quantitative disclosures as a way of  demonstrating their commitment to the guidelines.</w:t>
      </w:r>
    </w:p>
    <w:p w14:paraId="1FA2689E" w14:textId="2DE5309D" w:rsidR="00C24EF1" w:rsidRPr="00631DE0" w:rsidRDefault="006C6ABE" w:rsidP="00517490">
      <w:pPr>
        <w:pStyle w:val="NormalWeb"/>
        <w:spacing w:after="120" w:line="360" w:lineRule="auto"/>
        <w:rPr>
          <w:rFonts w:eastAsia="Times New Roman"/>
          <w:color w:val="000000" w:themeColor="text1"/>
          <w:kern w:val="0"/>
          <w14:ligatures w14:val="none"/>
        </w:rPr>
      </w:pPr>
      <w:r w:rsidRPr="00631DE0">
        <w:rPr>
          <w:rFonts w:eastAsia="Times New Roman"/>
          <w:color w:val="000000" w:themeColor="text1"/>
          <w:kern w:val="0"/>
          <w14:ligatures w14:val="none"/>
        </w:rPr>
        <w:t>W</w:t>
      </w:r>
      <w:r w:rsidR="003D20DC" w:rsidRPr="00631DE0">
        <w:rPr>
          <w:rFonts w:eastAsia="Times New Roman"/>
          <w:color w:val="000000" w:themeColor="text1"/>
          <w:kern w:val="0"/>
          <w14:ligatures w14:val="none"/>
        </w:rPr>
        <w:t>hilst we acknowledge previously that NGO</w:t>
      </w:r>
      <w:r w:rsidR="00793F8E" w:rsidRPr="00631DE0">
        <w:rPr>
          <w:rFonts w:eastAsia="Times New Roman"/>
          <w:color w:val="000000" w:themeColor="text1"/>
          <w:kern w:val="0"/>
          <w14:ligatures w14:val="none"/>
        </w:rPr>
        <w:t>s</w:t>
      </w:r>
      <w:r w:rsidR="003D20DC" w:rsidRPr="00631DE0">
        <w:rPr>
          <w:rFonts w:eastAsia="Times New Roman"/>
          <w:color w:val="000000" w:themeColor="text1"/>
          <w:kern w:val="0"/>
          <w14:ligatures w14:val="none"/>
        </w:rPr>
        <w:t xml:space="preserve"> may lack the resources and expertise to craft high level environmental disclosures</w:t>
      </w:r>
      <w:r w:rsidR="00C24EF1" w:rsidRPr="00631DE0">
        <w:rPr>
          <w:rFonts w:eastAsia="Times New Roman"/>
          <w:color w:val="000000" w:themeColor="text1"/>
          <w:kern w:val="0"/>
          <w14:ligatures w14:val="none"/>
        </w:rPr>
        <w:t>,</w:t>
      </w:r>
      <w:r w:rsidRPr="00631DE0">
        <w:rPr>
          <w:rFonts w:eastAsia="Times New Roman"/>
          <w:color w:val="000000" w:themeColor="text1"/>
          <w:kern w:val="0"/>
          <w14:ligatures w14:val="none"/>
        </w:rPr>
        <w:t xml:space="preserve"> we contend that</w:t>
      </w:r>
      <w:r w:rsidR="003D20DC" w:rsidRPr="00631DE0">
        <w:rPr>
          <w:rFonts w:eastAsia="Times New Roman"/>
          <w:color w:val="000000" w:themeColor="text1"/>
          <w:kern w:val="0"/>
          <w14:ligatures w14:val="none"/>
        </w:rPr>
        <w:t xml:space="preserve"> </w:t>
      </w:r>
      <w:r w:rsidRPr="00631DE0">
        <w:rPr>
          <w:rFonts w:eastAsia="Calibri"/>
          <w:color w:val="000000" w:themeColor="text1"/>
          <w:kern w:val="0"/>
          <w14:ligatures w14:val="none"/>
        </w:rPr>
        <w:t>NUM environmental disclosure may serve as an important accountability tool to address the accountability tension between NGOs and stakeholders regarding environmental performance asymmetry</w:t>
      </w:r>
      <w:r w:rsidR="00517490" w:rsidRPr="00631DE0">
        <w:rPr>
          <w:rFonts w:eastAsia="Calibri"/>
          <w:color w:val="000000" w:themeColor="text1"/>
          <w:kern w:val="0"/>
          <w14:ligatures w14:val="none"/>
        </w:rPr>
        <w:t xml:space="preserve"> </w:t>
      </w:r>
      <w:r w:rsidR="00517490" w:rsidRPr="00631DE0" w:rsidDel="009817BB">
        <w:rPr>
          <w:rFonts w:eastAsia="Calibri"/>
          <w:color w:val="000000" w:themeColor="text1"/>
          <w:kern w:val="0"/>
          <w14:ligatures w14:val="none"/>
        </w:rPr>
        <w:t>(</w:t>
      </w:r>
      <w:r w:rsidR="00517490" w:rsidRPr="00631DE0">
        <w:rPr>
          <w:rFonts w:eastAsia="Calibri"/>
          <w:color w:val="000000" w:themeColor="text1"/>
          <w:kern w:val="0"/>
          <w14:ligatures w14:val="none"/>
        </w:rPr>
        <w:t xml:space="preserve">Arena </w:t>
      </w:r>
      <w:r w:rsidR="00517490" w:rsidRPr="00631DE0">
        <w:rPr>
          <w:rFonts w:eastAsia="Calibri"/>
          <w:i/>
          <w:iCs/>
          <w:color w:val="000000" w:themeColor="text1"/>
          <w:kern w:val="0"/>
          <w14:ligatures w14:val="none"/>
        </w:rPr>
        <w:t>et al</w:t>
      </w:r>
      <w:r w:rsidR="00517490" w:rsidRPr="00631DE0">
        <w:rPr>
          <w:rFonts w:eastAsia="Calibri"/>
          <w:color w:val="000000" w:themeColor="text1"/>
          <w:kern w:val="0"/>
          <w14:ligatures w14:val="none"/>
        </w:rPr>
        <w:t>., 2015; Peters &amp; Rami, 2013).</w:t>
      </w:r>
      <w:r w:rsidR="00517490" w:rsidRPr="00631DE0">
        <w:rPr>
          <w:rFonts w:eastAsia="Times New Roman"/>
          <w:color w:val="000000" w:themeColor="text1"/>
          <w:kern w:val="0"/>
          <w14:ligatures w14:val="none"/>
        </w:rPr>
        <w:t xml:space="preserve"> Coherently, </w:t>
      </w:r>
      <w:r w:rsidR="00F34CC6" w:rsidRPr="00631DE0">
        <w:rPr>
          <w:rFonts w:eastAsia="Times New Roman"/>
          <w:color w:val="000000" w:themeColor="text1"/>
          <w:kern w:val="0"/>
          <w14:ligatures w14:val="none"/>
        </w:rPr>
        <w:t xml:space="preserve">we </w:t>
      </w:r>
      <w:r w:rsidR="00517490" w:rsidRPr="00631DE0">
        <w:rPr>
          <w:rFonts w:eastAsia="Times New Roman"/>
          <w:color w:val="000000" w:themeColor="text1"/>
          <w:kern w:val="0"/>
          <w14:ligatures w14:val="none"/>
        </w:rPr>
        <w:t>postulate</w:t>
      </w:r>
      <w:r w:rsidR="00F34CC6" w:rsidRPr="00631DE0">
        <w:rPr>
          <w:rFonts w:eastAsia="Times New Roman"/>
          <w:color w:val="000000" w:themeColor="text1"/>
          <w:kern w:val="0"/>
          <w14:ligatures w14:val="none"/>
        </w:rPr>
        <w:t xml:space="preserve"> that NGOs </w:t>
      </w:r>
      <w:r w:rsidR="00517490" w:rsidRPr="00631DE0">
        <w:rPr>
          <w:rFonts w:eastAsia="Times New Roman"/>
          <w:color w:val="000000" w:themeColor="text1"/>
          <w:kern w:val="0"/>
          <w14:ligatures w14:val="none"/>
        </w:rPr>
        <w:t>are more likely to have</w:t>
      </w:r>
      <w:r w:rsidR="003D20DC" w:rsidRPr="00631DE0">
        <w:rPr>
          <w:rFonts w:eastAsia="Times New Roman"/>
          <w:color w:val="000000" w:themeColor="text1"/>
          <w:kern w:val="0"/>
          <w14:ligatures w14:val="none"/>
        </w:rPr>
        <w:t xml:space="preserve"> a strong </w:t>
      </w:r>
      <w:r w:rsidR="003D20DC" w:rsidRPr="00631DE0">
        <w:rPr>
          <w:rFonts w:eastAsia="Times New Roman"/>
          <w:color w:val="000000" w:themeColor="text1"/>
          <w:kern w:val="0"/>
          <w14:ligatures w14:val="none"/>
        </w:rPr>
        <w:lastRenderedPageBreak/>
        <w:t>incentive to include</w:t>
      </w:r>
      <w:r w:rsidR="00F34CC6" w:rsidRPr="00631DE0">
        <w:rPr>
          <w:rFonts w:eastAsia="Times New Roman"/>
          <w:color w:val="000000" w:themeColor="text1"/>
          <w:kern w:val="0"/>
          <w14:ligatures w14:val="none"/>
        </w:rPr>
        <w:t xml:space="preserve"> </w:t>
      </w:r>
      <w:r w:rsidR="003D20DC" w:rsidRPr="00631DE0">
        <w:rPr>
          <w:rFonts w:eastAsia="Times New Roman"/>
          <w:color w:val="000000" w:themeColor="text1"/>
          <w:kern w:val="0"/>
          <w14:ligatures w14:val="none"/>
        </w:rPr>
        <w:t xml:space="preserve">a higher volume of </w:t>
      </w:r>
      <w:r w:rsidR="00897A18" w:rsidRPr="00631DE0">
        <w:rPr>
          <w:rFonts w:eastAsia="Times New Roman"/>
          <w:color w:val="000000" w:themeColor="text1"/>
          <w:kern w:val="0"/>
          <w14:ligatures w14:val="none"/>
        </w:rPr>
        <w:t xml:space="preserve">quality of NUM environmental disclosure over time, relative to NAR, </w:t>
      </w:r>
      <w:r w:rsidRPr="00631DE0">
        <w:rPr>
          <w:rFonts w:eastAsia="Times New Roman"/>
          <w:color w:val="000000" w:themeColor="text1"/>
          <w:kern w:val="0"/>
          <w14:ligatures w14:val="none"/>
        </w:rPr>
        <w:t>as</w:t>
      </w:r>
      <w:r w:rsidR="00517490" w:rsidRPr="00631DE0">
        <w:rPr>
          <w:rFonts w:eastAsia="Times New Roman"/>
          <w:color w:val="000000" w:themeColor="text1"/>
          <w:kern w:val="0"/>
          <w14:ligatures w14:val="none"/>
        </w:rPr>
        <w:t xml:space="preserve"> a</w:t>
      </w:r>
      <w:r w:rsidRPr="00631DE0">
        <w:rPr>
          <w:rFonts w:eastAsia="Times New Roman"/>
          <w:color w:val="000000" w:themeColor="text1"/>
          <w:kern w:val="0"/>
          <w14:ligatures w14:val="none"/>
        </w:rPr>
        <w:t xml:space="preserve"> mechanism to</w:t>
      </w:r>
      <w:r w:rsidR="00897A18" w:rsidRPr="00631DE0">
        <w:rPr>
          <w:rFonts w:eastAsia="Times New Roman"/>
          <w:color w:val="000000" w:themeColor="text1"/>
          <w:kern w:val="0"/>
          <w14:ligatures w14:val="none"/>
        </w:rPr>
        <w:t xml:space="preserve"> mainta</w:t>
      </w:r>
      <w:r w:rsidRPr="00631DE0">
        <w:rPr>
          <w:rFonts w:eastAsia="Times New Roman"/>
          <w:color w:val="000000" w:themeColor="text1"/>
          <w:kern w:val="0"/>
          <w14:ligatures w14:val="none"/>
        </w:rPr>
        <w:t>in</w:t>
      </w:r>
      <w:r w:rsidR="00897A18" w:rsidRPr="00631DE0">
        <w:rPr>
          <w:rFonts w:eastAsia="Times New Roman"/>
          <w:color w:val="000000" w:themeColor="text1"/>
          <w:kern w:val="0"/>
          <w14:ligatures w14:val="none"/>
        </w:rPr>
        <w:t xml:space="preserve"> and enhanc</w:t>
      </w:r>
      <w:r w:rsidRPr="00631DE0">
        <w:rPr>
          <w:rFonts w:eastAsia="Times New Roman"/>
          <w:color w:val="000000" w:themeColor="text1"/>
          <w:kern w:val="0"/>
          <w14:ligatures w14:val="none"/>
        </w:rPr>
        <w:t>e</w:t>
      </w:r>
      <w:r w:rsidR="00517490" w:rsidRPr="00631DE0">
        <w:rPr>
          <w:rFonts w:eastAsia="Times New Roman"/>
          <w:color w:val="000000" w:themeColor="text1"/>
          <w:kern w:val="0"/>
          <w14:ligatures w14:val="none"/>
        </w:rPr>
        <w:t xml:space="preserve"> the</w:t>
      </w:r>
      <w:r w:rsidR="00897A18" w:rsidRPr="00631DE0">
        <w:rPr>
          <w:rFonts w:eastAsia="Times New Roman"/>
          <w:color w:val="000000" w:themeColor="text1"/>
          <w:kern w:val="0"/>
          <w14:ligatures w14:val="none"/>
        </w:rPr>
        <w:t xml:space="preserve"> </w:t>
      </w:r>
      <w:r w:rsidRPr="00631DE0">
        <w:rPr>
          <w:rFonts w:eastAsia="Times New Roman"/>
          <w:color w:val="000000" w:themeColor="text1"/>
          <w:kern w:val="0"/>
          <w14:ligatures w14:val="none"/>
        </w:rPr>
        <w:t>legitimacy</w:t>
      </w:r>
      <w:r w:rsidR="00897A18" w:rsidRPr="00631DE0">
        <w:rPr>
          <w:rFonts w:eastAsia="Times New Roman"/>
          <w:color w:val="000000" w:themeColor="text1"/>
          <w:kern w:val="0"/>
          <w14:ligatures w14:val="none"/>
        </w:rPr>
        <w:t>.</w:t>
      </w:r>
      <w:r w:rsidR="00897A18" w:rsidRPr="00631DE0">
        <w:rPr>
          <w:rFonts w:eastAsia="Calibri"/>
          <w:color w:val="000000" w:themeColor="text1"/>
          <w:kern w:val="0"/>
          <w14:ligatures w14:val="none"/>
        </w:rPr>
        <w:t xml:space="preserve"> Thus</w:t>
      </w:r>
      <w:r w:rsidR="009F0EB5" w:rsidRPr="00631DE0">
        <w:rPr>
          <w:rFonts w:eastAsia="Calibri"/>
          <w:color w:val="000000" w:themeColor="text1"/>
          <w:kern w:val="0"/>
          <w14:ligatures w14:val="none"/>
        </w:rPr>
        <w:t>, we posit the following hypothesis</w:t>
      </w:r>
    </w:p>
    <w:p w14:paraId="1699F994" w14:textId="5D0AED44" w:rsidR="009F0EB5" w:rsidRPr="00631DE0" w:rsidRDefault="009F0EB5" w:rsidP="007478FB">
      <w:pPr>
        <w:pStyle w:val="NormalWeb"/>
        <w:spacing w:after="240" w:line="360" w:lineRule="auto"/>
        <w:ind w:left="510" w:hanging="510"/>
        <w:rPr>
          <w:rFonts w:eastAsia="Calibri"/>
          <w:i/>
          <w:iCs/>
          <w:color w:val="000000" w:themeColor="text1"/>
          <w:kern w:val="0"/>
          <w14:ligatures w14:val="none"/>
        </w:rPr>
      </w:pPr>
      <w:r w:rsidRPr="00631DE0">
        <w:rPr>
          <w:rFonts w:eastAsia="Calibri"/>
          <w:i/>
          <w:iCs/>
          <w:color w:val="000000" w:themeColor="text1"/>
          <w:kern w:val="0"/>
          <w14:ligatures w14:val="none"/>
        </w:rPr>
        <w:t xml:space="preserve">H.2: </w:t>
      </w:r>
      <w:bookmarkStart w:id="6" w:name="_Hlk202092956"/>
      <w:r w:rsidRPr="00631DE0">
        <w:rPr>
          <w:rFonts w:eastAsia="Calibri"/>
          <w:i/>
          <w:iCs/>
          <w:color w:val="000000" w:themeColor="text1"/>
          <w:kern w:val="0"/>
          <w14:ligatures w14:val="none"/>
        </w:rPr>
        <w:t>There is</w:t>
      </w:r>
      <w:r w:rsidR="00DC1095" w:rsidRPr="00631DE0">
        <w:rPr>
          <w:rFonts w:eastAsia="Calibri"/>
          <w:i/>
          <w:iCs/>
          <w:color w:val="000000" w:themeColor="text1"/>
          <w:kern w:val="0"/>
          <w14:ligatures w14:val="none"/>
        </w:rPr>
        <w:t xml:space="preserve"> increase of</w:t>
      </w:r>
      <w:r w:rsidRPr="00631DE0">
        <w:rPr>
          <w:rFonts w:eastAsia="Calibri"/>
          <w:i/>
          <w:iCs/>
          <w:color w:val="000000" w:themeColor="text1"/>
          <w:kern w:val="0"/>
          <w14:ligatures w14:val="none"/>
        </w:rPr>
        <w:t xml:space="preserve"> NUM environmental disclosure in 20</w:t>
      </w:r>
      <w:r w:rsidR="008C1C6A" w:rsidRPr="00631DE0">
        <w:rPr>
          <w:rFonts w:eastAsia="Calibri"/>
          <w:i/>
          <w:iCs/>
          <w:color w:val="000000" w:themeColor="text1"/>
          <w:kern w:val="0"/>
          <w14:ligatures w14:val="none"/>
        </w:rPr>
        <w:t>23</w:t>
      </w:r>
      <w:r w:rsidRPr="00631DE0">
        <w:rPr>
          <w:rFonts w:eastAsia="Calibri"/>
          <w:i/>
          <w:iCs/>
          <w:color w:val="000000" w:themeColor="text1"/>
          <w:kern w:val="0"/>
          <w14:ligatures w14:val="none"/>
        </w:rPr>
        <w:t xml:space="preserve"> to 20</w:t>
      </w:r>
      <w:r w:rsidR="008C1C6A" w:rsidRPr="00631DE0">
        <w:rPr>
          <w:rFonts w:eastAsia="Calibri"/>
          <w:i/>
          <w:iCs/>
          <w:color w:val="000000" w:themeColor="text1"/>
          <w:kern w:val="0"/>
          <w14:ligatures w14:val="none"/>
        </w:rPr>
        <w:t>13</w:t>
      </w:r>
      <w:r w:rsidRPr="00631DE0">
        <w:rPr>
          <w:rFonts w:eastAsia="Calibri"/>
          <w:i/>
          <w:iCs/>
          <w:color w:val="000000" w:themeColor="text1"/>
          <w:kern w:val="0"/>
          <w14:ligatures w14:val="none"/>
        </w:rPr>
        <w:t xml:space="preserve">, relative </w:t>
      </w:r>
      <w:r w:rsidR="008C1C6A" w:rsidRPr="00631DE0">
        <w:rPr>
          <w:rFonts w:eastAsia="Calibri"/>
          <w:i/>
          <w:iCs/>
          <w:color w:val="000000" w:themeColor="text1"/>
          <w:kern w:val="0"/>
          <w14:ligatures w14:val="none"/>
        </w:rPr>
        <w:t>to NAR</w:t>
      </w:r>
    </w:p>
    <w:p w14:paraId="59643B60" w14:textId="77777777" w:rsidR="00761296" w:rsidRPr="00631DE0" w:rsidRDefault="00761296" w:rsidP="007478FB">
      <w:pPr>
        <w:pStyle w:val="NormalWeb"/>
        <w:spacing w:after="240" w:line="360" w:lineRule="auto"/>
        <w:ind w:left="510" w:hanging="510"/>
        <w:rPr>
          <w:rFonts w:eastAsia="Calibri"/>
          <w:i/>
          <w:iCs/>
          <w:color w:val="000000" w:themeColor="text1"/>
          <w:kern w:val="0"/>
          <w14:ligatures w14:val="none"/>
        </w:rPr>
      </w:pPr>
    </w:p>
    <w:p w14:paraId="1A89A4B4" w14:textId="77777777" w:rsidR="00761296" w:rsidRPr="00631DE0" w:rsidRDefault="00761296" w:rsidP="007478FB">
      <w:pPr>
        <w:pStyle w:val="NormalWeb"/>
        <w:spacing w:after="240" w:line="360" w:lineRule="auto"/>
        <w:ind w:left="510" w:hanging="510"/>
        <w:rPr>
          <w:rFonts w:eastAsia="Calibri"/>
          <w:i/>
          <w:iCs/>
          <w:color w:val="000000" w:themeColor="text1"/>
          <w:kern w:val="0"/>
          <w14:ligatures w14:val="none"/>
        </w:rPr>
      </w:pPr>
    </w:p>
    <w:bookmarkEnd w:id="6"/>
    <w:p w14:paraId="577AB543" w14:textId="559F2962" w:rsidR="00AF5A8A" w:rsidRPr="00A268CC" w:rsidRDefault="000251D6" w:rsidP="00146467">
      <w:pPr>
        <w:pStyle w:val="NormalWeb"/>
        <w:spacing w:after="120" w:line="360" w:lineRule="auto"/>
        <w:ind w:firstLine="0"/>
        <w:rPr>
          <w:rFonts w:eastAsia="Calibri"/>
          <w:b/>
          <w:bCs/>
          <w:color w:val="000000" w:themeColor="text1"/>
          <w:kern w:val="0"/>
          <w14:ligatures w14:val="none"/>
        </w:rPr>
      </w:pPr>
      <w:r w:rsidRPr="00A268CC">
        <w:rPr>
          <w:rFonts w:eastAsia="Calibri"/>
          <w:b/>
          <w:bCs/>
          <w:color w:val="000000" w:themeColor="text1"/>
          <w:kern w:val="0"/>
          <w14:ligatures w14:val="none"/>
        </w:rPr>
        <w:t>3</w:t>
      </w:r>
      <w:r w:rsidR="009F0EB5" w:rsidRPr="00A268CC">
        <w:rPr>
          <w:rFonts w:eastAsia="Calibri"/>
          <w:b/>
          <w:bCs/>
          <w:color w:val="000000" w:themeColor="text1"/>
          <w:kern w:val="0"/>
          <w14:ligatures w14:val="none"/>
        </w:rPr>
        <w:t xml:space="preserve">.2.3 </w:t>
      </w:r>
      <w:r w:rsidR="009D68F4" w:rsidRPr="00A268CC">
        <w:rPr>
          <w:rFonts w:eastAsia="Calibri"/>
          <w:b/>
          <w:bCs/>
          <w:color w:val="000000" w:themeColor="text1"/>
          <w:kern w:val="0"/>
          <w14:ligatures w14:val="none"/>
        </w:rPr>
        <w:t xml:space="preserve">   </w:t>
      </w:r>
      <w:r w:rsidR="00FE1106" w:rsidRPr="00A268CC">
        <w:rPr>
          <w:rFonts w:eastAsia="Calibri"/>
          <w:b/>
          <w:bCs/>
          <w:color w:val="000000" w:themeColor="text1"/>
          <w:kern w:val="0"/>
          <w14:ligatures w14:val="none"/>
        </w:rPr>
        <w:t xml:space="preserve">Environmental </w:t>
      </w:r>
      <w:r w:rsidR="009F0EB5" w:rsidRPr="00A268CC">
        <w:rPr>
          <w:rFonts w:eastAsia="Calibri"/>
          <w:b/>
          <w:bCs/>
          <w:color w:val="000000" w:themeColor="text1"/>
          <w:kern w:val="0"/>
          <w14:ligatures w14:val="none"/>
        </w:rPr>
        <w:t>Policy/Targets</w:t>
      </w:r>
      <w:r w:rsidR="00FE1106" w:rsidRPr="00A268CC">
        <w:rPr>
          <w:rFonts w:eastAsia="Calibri"/>
          <w:b/>
          <w:bCs/>
          <w:color w:val="000000" w:themeColor="text1"/>
          <w:kern w:val="0"/>
          <w14:ligatures w14:val="none"/>
        </w:rPr>
        <w:t xml:space="preserve"> (P/T)</w:t>
      </w:r>
      <w:r w:rsidR="009F0EB5" w:rsidRPr="00A268CC">
        <w:rPr>
          <w:rFonts w:eastAsia="Calibri"/>
          <w:b/>
          <w:bCs/>
          <w:color w:val="000000" w:themeColor="text1"/>
          <w:kern w:val="0"/>
          <w14:ligatures w14:val="none"/>
        </w:rPr>
        <w:t xml:space="preserve"> and Operational E</w:t>
      </w:r>
      <w:r w:rsidR="004559B9" w:rsidRPr="00A268CC">
        <w:rPr>
          <w:rFonts w:eastAsia="Calibri"/>
          <w:b/>
          <w:bCs/>
          <w:color w:val="000000" w:themeColor="text1"/>
          <w:kern w:val="0"/>
          <w14:ligatures w14:val="none"/>
        </w:rPr>
        <w:t>nvironmental Activities</w:t>
      </w:r>
      <w:r w:rsidR="00FE1106" w:rsidRPr="00A268CC">
        <w:rPr>
          <w:rFonts w:eastAsia="Calibri"/>
          <w:b/>
          <w:bCs/>
          <w:color w:val="000000" w:themeColor="text1"/>
          <w:kern w:val="0"/>
          <w14:ligatures w14:val="none"/>
        </w:rPr>
        <w:t xml:space="preserve"> (OA)</w:t>
      </w:r>
      <w:r w:rsidR="004559B9" w:rsidRPr="00A268CC">
        <w:rPr>
          <w:rFonts w:eastAsia="Calibri"/>
          <w:b/>
          <w:bCs/>
          <w:color w:val="000000" w:themeColor="text1"/>
          <w:kern w:val="0"/>
          <w14:ligatures w14:val="none"/>
        </w:rPr>
        <w:t xml:space="preserve">     </w:t>
      </w:r>
    </w:p>
    <w:p w14:paraId="75A0A89D" w14:textId="606C4426" w:rsidR="00623C80" w:rsidRPr="00631DE0" w:rsidRDefault="00CE0EA5" w:rsidP="00623C80">
      <w:pPr>
        <w:pStyle w:val="NormalWeb"/>
        <w:spacing w:after="120" w:line="360" w:lineRule="auto"/>
        <w:rPr>
          <w:rFonts w:eastAsia="Calibri"/>
          <w:color w:val="000000" w:themeColor="text1"/>
          <w:kern w:val="0"/>
          <w14:ligatures w14:val="none"/>
        </w:rPr>
      </w:pPr>
      <w:r w:rsidRPr="00631DE0">
        <w:rPr>
          <w:rFonts w:eastAsia="Calibri"/>
          <w:color w:val="000000" w:themeColor="text1"/>
          <w:kern w:val="0"/>
          <w14:ligatures w14:val="none"/>
        </w:rPr>
        <w:t xml:space="preserve">As defined </w:t>
      </w:r>
      <w:r w:rsidR="00A94C79">
        <w:rPr>
          <w:rFonts w:eastAsia="Calibri"/>
          <w:color w:val="000000" w:themeColor="text1"/>
          <w:kern w:val="0"/>
          <w14:ligatures w14:val="none"/>
        </w:rPr>
        <w:t>previously</w:t>
      </w:r>
      <w:r w:rsidRPr="00631DE0">
        <w:rPr>
          <w:rFonts w:eastAsia="Calibri"/>
          <w:color w:val="000000" w:themeColor="text1"/>
          <w:kern w:val="0"/>
          <w14:ligatures w14:val="none"/>
        </w:rPr>
        <w:t>, legitimacy theory predicts that firms endeavour to be in line with their operations/activities with societal norms and values in order to uphold their social licence for existence (</w:t>
      </w:r>
      <w:r w:rsidR="00B437B1" w:rsidRPr="00631DE0">
        <w:rPr>
          <w:rFonts w:eastAsia="Calibri"/>
          <w:color w:val="000000" w:themeColor="text1"/>
          <w:kern w:val="0"/>
          <w14:ligatures w14:val="none"/>
        </w:rPr>
        <w:t>Asogwa et al., 2021;</w:t>
      </w:r>
      <w:r w:rsidRPr="00631DE0">
        <w:rPr>
          <w:rFonts w:eastAsia="Calibri"/>
          <w:color w:val="000000" w:themeColor="text1"/>
          <w:kern w:val="0"/>
          <w14:ligatures w14:val="none"/>
        </w:rPr>
        <w:t xml:space="preserve"> </w:t>
      </w:r>
      <w:r w:rsidR="00B437B1" w:rsidRPr="00631DE0">
        <w:rPr>
          <w:rFonts w:eastAsia="Calibri"/>
          <w:color w:val="000000" w:themeColor="text1"/>
          <w:kern w:val="0"/>
          <w14:ligatures w14:val="none"/>
        </w:rPr>
        <w:t>Deegan, 201</w:t>
      </w:r>
      <w:r w:rsidR="00417118" w:rsidRPr="00631DE0">
        <w:rPr>
          <w:rFonts w:eastAsia="Calibri"/>
          <w:color w:val="000000" w:themeColor="text1"/>
          <w:kern w:val="0"/>
          <w14:ligatures w14:val="none"/>
        </w:rPr>
        <w:t>9</w:t>
      </w:r>
      <w:r w:rsidRPr="00631DE0">
        <w:rPr>
          <w:rFonts w:eastAsia="Calibri"/>
          <w:color w:val="000000" w:themeColor="text1"/>
          <w:kern w:val="0"/>
          <w14:ligatures w14:val="none"/>
        </w:rPr>
        <w:t>). In view of this, where there is a discrepancy gap between</w:t>
      </w:r>
      <w:r w:rsidR="00417118" w:rsidRPr="00631DE0">
        <w:rPr>
          <w:rFonts w:eastAsia="Calibri"/>
          <w:color w:val="000000" w:themeColor="text1"/>
          <w:kern w:val="0"/>
          <w14:ligatures w14:val="none"/>
        </w:rPr>
        <w:t xml:space="preserve"> the</w:t>
      </w:r>
      <w:r w:rsidRPr="00631DE0">
        <w:rPr>
          <w:rFonts w:eastAsia="Calibri"/>
          <w:color w:val="000000" w:themeColor="text1"/>
          <w:kern w:val="0"/>
          <w14:ligatures w14:val="none"/>
        </w:rPr>
        <w:t xml:space="preserve"> societal norms and corporate actions, a legitimacy gap arises (</w:t>
      </w:r>
      <w:r w:rsidR="00B437B1" w:rsidRPr="00631DE0">
        <w:rPr>
          <w:rFonts w:eastAsia="Calibri"/>
          <w:color w:val="000000" w:themeColor="text1"/>
          <w:kern w:val="0"/>
          <w14:ligatures w14:val="none"/>
        </w:rPr>
        <w:t>Deegan, 2019</w:t>
      </w:r>
      <w:r w:rsidRPr="00631DE0">
        <w:rPr>
          <w:rFonts w:eastAsia="Calibri"/>
          <w:color w:val="000000" w:themeColor="text1"/>
          <w:kern w:val="0"/>
          <w14:ligatures w14:val="none"/>
        </w:rPr>
        <w:t xml:space="preserve">). Literature shows that this gap </w:t>
      </w:r>
      <w:r w:rsidR="00B437B1" w:rsidRPr="00631DE0">
        <w:rPr>
          <w:rFonts w:eastAsia="Calibri"/>
          <w:color w:val="000000" w:themeColor="text1"/>
          <w:kern w:val="0"/>
          <w14:ligatures w14:val="none"/>
        </w:rPr>
        <w:t>is more</w:t>
      </w:r>
      <w:r w:rsidRPr="00631DE0">
        <w:rPr>
          <w:rFonts w:eastAsia="Calibri"/>
          <w:color w:val="000000" w:themeColor="text1"/>
          <w:kern w:val="0"/>
          <w14:ligatures w14:val="none"/>
        </w:rPr>
        <w:t xml:space="preserve"> pronounce</w:t>
      </w:r>
      <w:r w:rsidR="00A94C79">
        <w:rPr>
          <w:rFonts w:eastAsia="Calibri"/>
          <w:color w:val="000000" w:themeColor="text1"/>
          <w:kern w:val="0"/>
          <w14:ligatures w14:val="none"/>
        </w:rPr>
        <w:t>d</w:t>
      </w:r>
      <w:r w:rsidRPr="00631DE0">
        <w:rPr>
          <w:rFonts w:eastAsia="Calibri"/>
          <w:color w:val="000000" w:themeColor="text1"/>
          <w:kern w:val="0"/>
          <w14:ligatures w14:val="none"/>
        </w:rPr>
        <w:t xml:space="preserve"> for firms such as NGOs that face legitimacy threat (</w:t>
      </w:r>
      <w:r w:rsidR="00B437B1" w:rsidRPr="00631DE0">
        <w:rPr>
          <w:rFonts w:eastAsia="Calibri"/>
          <w:color w:val="000000" w:themeColor="text1"/>
          <w:kern w:val="0"/>
          <w14:ligatures w14:val="none"/>
        </w:rPr>
        <w:t>Aswogwa, 2023;</w:t>
      </w:r>
      <w:r w:rsidR="00B437B1" w:rsidRPr="00631DE0">
        <w:rPr>
          <w:rFonts w:eastAsia="Times New Roman"/>
          <w:color w:val="000000" w:themeColor="text1"/>
          <w:kern w:val="0"/>
          <w:lang w:eastAsia="en-GB"/>
          <w14:ligatures w14:val="none"/>
        </w:rPr>
        <w:t xml:space="preserve"> </w:t>
      </w:r>
      <w:r w:rsidR="00B437B1" w:rsidRPr="00631DE0">
        <w:rPr>
          <w:rFonts w:eastAsia="Calibri"/>
          <w:color w:val="000000" w:themeColor="text1"/>
          <w:kern w:val="0"/>
          <w14:ligatures w14:val="none"/>
        </w:rPr>
        <w:t>Pariag-Maraye et al., 2022</w:t>
      </w:r>
      <w:r w:rsidRPr="00631DE0">
        <w:rPr>
          <w:rFonts w:eastAsia="Calibri"/>
          <w:color w:val="000000" w:themeColor="text1"/>
          <w:kern w:val="0"/>
          <w14:ligatures w14:val="none"/>
        </w:rPr>
        <w:t>). To address this,</w:t>
      </w:r>
      <w:r w:rsidR="00417118" w:rsidRPr="00631DE0">
        <w:rPr>
          <w:rFonts w:eastAsia="Calibri"/>
          <w:color w:val="000000" w:themeColor="text1"/>
          <w:kern w:val="0"/>
          <w14:ligatures w14:val="none"/>
        </w:rPr>
        <w:t xml:space="preserve"> previous</w:t>
      </w:r>
      <w:r w:rsidRPr="00631DE0">
        <w:rPr>
          <w:rFonts w:eastAsia="Calibri"/>
          <w:color w:val="000000" w:themeColor="text1"/>
          <w:kern w:val="0"/>
          <w14:ligatures w14:val="none"/>
        </w:rPr>
        <w:t xml:space="preserve"> </w:t>
      </w:r>
      <w:r w:rsidR="00EB398C" w:rsidRPr="00631DE0">
        <w:rPr>
          <w:rFonts w:eastAsia="Calibri"/>
          <w:color w:val="000000" w:themeColor="text1"/>
          <w:kern w:val="0"/>
          <w14:ligatures w14:val="none"/>
        </w:rPr>
        <w:t xml:space="preserve">studies </w:t>
      </w:r>
      <w:r w:rsidR="009D561A" w:rsidRPr="00631DE0">
        <w:rPr>
          <w:rFonts w:eastAsia="Calibri"/>
          <w:color w:val="000000" w:themeColor="text1"/>
          <w:kern w:val="0"/>
          <w14:ligatures w14:val="none"/>
        </w:rPr>
        <w:t>show</w:t>
      </w:r>
      <w:r w:rsidR="00EB398C" w:rsidRPr="00631DE0">
        <w:rPr>
          <w:rFonts w:eastAsia="Calibri"/>
          <w:color w:val="000000" w:themeColor="text1"/>
          <w:kern w:val="0"/>
          <w14:ligatures w14:val="none"/>
        </w:rPr>
        <w:t xml:space="preserve"> </w:t>
      </w:r>
      <w:r w:rsidR="00B437B1" w:rsidRPr="00631DE0">
        <w:rPr>
          <w:rFonts w:eastAsia="Calibri"/>
          <w:color w:val="000000" w:themeColor="text1"/>
          <w:kern w:val="0"/>
          <w14:ligatures w14:val="none"/>
        </w:rPr>
        <w:t>increase</w:t>
      </w:r>
      <w:r w:rsidR="009D561A" w:rsidRPr="00631DE0">
        <w:rPr>
          <w:rFonts w:eastAsia="Calibri"/>
          <w:color w:val="000000" w:themeColor="text1"/>
          <w:kern w:val="0"/>
          <w14:ligatures w14:val="none"/>
        </w:rPr>
        <w:t xml:space="preserve"> of</w:t>
      </w:r>
      <w:r w:rsidR="00B437B1" w:rsidRPr="00631DE0">
        <w:rPr>
          <w:rFonts w:eastAsia="Calibri"/>
          <w:color w:val="000000" w:themeColor="text1"/>
          <w:kern w:val="0"/>
          <w14:ligatures w14:val="none"/>
        </w:rPr>
        <w:t xml:space="preserve"> </w:t>
      </w:r>
      <w:r w:rsidR="00EF1DA4" w:rsidRPr="00631DE0">
        <w:rPr>
          <w:rFonts w:eastAsia="Calibri"/>
          <w:color w:val="000000" w:themeColor="text1"/>
          <w:kern w:val="0"/>
          <w14:ligatures w14:val="none"/>
        </w:rPr>
        <w:t>use of the</w:t>
      </w:r>
      <w:r w:rsidR="00EB398C" w:rsidRPr="00631DE0">
        <w:rPr>
          <w:rFonts w:eastAsia="Calibri"/>
          <w:color w:val="000000" w:themeColor="text1"/>
          <w:kern w:val="0"/>
          <w14:ligatures w14:val="none"/>
        </w:rPr>
        <w:t xml:space="preserve"> environmental remediation </w:t>
      </w:r>
      <w:r w:rsidR="009D561A" w:rsidRPr="00631DE0">
        <w:rPr>
          <w:rFonts w:eastAsia="Calibri"/>
          <w:color w:val="000000" w:themeColor="text1"/>
          <w:kern w:val="0"/>
          <w14:ligatures w14:val="none"/>
        </w:rPr>
        <w:t>efforts</w:t>
      </w:r>
      <w:r w:rsidR="00EB398C" w:rsidRPr="00631DE0">
        <w:rPr>
          <w:rFonts w:eastAsia="Calibri"/>
          <w:color w:val="000000" w:themeColor="text1"/>
          <w:kern w:val="0"/>
          <w14:ligatures w14:val="none"/>
        </w:rPr>
        <w:t xml:space="preserve"> </w:t>
      </w:r>
      <w:r w:rsidR="009D561A" w:rsidRPr="00631DE0">
        <w:rPr>
          <w:rFonts w:eastAsia="Calibri"/>
          <w:color w:val="000000" w:themeColor="text1"/>
          <w:kern w:val="0"/>
          <w14:ligatures w14:val="none"/>
        </w:rPr>
        <w:t xml:space="preserve">as </w:t>
      </w:r>
      <w:r w:rsidR="00EF1DA4" w:rsidRPr="00631DE0">
        <w:rPr>
          <w:rFonts w:eastAsia="Calibri"/>
          <w:color w:val="000000" w:themeColor="text1"/>
          <w:kern w:val="0"/>
          <w14:ligatures w14:val="none"/>
        </w:rPr>
        <w:t>part of</w:t>
      </w:r>
      <w:r w:rsidR="00EB398C" w:rsidRPr="00631DE0">
        <w:rPr>
          <w:rFonts w:eastAsia="Calibri"/>
          <w:color w:val="000000" w:themeColor="text1"/>
          <w:kern w:val="0"/>
          <w14:ligatures w14:val="none"/>
        </w:rPr>
        <w:t xml:space="preserve"> commitment to</w:t>
      </w:r>
      <w:r w:rsidR="00EF1DA4" w:rsidRPr="00631DE0">
        <w:rPr>
          <w:rFonts w:eastAsia="Calibri"/>
          <w:color w:val="000000" w:themeColor="text1"/>
          <w:kern w:val="0"/>
          <w14:ligatures w14:val="none"/>
        </w:rPr>
        <w:t xml:space="preserve"> fulfil</w:t>
      </w:r>
      <w:r w:rsidR="00EB398C" w:rsidRPr="00631DE0">
        <w:rPr>
          <w:rFonts w:eastAsia="Calibri"/>
          <w:color w:val="000000" w:themeColor="text1"/>
          <w:kern w:val="0"/>
          <w14:ligatures w14:val="none"/>
        </w:rPr>
        <w:t xml:space="preserve"> social expectations</w:t>
      </w:r>
      <w:r w:rsidR="009D561A" w:rsidRPr="00631DE0">
        <w:rPr>
          <w:rFonts w:eastAsia="Calibri"/>
          <w:color w:val="000000" w:themeColor="text1"/>
          <w:kern w:val="0"/>
          <w14:ligatures w14:val="none"/>
        </w:rPr>
        <w:t xml:space="preserve"> and legitima</w:t>
      </w:r>
      <w:r w:rsidR="00EF1DA4" w:rsidRPr="00631DE0">
        <w:rPr>
          <w:rFonts w:eastAsia="Calibri"/>
          <w:color w:val="000000" w:themeColor="text1"/>
          <w:kern w:val="0"/>
          <w14:ligatures w14:val="none"/>
        </w:rPr>
        <w:t>cy</w:t>
      </w:r>
      <w:r w:rsidR="00EB398C" w:rsidRPr="00631DE0">
        <w:rPr>
          <w:rFonts w:eastAsia="Calibri"/>
          <w:color w:val="000000" w:themeColor="text1"/>
          <w:kern w:val="0"/>
          <w14:ligatures w14:val="none"/>
        </w:rPr>
        <w:t xml:space="preserve"> (Cai </w:t>
      </w:r>
      <w:r w:rsidR="00EB398C" w:rsidRPr="00631DE0">
        <w:rPr>
          <w:rFonts w:eastAsia="Calibri"/>
          <w:i/>
          <w:iCs/>
          <w:color w:val="000000" w:themeColor="text1"/>
          <w:kern w:val="0"/>
          <w14:ligatures w14:val="none"/>
        </w:rPr>
        <w:t>et al</w:t>
      </w:r>
      <w:r w:rsidR="00EB398C" w:rsidRPr="00631DE0">
        <w:rPr>
          <w:rFonts w:eastAsia="Calibri"/>
          <w:color w:val="000000" w:themeColor="text1"/>
          <w:kern w:val="0"/>
          <w14:ligatures w14:val="none"/>
        </w:rPr>
        <w:t xml:space="preserve"> 2024). </w:t>
      </w:r>
      <w:r w:rsidR="00EF1DA4" w:rsidRPr="00631DE0">
        <w:rPr>
          <w:rFonts w:eastAsia="Calibri"/>
          <w:color w:val="000000" w:themeColor="text1"/>
          <w:kern w:val="0"/>
          <w14:ligatures w14:val="none"/>
        </w:rPr>
        <w:t>Such</w:t>
      </w:r>
      <w:r w:rsidR="00EB398C" w:rsidRPr="00631DE0">
        <w:rPr>
          <w:rFonts w:eastAsia="Calibri"/>
          <w:color w:val="000000" w:themeColor="text1"/>
          <w:kern w:val="0"/>
          <w14:ligatures w14:val="none"/>
        </w:rPr>
        <w:t xml:space="preserve"> environmental mitigation actions include environment targets</w:t>
      </w:r>
      <w:r w:rsidR="00417118" w:rsidRPr="00631DE0">
        <w:rPr>
          <w:rFonts w:eastAsia="Calibri"/>
          <w:color w:val="000000" w:themeColor="text1"/>
          <w:kern w:val="0"/>
          <w14:ligatures w14:val="none"/>
        </w:rPr>
        <w:t xml:space="preserve"> and</w:t>
      </w:r>
      <w:r w:rsidR="00EB398C" w:rsidRPr="00631DE0">
        <w:rPr>
          <w:rFonts w:eastAsia="Calibri"/>
          <w:color w:val="000000" w:themeColor="text1"/>
          <w:kern w:val="0"/>
          <w14:ligatures w14:val="none"/>
        </w:rPr>
        <w:t xml:space="preserve"> policies (Maas, 2018</w:t>
      </w:r>
      <w:r w:rsidR="00417118" w:rsidRPr="00631DE0">
        <w:rPr>
          <w:rFonts w:eastAsia="Calibri"/>
          <w:color w:val="000000" w:themeColor="text1"/>
          <w:kern w:val="0"/>
          <w14:ligatures w14:val="none"/>
        </w:rPr>
        <w:t>). R</w:t>
      </w:r>
      <w:r w:rsidR="009D561A" w:rsidRPr="00631DE0">
        <w:rPr>
          <w:rFonts w:eastAsia="Calibri"/>
          <w:color w:val="000000" w:themeColor="text1"/>
          <w:kern w:val="0"/>
          <w14:ligatures w14:val="none"/>
        </w:rPr>
        <w:t xml:space="preserve">esearch shows growing environmental targets disclosure as </w:t>
      </w:r>
      <w:r w:rsidR="00EF1DA4" w:rsidRPr="00631DE0">
        <w:rPr>
          <w:rFonts w:eastAsia="Calibri"/>
          <w:color w:val="000000" w:themeColor="text1"/>
          <w:kern w:val="0"/>
          <w14:ligatures w14:val="none"/>
        </w:rPr>
        <w:t>mechanism</w:t>
      </w:r>
      <w:r w:rsidR="009D561A" w:rsidRPr="00631DE0">
        <w:rPr>
          <w:rFonts w:eastAsia="Calibri"/>
          <w:color w:val="000000" w:themeColor="text1"/>
          <w:kern w:val="0"/>
          <w14:ligatures w14:val="none"/>
        </w:rPr>
        <w:t xml:space="preserve"> to </w:t>
      </w:r>
      <w:r w:rsidR="00EF1DA4" w:rsidRPr="00631DE0">
        <w:rPr>
          <w:rFonts w:eastAsia="Calibri"/>
          <w:color w:val="000000" w:themeColor="text1"/>
          <w:kern w:val="0"/>
          <w14:ligatures w14:val="none"/>
        </w:rPr>
        <w:t>enhance environmental accountability to stakeholders</w:t>
      </w:r>
      <w:r w:rsidR="009D561A" w:rsidRPr="00631DE0">
        <w:rPr>
          <w:rFonts w:eastAsia="Calibri"/>
          <w:color w:val="000000" w:themeColor="text1"/>
          <w:kern w:val="0"/>
          <w14:ligatures w14:val="none"/>
        </w:rPr>
        <w:t xml:space="preserve"> (Gouldson &amp; Sullivan, </w:t>
      </w:r>
      <w:r w:rsidR="00EA35FB" w:rsidRPr="00631DE0">
        <w:rPr>
          <w:rFonts w:eastAsia="Calibri"/>
          <w:color w:val="000000" w:themeColor="text1"/>
          <w:kern w:val="0"/>
          <w14:ligatures w14:val="none"/>
        </w:rPr>
        <w:t>2013; Tauringana</w:t>
      </w:r>
      <w:r w:rsidR="009D561A" w:rsidRPr="00631DE0">
        <w:rPr>
          <w:rFonts w:eastAsia="Calibri"/>
          <w:color w:val="000000" w:themeColor="text1"/>
          <w:kern w:val="0"/>
          <w14:ligatures w14:val="none"/>
        </w:rPr>
        <w:t xml:space="preserve"> &amp; Chitambo, 2015</w:t>
      </w:r>
      <w:r w:rsidR="00EA35FB" w:rsidRPr="00631DE0">
        <w:rPr>
          <w:rFonts w:eastAsia="Calibri"/>
          <w:color w:val="000000" w:themeColor="text1"/>
          <w:kern w:val="0"/>
          <w14:ligatures w14:val="none"/>
        </w:rPr>
        <w:t>).</w:t>
      </w:r>
      <w:r w:rsidR="00EF1DA4" w:rsidRPr="00631DE0">
        <w:rPr>
          <w:rFonts w:eastAsia="Calibri"/>
          <w:color w:val="000000" w:themeColor="text1"/>
          <w:kern w:val="0"/>
          <w14:ligatures w14:val="none"/>
        </w:rPr>
        <w:t xml:space="preserve"> Therefore,</w:t>
      </w:r>
      <w:r w:rsidR="00EA35FB" w:rsidRPr="00631DE0">
        <w:rPr>
          <w:rFonts w:eastAsia="Calibri"/>
          <w:color w:val="000000" w:themeColor="text1"/>
          <w:kern w:val="0"/>
          <w14:ligatures w14:val="none"/>
        </w:rPr>
        <w:t xml:space="preserve"> </w:t>
      </w:r>
      <w:r w:rsidR="006C12F5">
        <w:rPr>
          <w:rFonts w:eastAsia="Calibri"/>
          <w:color w:val="000000" w:themeColor="text1"/>
          <w:kern w:val="0"/>
          <w14:ligatures w14:val="none"/>
        </w:rPr>
        <w:t xml:space="preserve">the </w:t>
      </w:r>
      <w:r w:rsidR="00EF1DA4" w:rsidRPr="00631DE0">
        <w:rPr>
          <w:rFonts w:eastAsia="Calibri"/>
          <w:color w:val="000000" w:themeColor="text1"/>
          <w:kern w:val="0"/>
          <w14:ligatures w14:val="none"/>
        </w:rPr>
        <w:t xml:space="preserve">literature notes this strategy </w:t>
      </w:r>
      <w:r w:rsidR="009D561A" w:rsidRPr="00631DE0">
        <w:rPr>
          <w:rFonts w:eastAsia="Calibri"/>
          <w:color w:val="000000" w:themeColor="text1"/>
          <w:kern w:val="0"/>
          <w14:ligatures w14:val="none"/>
        </w:rPr>
        <w:t>as part of</w:t>
      </w:r>
      <w:r w:rsidR="00EA35FB" w:rsidRPr="00631DE0">
        <w:rPr>
          <w:rFonts w:eastAsia="Calibri"/>
          <w:color w:val="000000" w:themeColor="text1"/>
          <w:kern w:val="0"/>
          <w14:ligatures w14:val="none"/>
        </w:rPr>
        <w:t xml:space="preserve"> seeking</w:t>
      </w:r>
      <w:r w:rsidR="009D561A" w:rsidRPr="00631DE0">
        <w:rPr>
          <w:rFonts w:eastAsia="Calibri"/>
          <w:color w:val="000000" w:themeColor="text1"/>
          <w:kern w:val="0"/>
          <w14:ligatures w14:val="none"/>
        </w:rPr>
        <w:t xml:space="preserve"> legitimacy (</w:t>
      </w:r>
      <w:r w:rsidR="00EA35FB" w:rsidRPr="00631DE0">
        <w:rPr>
          <w:rFonts w:eastAsia="Calibri"/>
          <w:color w:val="000000" w:themeColor="text1"/>
          <w:kern w:val="0"/>
          <w14:ligatures w14:val="none"/>
        </w:rPr>
        <w:t xml:space="preserve">Helfaye et al., 2019; Moussa et al., 2020). For example, Moussa et al (2022) report that UK firms prefer to disclose environmental targets as part of </w:t>
      </w:r>
      <w:r w:rsidR="00417118" w:rsidRPr="00631DE0">
        <w:rPr>
          <w:rFonts w:eastAsia="Calibri"/>
          <w:color w:val="000000" w:themeColor="text1"/>
          <w:kern w:val="0"/>
          <w14:ligatures w14:val="none"/>
        </w:rPr>
        <w:t>fulfilling</w:t>
      </w:r>
      <w:r w:rsidR="00623C80" w:rsidRPr="00631DE0">
        <w:rPr>
          <w:rFonts w:eastAsia="Calibri"/>
          <w:color w:val="000000" w:themeColor="text1"/>
          <w:kern w:val="0"/>
          <w14:ligatures w14:val="none"/>
        </w:rPr>
        <w:t xml:space="preserve"> their</w:t>
      </w:r>
      <w:r w:rsidR="00417118" w:rsidRPr="00631DE0">
        <w:rPr>
          <w:rFonts w:eastAsia="Calibri"/>
          <w:color w:val="000000" w:themeColor="text1"/>
          <w:kern w:val="0"/>
          <w14:ligatures w14:val="none"/>
        </w:rPr>
        <w:t xml:space="preserve"> </w:t>
      </w:r>
      <w:r w:rsidR="00EA35FB" w:rsidRPr="00631DE0">
        <w:rPr>
          <w:rFonts w:eastAsia="Calibri"/>
          <w:color w:val="000000" w:themeColor="text1"/>
          <w:kern w:val="0"/>
          <w14:ligatures w14:val="none"/>
        </w:rPr>
        <w:t xml:space="preserve">stakeholders’ expectations, as well as </w:t>
      </w:r>
      <w:r w:rsidR="00EF1DA4" w:rsidRPr="00631DE0">
        <w:rPr>
          <w:rFonts w:eastAsia="Calibri"/>
          <w:color w:val="000000" w:themeColor="text1"/>
          <w:kern w:val="0"/>
          <w14:ligatures w14:val="none"/>
        </w:rPr>
        <w:t>seeking the</w:t>
      </w:r>
      <w:r w:rsidR="00EA35FB" w:rsidRPr="00631DE0">
        <w:rPr>
          <w:rFonts w:eastAsia="Calibri"/>
          <w:color w:val="000000" w:themeColor="text1"/>
          <w:kern w:val="0"/>
          <w14:ligatures w14:val="none"/>
        </w:rPr>
        <w:t xml:space="preserve"> legitim</w:t>
      </w:r>
      <w:r w:rsidR="00EF1DA4" w:rsidRPr="00631DE0">
        <w:rPr>
          <w:rFonts w:eastAsia="Calibri"/>
          <w:color w:val="000000" w:themeColor="text1"/>
          <w:kern w:val="0"/>
          <w14:ligatures w14:val="none"/>
        </w:rPr>
        <w:t>acy</w:t>
      </w:r>
      <w:r w:rsidR="00EA35FB" w:rsidRPr="00631DE0">
        <w:rPr>
          <w:rFonts w:eastAsia="Calibri"/>
          <w:color w:val="000000" w:themeColor="text1"/>
          <w:kern w:val="0"/>
          <w14:ligatures w14:val="none"/>
        </w:rPr>
        <w:t>.</w:t>
      </w:r>
      <w:r w:rsidR="00EF1DA4" w:rsidRPr="00631DE0">
        <w:rPr>
          <w:rFonts w:eastAsia="Calibri"/>
          <w:color w:val="000000" w:themeColor="text1"/>
          <w:kern w:val="0"/>
          <w14:ligatures w14:val="none"/>
        </w:rPr>
        <w:t xml:space="preserve"> Accordingly,</w:t>
      </w:r>
      <w:r w:rsidR="004A3CE5" w:rsidRPr="00631DE0">
        <w:rPr>
          <w:rFonts w:eastAsia="Calibri"/>
          <w:color w:val="000000" w:themeColor="text1"/>
          <w:kern w:val="0"/>
          <w14:ligatures w14:val="none"/>
        </w:rPr>
        <w:t xml:space="preserve"> </w:t>
      </w:r>
      <w:r w:rsidR="00EF1DA4" w:rsidRPr="00631DE0">
        <w:rPr>
          <w:rFonts w:eastAsia="Calibri"/>
          <w:color w:val="000000" w:themeColor="text1"/>
          <w:kern w:val="0"/>
          <w14:ligatures w14:val="none"/>
        </w:rPr>
        <w:t>s</w:t>
      </w:r>
      <w:r w:rsidR="004A3CE5" w:rsidRPr="00631DE0">
        <w:rPr>
          <w:rFonts w:eastAsia="Calibri"/>
          <w:color w:val="000000" w:themeColor="text1"/>
          <w:kern w:val="0"/>
          <w14:ligatures w14:val="none"/>
        </w:rPr>
        <w:t>tudies argue that disclosure of firm environmental targets present proactive</w:t>
      </w:r>
      <w:r w:rsidR="00CC272E" w:rsidRPr="00631DE0">
        <w:rPr>
          <w:rFonts w:eastAsia="Calibri"/>
          <w:color w:val="000000" w:themeColor="text1"/>
          <w:kern w:val="0"/>
          <w14:ligatures w14:val="none"/>
        </w:rPr>
        <w:t xml:space="preserve"> measure</w:t>
      </w:r>
      <w:r w:rsidR="004A3CE5" w:rsidRPr="00631DE0">
        <w:rPr>
          <w:rFonts w:eastAsia="Calibri"/>
          <w:color w:val="000000" w:themeColor="text1"/>
          <w:kern w:val="0"/>
          <w14:ligatures w14:val="none"/>
        </w:rPr>
        <w:t xml:space="preserve"> rather than conventional reactive method (</w:t>
      </w:r>
      <w:r w:rsidR="00CC272E" w:rsidRPr="00631DE0">
        <w:rPr>
          <w:rFonts w:eastAsia="Calibri"/>
          <w:color w:val="000000" w:themeColor="text1"/>
          <w:kern w:val="0"/>
          <w14:ligatures w14:val="none"/>
        </w:rPr>
        <w:t>Maas, 2018</w:t>
      </w:r>
      <w:r w:rsidR="004A3CE5" w:rsidRPr="00631DE0">
        <w:rPr>
          <w:rFonts w:eastAsia="Calibri"/>
          <w:color w:val="000000" w:themeColor="text1"/>
          <w:kern w:val="0"/>
          <w14:ligatures w14:val="none"/>
        </w:rPr>
        <w:t>; Tadro &amp; Magnana, 2019).</w:t>
      </w:r>
      <w:r w:rsidR="00CC272E" w:rsidRPr="00631DE0">
        <w:rPr>
          <w:rFonts w:eastAsia="Calibri"/>
          <w:color w:val="000000" w:themeColor="text1"/>
          <w:kern w:val="0"/>
          <w14:ligatures w14:val="none"/>
        </w:rPr>
        <w:t xml:space="preserve"> As such</w:t>
      </w:r>
      <w:r w:rsidR="00EF1DA4" w:rsidRPr="00631DE0">
        <w:rPr>
          <w:rFonts w:eastAsia="Calibri"/>
          <w:color w:val="000000" w:themeColor="text1"/>
          <w:kern w:val="0"/>
          <w14:ligatures w14:val="none"/>
        </w:rPr>
        <w:t>,</w:t>
      </w:r>
      <w:r w:rsidR="004A3CE5" w:rsidRPr="00631DE0">
        <w:rPr>
          <w:rFonts w:eastAsia="Calibri"/>
          <w:color w:val="000000" w:themeColor="text1"/>
          <w:kern w:val="0"/>
          <w14:ligatures w14:val="none"/>
        </w:rPr>
        <w:t xml:space="preserve"> DEFRA (2013) </w:t>
      </w:r>
      <w:r w:rsidR="00EF1DA4" w:rsidRPr="00631DE0">
        <w:rPr>
          <w:rFonts w:eastAsia="Calibri"/>
          <w:color w:val="000000" w:themeColor="text1"/>
          <w:kern w:val="0"/>
          <w14:ligatures w14:val="none"/>
        </w:rPr>
        <w:t>asserts</w:t>
      </w:r>
      <w:r w:rsidR="004A3CE5" w:rsidRPr="00631DE0">
        <w:rPr>
          <w:rFonts w:eastAsia="Calibri"/>
          <w:color w:val="000000" w:themeColor="text1"/>
          <w:kern w:val="0"/>
          <w14:ligatures w14:val="none"/>
        </w:rPr>
        <w:t xml:space="preserve"> that environmental targets </w:t>
      </w:r>
      <w:r w:rsidR="00CC272E" w:rsidRPr="00631DE0">
        <w:rPr>
          <w:rFonts w:eastAsia="Calibri"/>
          <w:color w:val="000000" w:themeColor="text1"/>
          <w:kern w:val="0"/>
          <w14:ligatures w14:val="none"/>
        </w:rPr>
        <w:t>communicate</w:t>
      </w:r>
      <w:r w:rsidR="004A3CE5" w:rsidRPr="00631DE0">
        <w:rPr>
          <w:rFonts w:eastAsia="Calibri"/>
          <w:color w:val="000000" w:themeColor="text1"/>
          <w:kern w:val="0"/>
          <w14:ligatures w14:val="none"/>
        </w:rPr>
        <w:t xml:space="preserve"> environmental </w:t>
      </w:r>
      <w:r w:rsidR="00CC272E" w:rsidRPr="00631DE0">
        <w:rPr>
          <w:rFonts w:eastAsia="Calibri"/>
          <w:color w:val="000000" w:themeColor="text1"/>
          <w:kern w:val="0"/>
          <w14:ligatures w14:val="none"/>
        </w:rPr>
        <w:t xml:space="preserve">risks </w:t>
      </w:r>
      <w:r w:rsidR="004A3CE5" w:rsidRPr="00631DE0">
        <w:rPr>
          <w:rFonts w:eastAsia="Calibri"/>
          <w:color w:val="000000" w:themeColor="text1"/>
          <w:kern w:val="0"/>
          <w14:ligatures w14:val="none"/>
        </w:rPr>
        <w:t xml:space="preserve">to stakeholders. </w:t>
      </w:r>
      <w:r w:rsidR="00417118" w:rsidRPr="00631DE0">
        <w:rPr>
          <w:rFonts w:eastAsia="Calibri"/>
          <w:color w:val="000000" w:themeColor="text1"/>
          <w:kern w:val="0"/>
          <w14:ligatures w14:val="none"/>
        </w:rPr>
        <w:t xml:space="preserve"> </w:t>
      </w:r>
    </w:p>
    <w:p w14:paraId="2254C4EC" w14:textId="266D1404" w:rsidR="004C707B" w:rsidRPr="00631DE0" w:rsidRDefault="00623C80" w:rsidP="004C707B">
      <w:pPr>
        <w:pStyle w:val="NormalWeb"/>
        <w:spacing w:after="120" w:line="360" w:lineRule="auto"/>
        <w:rPr>
          <w:rFonts w:eastAsia="Calibri"/>
          <w:color w:val="000000" w:themeColor="text1"/>
          <w:kern w:val="0"/>
          <w14:ligatures w14:val="none"/>
        </w:rPr>
      </w:pPr>
      <w:r w:rsidRPr="00631DE0">
        <w:rPr>
          <w:rFonts w:eastAsia="Calibri"/>
          <w:color w:val="000000" w:themeColor="text1"/>
          <w:kern w:val="0"/>
          <w14:ligatures w14:val="none"/>
        </w:rPr>
        <w:t xml:space="preserve">Besides, research </w:t>
      </w:r>
      <w:r w:rsidR="00D92805">
        <w:rPr>
          <w:rFonts w:eastAsia="Calibri"/>
          <w:color w:val="000000" w:themeColor="text1"/>
          <w:kern w:val="0"/>
          <w14:ligatures w14:val="none"/>
        </w:rPr>
        <w:t>suggests</w:t>
      </w:r>
      <w:r w:rsidR="00D92805" w:rsidRPr="00631DE0">
        <w:rPr>
          <w:rFonts w:eastAsia="Calibri"/>
          <w:color w:val="000000" w:themeColor="text1"/>
          <w:kern w:val="0"/>
          <w14:ligatures w14:val="none"/>
        </w:rPr>
        <w:t xml:space="preserve"> </w:t>
      </w:r>
      <w:r w:rsidRPr="00631DE0">
        <w:rPr>
          <w:rFonts w:eastAsia="Calibri"/>
          <w:color w:val="000000" w:themeColor="text1"/>
          <w:kern w:val="0"/>
          <w14:ligatures w14:val="none"/>
        </w:rPr>
        <w:t>that corporate dynamics are defined by social norms, beliefs and symbols</w:t>
      </w:r>
      <w:r w:rsidR="00D92805">
        <w:rPr>
          <w:rFonts w:eastAsia="Calibri"/>
          <w:color w:val="000000" w:themeColor="text1"/>
          <w:kern w:val="0"/>
          <w14:ligatures w14:val="none"/>
        </w:rPr>
        <w:t>, which</w:t>
      </w:r>
      <w:r w:rsidRPr="00631DE0">
        <w:rPr>
          <w:rFonts w:eastAsia="Calibri"/>
          <w:color w:val="000000" w:themeColor="text1"/>
          <w:kern w:val="0"/>
          <w14:ligatures w14:val="none"/>
        </w:rPr>
        <w:t xml:space="preserve"> that firm</w:t>
      </w:r>
      <w:r w:rsidR="00D92805">
        <w:rPr>
          <w:rFonts w:eastAsia="Calibri"/>
          <w:color w:val="000000" w:themeColor="text1"/>
          <w:kern w:val="0"/>
          <w14:ligatures w14:val="none"/>
        </w:rPr>
        <w:t>s</w:t>
      </w:r>
      <w:r w:rsidRPr="00631DE0">
        <w:rPr>
          <w:rFonts w:eastAsia="Calibri"/>
          <w:color w:val="000000" w:themeColor="text1"/>
          <w:kern w:val="0"/>
          <w14:ligatures w14:val="none"/>
        </w:rPr>
        <w:t xml:space="preserve"> </w:t>
      </w:r>
      <w:r w:rsidR="00D92805">
        <w:rPr>
          <w:rFonts w:eastAsia="Calibri"/>
          <w:color w:val="000000" w:themeColor="text1"/>
          <w:kern w:val="0"/>
          <w14:ligatures w14:val="none"/>
        </w:rPr>
        <w:t>are</w:t>
      </w:r>
      <w:r w:rsidRPr="00631DE0">
        <w:rPr>
          <w:rFonts w:eastAsia="Calibri"/>
          <w:color w:val="000000" w:themeColor="text1"/>
          <w:kern w:val="0"/>
          <w14:ligatures w14:val="none"/>
        </w:rPr>
        <w:t xml:space="preserve"> expected to conform to in pursuit of survival (Dimaggio &amp; Powell, 1983; Meyer &amp; Rowan, 1977). In line with this, firms have </w:t>
      </w:r>
      <w:r w:rsidR="004C707B" w:rsidRPr="00631DE0">
        <w:rPr>
          <w:rFonts w:eastAsia="Calibri"/>
          <w:color w:val="000000" w:themeColor="text1"/>
          <w:kern w:val="0"/>
          <w14:ligatures w14:val="none"/>
        </w:rPr>
        <w:t xml:space="preserve">adopted environmental policies/targets </w:t>
      </w:r>
      <w:r w:rsidR="007337F0" w:rsidRPr="00631DE0">
        <w:rPr>
          <w:rFonts w:eastAsia="Calibri"/>
          <w:color w:val="000000" w:themeColor="text1"/>
          <w:kern w:val="0"/>
          <w14:ligatures w14:val="none"/>
        </w:rPr>
        <w:t>in order to</w:t>
      </w:r>
      <w:r w:rsidR="004C707B" w:rsidRPr="00631DE0">
        <w:rPr>
          <w:rFonts w:eastAsia="Calibri"/>
          <w:color w:val="000000" w:themeColor="text1"/>
          <w:kern w:val="0"/>
          <w14:ligatures w14:val="none"/>
        </w:rPr>
        <w:t xml:space="preserve"> mainstream environmental operations</w:t>
      </w:r>
      <w:r w:rsidR="004A3CE5" w:rsidRPr="00631DE0">
        <w:rPr>
          <w:rFonts w:eastAsia="Calibri"/>
          <w:color w:val="000000" w:themeColor="text1"/>
          <w:kern w:val="0"/>
          <w14:ligatures w14:val="none"/>
        </w:rPr>
        <w:t xml:space="preserve"> (Ding </w:t>
      </w:r>
      <w:r w:rsidR="004A3CE5" w:rsidRPr="00631DE0">
        <w:rPr>
          <w:rFonts w:eastAsia="Calibri"/>
          <w:i/>
          <w:iCs/>
          <w:color w:val="000000" w:themeColor="text1"/>
          <w:kern w:val="0"/>
          <w14:ligatures w14:val="none"/>
        </w:rPr>
        <w:t>et al</w:t>
      </w:r>
      <w:r w:rsidR="004A3CE5" w:rsidRPr="00631DE0">
        <w:rPr>
          <w:rFonts w:eastAsia="Calibri"/>
          <w:color w:val="000000" w:themeColor="text1"/>
          <w:kern w:val="0"/>
          <w14:ligatures w14:val="none"/>
        </w:rPr>
        <w:t xml:space="preserve">., 2022; Li </w:t>
      </w:r>
      <w:r w:rsidR="004A3CE5" w:rsidRPr="00631DE0">
        <w:rPr>
          <w:rFonts w:eastAsia="Calibri"/>
          <w:i/>
          <w:iCs/>
          <w:color w:val="000000" w:themeColor="text1"/>
          <w:kern w:val="0"/>
          <w14:ligatures w14:val="none"/>
        </w:rPr>
        <w:t>et al</w:t>
      </w:r>
      <w:r w:rsidR="004A3CE5" w:rsidRPr="00631DE0">
        <w:rPr>
          <w:rFonts w:eastAsia="Calibri"/>
          <w:color w:val="000000" w:themeColor="text1"/>
          <w:kern w:val="0"/>
          <w14:ligatures w14:val="none"/>
        </w:rPr>
        <w:t xml:space="preserve">., 2018). </w:t>
      </w:r>
      <w:r w:rsidR="004C707B" w:rsidRPr="00631DE0">
        <w:rPr>
          <w:rFonts w:eastAsia="Calibri"/>
          <w:color w:val="000000" w:themeColor="text1"/>
          <w:kern w:val="0"/>
          <w14:ligatures w14:val="none"/>
        </w:rPr>
        <w:t xml:space="preserve"> For example, UK environmental commitments </w:t>
      </w:r>
      <w:r w:rsidR="007337F0" w:rsidRPr="00631DE0">
        <w:rPr>
          <w:rFonts w:eastAsia="Calibri"/>
          <w:color w:val="000000" w:themeColor="text1"/>
          <w:kern w:val="0"/>
          <w14:ligatures w14:val="none"/>
        </w:rPr>
        <w:t xml:space="preserve">such as Carbon zero by 2050 requires </w:t>
      </w:r>
      <w:r w:rsidR="007337F0" w:rsidRPr="00631DE0">
        <w:rPr>
          <w:rFonts w:eastAsia="Calibri"/>
          <w:color w:val="000000" w:themeColor="text1"/>
          <w:kern w:val="0"/>
          <w14:ligatures w14:val="none"/>
        </w:rPr>
        <w:lastRenderedPageBreak/>
        <w:t xml:space="preserve">UK NGOs to set up similar commitments. Equally, some of UK environmental regulations mandates UK NGOs to enhance their environmental operational activities. Thus, such pressure may act as </w:t>
      </w:r>
      <w:r w:rsidR="00BA0AB8">
        <w:rPr>
          <w:rFonts w:eastAsia="Calibri"/>
          <w:color w:val="000000" w:themeColor="text1"/>
          <w:kern w:val="0"/>
          <w14:ligatures w14:val="none"/>
        </w:rPr>
        <w:t xml:space="preserve">an </w:t>
      </w:r>
      <w:r w:rsidR="007337F0" w:rsidRPr="00631DE0">
        <w:rPr>
          <w:rFonts w:eastAsia="Calibri"/>
          <w:color w:val="000000" w:themeColor="text1"/>
          <w:kern w:val="0"/>
          <w14:ligatures w14:val="none"/>
        </w:rPr>
        <w:t>incentive to NGOs to improve environmental disclosure related to target/policies and operational activities over the passage of time.</w:t>
      </w:r>
      <w:r w:rsidR="002057FC" w:rsidRPr="00631DE0">
        <w:rPr>
          <w:rFonts w:eastAsia="Calibri"/>
          <w:color w:val="000000" w:themeColor="text1"/>
          <w:kern w:val="0"/>
          <w14:ligatures w14:val="none"/>
        </w:rPr>
        <w:t xml:space="preserve"> </w:t>
      </w:r>
    </w:p>
    <w:p w14:paraId="039AFBAD" w14:textId="6900CB8E" w:rsidR="00917CE6" w:rsidRPr="00631DE0" w:rsidRDefault="002057FC" w:rsidP="005E7BCA">
      <w:pPr>
        <w:pStyle w:val="NormalWeb"/>
        <w:spacing w:after="120" w:line="360" w:lineRule="auto"/>
        <w:rPr>
          <w:rFonts w:eastAsia="Calibri"/>
          <w:color w:val="000000" w:themeColor="text1"/>
          <w:kern w:val="0"/>
          <w14:ligatures w14:val="none"/>
        </w:rPr>
      </w:pPr>
      <w:r w:rsidRPr="00631DE0">
        <w:rPr>
          <w:rFonts w:eastAsia="Calibri"/>
          <w:color w:val="000000" w:themeColor="text1"/>
          <w:kern w:val="0"/>
          <w14:ligatures w14:val="none"/>
        </w:rPr>
        <w:t>In the same vein, environmental targets/policies may provide motivation for firms to improve their environmental operational activities (Inman &amp; Green, 2018; Li et al., 2018). Particularly, Lee (2013)</w:t>
      </w:r>
      <w:r w:rsidR="00595918" w:rsidRPr="00631DE0">
        <w:rPr>
          <w:rFonts w:eastAsia="Calibri"/>
          <w:color w:val="000000" w:themeColor="text1"/>
          <w:kern w:val="0"/>
          <w14:ligatures w14:val="none"/>
        </w:rPr>
        <w:t xml:space="preserve"> </w:t>
      </w:r>
      <w:r w:rsidRPr="00631DE0">
        <w:rPr>
          <w:rFonts w:eastAsia="Calibri"/>
          <w:color w:val="000000" w:themeColor="text1"/>
          <w:kern w:val="0"/>
          <w14:ligatures w14:val="none"/>
        </w:rPr>
        <w:t>repor</w:t>
      </w:r>
      <w:r w:rsidR="00595918" w:rsidRPr="00631DE0">
        <w:rPr>
          <w:rFonts w:eastAsia="Calibri"/>
          <w:color w:val="000000" w:themeColor="text1"/>
          <w:kern w:val="0"/>
          <w14:ligatures w14:val="none"/>
        </w:rPr>
        <w:t>t that US firms</w:t>
      </w:r>
      <w:r w:rsidRPr="00631DE0">
        <w:rPr>
          <w:rFonts w:eastAsia="Calibri"/>
          <w:color w:val="000000" w:themeColor="text1"/>
          <w:kern w:val="0"/>
          <w14:ligatures w14:val="none"/>
        </w:rPr>
        <w:t xml:space="preserve"> </w:t>
      </w:r>
      <w:r w:rsidR="00BA0AB8">
        <w:rPr>
          <w:rFonts w:eastAsia="Calibri"/>
          <w:color w:val="000000" w:themeColor="text1"/>
          <w:kern w:val="0"/>
          <w14:ligatures w14:val="none"/>
        </w:rPr>
        <w:t>which</w:t>
      </w:r>
      <w:r w:rsidR="00595918" w:rsidRPr="00631DE0">
        <w:rPr>
          <w:rFonts w:eastAsia="Calibri"/>
          <w:color w:val="000000" w:themeColor="text1"/>
          <w:kern w:val="0"/>
          <w14:ligatures w14:val="none"/>
        </w:rPr>
        <w:t xml:space="preserve"> us</w:t>
      </w:r>
      <w:r w:rsidR="00BA0AB8">
        <w:rPr>
          <w:rFonts w:eastAsia="Calibri"/>
          <w:color w:val="000000" w:themeColor="text1"/>
          <w:kern w:val="0"/>
          <w14:ligatures w14:val="none"/>
        </w:rPr>
        <w:t>e</w:t>
      </w:r>
      <w:r w:rsidRPr="00631DE0">
        <w:rPr>
          <w:rFonts w:eastAsia="Calibri"/>
          <w:color w:val="000000" w:themeColor="text1"/>
          <w:kern w:val="0"/>
          <w14:ligatures w14:val="none"/>
        </w:rPr>
        <w:t xml:space="preserve"> green supply chain policy</w:t>
      </w:r>
      <w:r w:rsidR="00595918" w:rsidRPr="00631DE0">
        <w:rPr>
          <w:rFonts w:eastAsia="Calibri"/>
          <w:color w:val="000000" w:themeColor="text1"/>
          <w:kern w:val="0"/>
          <w14:ligatures w14:val="none"/>
        </w:rPr>
        <w:t>,</w:t>
      </w:r>
      <w:r w:rsidRPr="00631DE0">
        <w:rPr>
          <w:rFonts w:eastAsia="Calibri"/>
          <w:color w:val="000000" w:themeColor="text1"/>
          <w:kern w:val="0"/>
          <w14:ligatures w14:val="none"/>
        </w:rPr>
        <w:t xml:space="preserve"> increase </w:t>
      </w:r>
      <w:r w:rsidR="00595918" w:rsidRPr="00631DE0">
        <w:rPr>
          <w:rFonts w:eastAsia="Calibri"/>
          <w:color w:val="000000" w:themeColor="text1"/>
          <w:kern w:val="0"/>
          <w14:ligatures w14:val="none"/>
        </w:rPr>
        <w:t>their</w:t>
      </w:r>
      <w:r w:rsidRPr="00631DE0">
        <w:rPr>
          <w:rFonts w:eastAsia="Calibri"/>
          <w:color w:val="000000" w:themeColor="text1"/>
          <w:kern w:val="0"/>
          <w14:ligatures w14:val="none"/>
        </w:rPr>
        <w:t xml:space="preserve"> </w:t>
      </w:r>
      <w:bookmarkStart w:id="7" w:name="_Hlk210506169"/>
      <w:r w:rsidRPr="00631DE0">
        <w:rPr>
          <w:rFonts w:eastAsia="Calibri"/>
          <w:color w:val="000000" w:themeColor="text1"/>
          <w:kern w:val="0"/>
          <w14:ligatures w14:val="none"/>
        </w:rPr>
        <w:t>environmental operational activities</w:t>
      </w:r>
      <w:bookmarkEnd w:id="7"/>
      <w:r w:rsidRPr="00631DE0">
        <w:rPr>
          <w:rFonts w:eastAsia="Calibri"/>
          <w:color w:val="000000" w:themeColor="text1"/>
          <w:kern w:val="0"/>
          <w14:ligatures w14:val="none"/>
        </w:rPr>
        <w:t>.</w:t>
      </w:r>
      <w:r w:rsidR="00595918" w:rsidRPr="00631DE0">
        <w:rPr>
          <w:rFonts w:eastAsia="Calibri"/>
          <w:color w:val="000000" w:themeColor="text1"/>
          <w:kern w:val="0"/>
          <w14:ligatures w14:val="none"/>
        </w:rPr>
        <w:t xml:space="preserve"> Also, Yu </w:t>
      </w:r>
      <w:r w:rsidR="00595918" w:rsidRPr="00631DE0">
        <w:rPr>
          <w:rFonts w:eastAsia="Calibri"/>
          <w:i/>
          <w:iCs/>
          <w:color w:val="000000" w:themeColor="text1"/>
          <w:kern w:val="0"/>
          <w14:ligatures w14:val="none"/>
        </w:rPr>
        <w:t>et al</w:t>
      </w:r>
      <w:r w:rsidR="00595918" w:rsidRPr="00631DE0">
        <w:rPr>
          <w:rFonts w:eastAsia="Calibri"/>
          <w:color w:val="000000" w:themeColor="text1"/>
          <w:kern w:val="0"/>
          <w14:ligatures w14:val="none"/>
        </w:rPr>
        <w:t xml:space="preserve"> (2014) document using China firms</w:t>
      </w:r>
      <w:r w:rsidR="00BA0AB8">
        <w:rPr>
          <w:rFonts w:eastAsia="Calibri"/>
          <w:color w:val="000000" w:themeColor="text1"/>
          <w:kern w:val="0"/>
          <w14:ligatures w14:val="none"/>
        </w:rPr>
        <w:t>,</w:t>
      </w:r>
      <w:r w:rsidR="00595918" w:rsidRPr="00631DE0">
        <w:rPr>
          <w:rFonts w:eastAsia="Calibri"/>
          <w:color w:val="000000" w:themeColor="text1"/>
          <w:kern w:val="0"/>
          <w14:ligatures w14:val="none"/>
        </w:rPr>
        <w:t xml:space="preserve"> that </w:t>
      </w:r>
      <w:bookmarkStart w:id="8" w:name="_Hlk210506285"/>
      <w:r w:rsidR="00595918" w:rsidRPr="00631DE0">
        <w:rPr>
          <w:rFonts w:eastAsia="Calibri"/>
          <w:color w:val="000000" w:themeColor="text1"/>
          <w:kern w:val="0"/>
          <w14:ligatures w14:val="none"/>
        </w:rPr>
        <w:t xml:space="preserve">green supply chain practice </w:t>
      </w:r>
      <w:bookmarkEnd w:id="8"/>
      <w:r w:rsidR="00595918" w:rsidRPr="00631DE0">
        <w:rPr>
          <w:rFonts w:eastAsia="Calibri"/>
          <w:color w:val="000000" w:themeColor="text1"/>
          <w:kern w:val="0"/>
          <w14:ligatures w14:val="none"/>
        </w:rPr>
        <w:t>enhances environmental operational activities. Furthermore, Lee (2013) finds that Korean firms that use green supply chain practice as part of their policy, enhance their environmental operational activities.</w:t>
      </w:r>
      <w:bookmarkStart w:id="9" w:name="_Hlk201496893"/>
      <w:r w:rsidR="00595918" w:rsidRPr="00631DE0">
        <w:rPr>
          <w:rFonts w:eastAsia="Calibri"/>
          <w:color w:val="000000" w:themeColor="text1"/>
          <w:kern w:val="0"/>
          <w14:ligatures w14:val="none"/>
        </w:rPr>
        <w:t xml:space="preserve"> </w:t>
      </w:r>
      <w:r w:rsidR="005E7BCA" w:rsidRPr="00631DE0">
        <w:rPr>
          <w:rFonts w:eastAsia="Calibri"/>
          <w:color w:val="000000" w:themeColor="text1"/>
          <w:kern w:val="0"/>
          <w14:ligatures w14:val="none"/>
        </w:rPr>
        <w:t>Drawing from</w:t>
      </w:r>
      <w:r w:rsidR="00595918" w:rsidRPr="00631DE0">
        <w:rPr>
          <w:rFonts w:eastAsia="Calibri"/>
          <w:color w:val="000000" w:themeColor="text1"/>
          <w:kern w:val="0"/>
          <w14:ligatures w14:val="none"/>
        </w:rPr>
        <w:t xml:space="preserve"> th</w:t>
      </w:r>
      <w:r w:rsidR="00A51D3B">
        <w:rPr>
          <w:rFonts w:eastAsia="Calibri"/>
          <w:color w:val="000000" w:themeColor="text1"/>
          <w:kern w:val="0"/>
          <w14:ligatures w14:val="none"/>
        </w:rPr>
        <w:t xml:space="preserve">is evidence </w:t>
      </w:r>
      <w:bookmarkEnd w:id="9"/>
      <w:r w:rsidR="005E7BCA" w:rsidRPr="00631DE0">
        <w:rPr>
          <w:rFonts w:eastAsia="Calibri"/>
          <w:color w:val="000000" w:themeColor="text1"/>
          <w:kern w:val="0"/>
          <w14:ligatures w14:val="none"/>
        </w:rPr>
        <w:t>,</w:t>
      </w:r>
      <w:r w:rsidR="00395256" w:rsidRPr="00631DE0">
        <w:rPr>
          <w:rFonts w:eastAsia="Calibri"/>
          <w:color w:val="000000" w:themeColor="text1"/>
          <w:kern w:val="0"/>
          <w14:ligatures w14:val="none"/>
        </w:rPr>
        <w:t xml:space="preserve"> we are interested in understanding the extent to which there can be </w:t>
      </w:r>
      <w:r w:rsidR="00A51D3B">
        <w:rPr>
          <w:rFonts w:eastAsia="Calibri"/>
          <w:color w:val="000000" w:themeColor="text1"/>
          <w:kern w:val="0"/>
          <w14:ligatures w14:val="none"/>
        </w:rPr>
        <w:t xml:space="preserve">an </w:t>
      </w:r>
      <w:r w:rsidR="00395256" w:rsidRPr="00631DE0">
        <w:rPr>
          <w:rFonts w:eastAsia="Calibri"/>
          <w:color w:val="000000" w:themeColor="text1"/>
          <w:kern w:val="0"/>
          <w14:ligatures w14:val="none"/>
        </w:rPr>
        <w:t>association between environmental operational activities (OA)</w:t>
      </w:r>
      <w:r w:rsidR="005711EB">
        <w:rPr>
          <w:rFonts w:eastAsia="Calibri"/>
          <w:color w:val="000000" w:themeColor="text1"/>
          <w:kern w:val="0"/>
          <w14:ligatures w14:val="none"/>
        </w:rPr>
        <w:t xml:space="preserve"> and </w:t>
      </w:r>
      <w:r w:rsidR="00395256" w:rsidRPr="00631DE0">
        <w:rPr>
          <w:rFonts w:eastAsia="Calibri"/>
          <w:color w:val="000000" w:themeColor="text1"/>
          <w:kern w:val="0"/>
          <w14:ligatures w14:val="none"/>
        </w:rPr>
        <w:t xml:space="preserve"> with</w:t>
      </w:r>
      <w:r w:rsidR="005E7BCA" w:rsidRPr="00631DE0">
        <w:rPr>
          <w:rFonts w:eastAsia="Calibri"/>
          <w:color w:val="000000" w:themeColor="text1"/>
          <w:kern w:val="0"/>
          <w14:ligatures w14:val="none"/>
        </w:rPr>
        <w:t xml:space="preserve"> policy/ target (P/T)</w:t>
      </w:r>
      <w:r w:rsidR="00395256" w:rsidRPr="00631DE0">
        <w:rPr>
          <w:rFonts w:eastAsia="Calibri"/>
          <w:color w:val="000000" w:themeColor="text1"/>
          <w:kern w:val="0"/>
          <w14:ligatures w14:val="none"/>
        </w:rPr>
        <w:t>. W</w:t>
      </w:r>
      <w:r w:rsidR="00D30DFE" w:rsidRPr="00631DE0">
        <w:rPr>
          <w:rFonts w:eastAsia="Calibri"/>
          <w:color w:val="000000" w:themeColor="text1"/>
          <w:kern w:val="0"/>
          <w14:ligatures w14:val="none"/>
        </w:rPr>
        <w:t>e conclude that environmental policies/targets</w:t>
      </w:r>
      <w:r w:rsidR="00924B31" w:rsidRPr="00631DE0">
        <w:rPr>
          <w:rFonts w:eastAsia="Calibri"/>
          <w:color w:val="000000" w:themeColor="text1"/>
          <w:kern w:val="0"/>
          <w14:ligatures w14:val="none"/>
        </w:rPr>
        <w:t xml:space="preserve"> (P/T)</w:t>
      </w:r>
      <w:r w:rsidR="00057E1F" w:rsidRPr="00631DE0">
        <w:rPr>
          <w:rFonts w:eastAsia="Calibri"/>
          <w:color w:val="000000" w:themeColor="text1"/>
          <w:kern w:val="0"/>
          <w14:ligatures w14:val="none"/>
        </w:rPr>
        <w:t xml:space="preserve"> may</w:t>
      </w:r>
      <w:r w:rsidR="00D30DFE" w:rsidRPr="00631DE0">
        <w:rPr>
          <w:rFonts w:eastAsia="Calibri"/>
          <w:color w:val="000000" w:themeColor="text1"/>
          <w:kern w:val="0"/>
          <w14:ligatures w14:val="none"/>
        </w:rPr>
        <w:t xml:space="preserve"> serve as an incentive</w:t>
      </w:r>
      <w:r w:rsidR="005711EB">
        <w:rPr>
          <w:rFonts w:eastAsia="Calibri"/>
          <w:color w:val="000000" w:themeColor="text1"/>
          <w:kern w:val="0"/>
          <w14:ligatures w14:val="none"/>
        </w:rPr>
        <w:t>,</w:t>
      </w:r>
      <w:r w:rsidR="00D30DFE" w:rsidRPr="00631DE0">
        <w:rPr>
          <w:rFonts w:eastAsia="Calibri"/>
          <w:color w:val="000000" w:themeColor="text1"/>
          <w:kern w:val="0"/>
          <w14:ligatures w14:val="none"/>
        </w:rPr>
        <w:t xml:space="preserve"> or pressure for</w:t>
      </w:r>
      <w:r w:rsidR="005E7BCA" w:rsidRPr="00631DE0">
        <w:rPr>
          <w:rFonts w:eastAsia="Calibri"/>
          <w:color w:val="000000" w:themeColor="text1"/>
          <w:kern w:val="0"/>
          <w14:ligatures w14:val="none"/>
        </w:rPr>
        <w:t xml:space="preserve"> the</w:t>
      </w:r>
      <w:r w:rsidR="00D30DFE" w:rsidRPr="00631DE0">
        <w:rPr>
          <w:rFonts w:eastAsia="Calibri"/>
          <w:color w:val="000000" w:themeColor="text1"/>
          <w:kern w:val="0"/>
          <w14:ligatures w14:val="none"/>
        </w:rPr>
        <w:t xml:space="preserve"> NGO</w:t>
      </w:r>
      <w:r w:rsidR="00696700">
        <w:rPr>
          <w:rFonts w:eastAsia="Calibri"/>
          <w:color w:val="000000" w:themeColor="text1"/>
          <w:kern w:val="0"/>
          <w14:ligatures w14:val="none"/>
        </w:rPr>
        <w:t>’</w:t>
      </w:r>
      <w:r w:rsidR="00D30DFE" w:rsidRPr="00631DE0">
        <w:rPr>
          <w:rFonts w:eastAsia="Calibri"/>
          <w:color w:val="000000" w:themeColor="text1"/>
          <w:kern w:val="0"/>
          <w14:ligatures w14:val="none"/>
        </w:rPr>
        <w:t>s</w:t>
      </w:r>
      <w:r w:rsidR="00F97851" w:rsidRPr="00631DE0">
        <w:rPr>
          <w:rFonts w:eastAsia="Calibri"/>
          <w:color w:val="000000" w:themeColor="text1"/>
          <w:kern w:val="0"/>
          <w14:ligatures w14:val="none"/>
        </w:rPr>
        <w:t xml:space="preserve"> managements</w:t>
      </w:r>
      <w:r w:rsidR="00D30DFE" w:rsidRPr="00631DE0">
        <w:rPr>
          <w:rFonts w:eastAsia="Calibri"/>
          <w:color w:val="000000" w:themeColor="text1"/>
          <w:kern w:val="0"/>
          <w14:ligatures w14:val="none"/>
        </w:rPr>
        <w:t xml:space="preserve"> to imp</w:t>
      </w:r>
      <w:r w:rsidR="00057E1F" w:rsidRPr="00631DE0">
        <w:rPr>
          <w:rFonts w:eastAsia="Calibri"/>
          <w:color w:val="000000" w:themeColor="text1"/>
          <w:kern w:val="0"/>
          <w14:ligatures w14:val="none"/>
        </w:rPr>
        <w:t>rove</w:t>
      </w:r>
      <w:r w:rsidR="00D30DFE" w:rsidRPr="00631DE0">
        <w:rPr>
          <w:rFonts w:eastAsia="Calibri"/>
          <w:color w:val="000000" w:themeColor="text1"/>
          <w:kern w:val="0"/>
          <w14:ligatures w14:val="none"/>
        </w:rPr>
        <w:t xml:space="preserve"> environmental operational </w:t>
      </w:r>
      <w:r w:rsidR="00F97851" w:rsidRPr="00631DE0">
        <w:rPr>
          <w:rFonts w:eastAsia="Calibri"/>
          <w:color w:val="000000" w:themeColor="text1"/>
          <w:kern w:val="0"/>
          <w14:ligatures w14:val="none"/>
        </w:rPr>
        <w:t>practices</w:t>
      </w:r>
      <w:r w:rsidR="00395256" w:rsidRPr="00631DE0">
        <w:rPr>
          <w:rFonts w:eastAsia="Calibri"/>
          <w:color w:val="000000" w:themeColor="text1"/>
          <w:kern w:val="0"/>
          <w14:ligatures w14:val="none"/>
        </w:rPr>
        <w:t>.</w:t>
      </w:r>
      <w:r w:rsidR="00F97851" w:rsidRPr="00631DE0">
        <w:rPr>
          <w:rFonts w:eastAsia="Calibri"/>
          <w:color w:val="000000" w:themeColor="text1"/>
          <w:kern w:val="0"/>
          <w14:ligatures w14:val="none"/>
        </w:rPr>
        <w:t xml:space="preserve"> </w:t>
      </w:r>
      <w:r w:rsidR="00D30DFE" w:rsidRPr="00631DE0">
        <w:rPr>
          <w:rFonts w:eastAsia="Calibri"/>
          <w:color w:val="000000" w:themeColor="text1"/>
          <w:kern w:val="0"/>
          <w14:ligatures w14:val="none"/>
        </w:rPr>
        <w:t>This will result an increase of environmental operational activities</w:t>
      </w:r>
      <w:r w:rsidR="00057E1F" w:rsidRPr="00631DE0">
        <w:rPr>
          <w:rFonts w:eastAsia="Calibri"/>
          <w:color w:val="000000" w:themeColor="text1"/>
          <w:kern w:val="0"/>
          <w14:ligatures w14:val="none"/>
        </w:rPr>
        <w:t xml:space="preserve"> (OA)</w:t>
      </w:r>
      <w:r w:rsidR="00D30DFE" w:rsidRPr="00631DE0">
        <w:rPr>
          <w:rFonts w:eastAsia="Calibri"/>
          <w:color w:val="000000" w:themeColor="text1"/>
          <w:kern w:val="0"/>
          <w14:ligatures w14:val="none"/>
        </w:rPr>
        <w:t xml:space="preserve"> disclosure overtime, relative to policies and targets</w:t>
      </w:r>
      <w:r w:rsidR="00057E1F" w:rsidRPr="00631DE0">
        <w:rPr>
          <w:rFonts w:eastAsia="Calibri"/>
          <w:color w:val="000000" w:themeColor="text1"/>
          <w:kern w:val="0"/>
          <w14:ligatures w14:val="none"/>
        </w:rPr>
        <w:t xml:space="preserve"> (P/T)</w:t>
      </w:r>
      <w:r w:rsidR="00D30DFE" w:rsidRPr="00631DE0">
        <w:rPr>
          <w:rFonts w:eastAsia="Calibri"/>
          <w:color w:val="000000" w:themeColor="text1"/>
          <w:kern w:val="0"/>
          <w14:ligatures w14:val="none"/>
        </w:rPr>
        <w:t xml:space="preserve">. </w:t>
      </w:r>
      <w:r w:rsidR="00605E1C" w:rsidRPr="00631DE0">
        <w:rPr>
          <w:rFonts w:eastAsia="Calibri"/>
          <w:color w:val="000000" w:themeColor="text1"/>
          <w:kern w:val="0"/>
          <w14:ligatures w14:val="none"/>
        </w:rPr>
        <w:t>Based on the above</w:t>
      </w:r>
      <w:r w:rsidR="00D30DFE" w:rsidRPr="00631DE0">
        <w:rPr>
          <w:rFonts w:eastAsia="Calibri"/>
          <w:color w:val="000000" w:themeColor="text1"/>
          <w:kern w:val="0"/>
          <w14:ligatures w14:val="none"/>
        </w:rPr>
        <w:t>, we posit the following hypothesis</w:t>
      </w:r>
      <w:r w:rsidR="00702BD8" w:rsidRPr="00631DE0">
        <w:rPr>
          <w:rFonts w:eastAsia="Calibri"/>
          <w:color w:val="000000" w:themeColor="text1"/>
          <w:kern w:val="0"/>
          <w14:ligatures w14:val="none"/>
        </w:rPr>
        <w:t>:</w:t>
      </w:r>
    </w:p>
    <w:p w14:paraId="3A96F69F" w14:textId="56037F99" w:rsidR="00312AC5" w:rsidRDefault="008C1C6A" w:rsidP="000251D6">
      <w:pPr>
        <w:pStyle w:val="NormalWeb"/>
        <w:spacing w:after="240" w:line="360" w:lineRule="auto"/>
        <w:ind w:left="454" w:hanging="454"/>
        <w:rPr>
          <w:rFonts w:eastAsia="Calibri"/>
          <w:color w:val="000000" w:themeColor="text1"/>
          <w:kern w:val="0"/>
          <w14:ligatures w14:val="none"/>
        </w:rPr>
      </w:pPr>
      <w:r w:rsidRPr="00631DE0">
        <w:rPr>
          <w:rFonts w:eastAsia="Calibri"/>
          <w:color w:val="000000" w:themeColor="text1"/>
          <w:kern w:val="0"/>
          <w14:ligatures w14:val="none"/>
        </w:rPr>
        <w:t>H</w:t>
      </w:r>
      <w:r w:rsidRPr="00631DE0">
        <w:rPr>
          <w:rFonts w:eastAsia="Calibri"/>
          <w:i/>
          <w:iCs/>
          <w:color w:val="000000" w:themeColor="text1"/>
          <w:kern w:val="0"/>
          <w14:ligatures w14:val="none"/>
        </w:rPr>
        <w:t xml:space="preserve">.3: There is a higher </w:t>
      </w:r>
      <w:r w:rsidR="00D30DFE" w:rsidRPr="00631DE0">
        <w:rPr>
          <w:rFonts w:eastAsia="Calibri"/>
          <w:i/>
          <w:iCs/>
          <w:color w:val="000000" w:themeColor="text1"/>
          <w:kern w:val="0"/>
          <w14:ligatures w14:val="none"/>
        </w:rPr>
        <w:t>increase</w:t>
      </w:r>
      <w:r w:rsidRPr="00631DE0">
        <w:rPr>
          <w:rFonts w:eastAsia="Calibri"/>
          <w:i/>
          <w:iCs/>
          <w:color w:val="000000" w:themeColor="text1"/>
          <w:kern w:val="0"/>
          <w14:ligatures w14:val="none"/>
        </w:rPr>
        <w:t xml:space="preserve"> of environmental operational activities disclosure in 2023 to 2013, relative to policy/targets</w:t>
      </w:r>
      <w:r w:rsidR="00057E1F" w:rsidRPr="00631DE0">
        <w:rPr>
          <w:rFonts w:eastAsia="Calibri"/>
          <w:color w:val="000000" w:themeColor="text1"/>
          <w:kern w:val="0"/>
          <w14:ligatures w14:val="none"/>
        </w:rPr>
        <w:t>.</w:t>
      </w:r>
    </w:p>
    <w:p w14:paraId="1A329304" w14:textId="77777777" w:rsidR="001F437A" w:rsidRPr="00631DE0" w:rsidRDefault="001F437A" w:rsidP="000251D6">
      <w:pPr>
        <w:pStyle w:val="NormalWeb"/>
        <w:spacing w:after="240" w:line="360" w:lineRule="auto"/>
        <w:ind w:left="454" w:hanging="454"/>
        <w:rPr>
          <w:rFonts w:eastAsia="Calibri"/>
          <w:color w:val="000000" w:themeColor="text1"/>
          <w:kern w:val="0"/>
          <w14:ligatures w14:val="none"/>
        </w:rPr>
      </w:pPr>
    </w:p>
    <w:p w14:paraId="444B13F8" w14:textId="7BE759A9" w:rsidR="001A7934" w:rsidRPr="00631DE0" w:rsidRDefault="006128AE" w:rsidP="00146467">
      <w:pPr>
        <w:suppressAutoHyphens/>
        <w:autoSpaceDN w:val="0"/>
        <w:spacing w:after="120" w:line="360" w:lineRule="auto"/>
        <w:ind w:firstLine="0"/>
        <w:textAlignment w:val="baseline"/>
        <w:rPr>
          <w:rFonts w:ascii="Times New Roman" w:hAnsi="Times New Roman"/>
          <w:b/>
          <w:bCs/>
          <w:color w:val="000000" w:themeColor="text1"/>
          <w:sz w:val="24"/>
          <w:szCs w:val="24"/>
        </w:rPr>
      </w:pPr>
      <w:bookmarkStart w:id="10" w:name="_Hlk197697923"/>
      <w:r w:rsidRPr="00631DE0">
        <w:rPr>
          <w:rFonts w:ascii="Times New Roman" w:hAnsi="Times New Roman"/>
          <w:b/>
          <w:bCs/>
          <w:color w:val="000000" w:themeColor="text1"/>
          <w:sz w:val="24"/>
          <w:szCs w:val="24"/>
        </w:rPr>
        <w:t xml:space="preserve">3. </w:t>
      </w:r>
      <w:r w:rsidR="004554EE" w:rsidRPr="00631DE0">
        <w:rPr>
          <w:rFonts w:ascii="Times New Roman" w:hAnsi="Times New Roman"/>
          <w:b/>
          <w:bCs/>
          <w:color w:val="000000" w:themeColor="text1"/>
          <w:sz w:val="24"/>
          <w:szCs w:val="24"/>
        </w:rPr>
        <w:t>Methodology</w:t>
      </w:r>
    </w:p>
    <w:p w14:paraId="4B47290F" w14:textId="77777777" w:rsidR="008C7953" w:rsidRPr="00631DE0" w:rsidRDefault="004554EE" w:rsidP="00312AC5">
      <w:pPr>
        <w:suppressAutoHyphens/>
        <w:autoSpaceDN w:val="0"/>
        <w:spacing w:after="120" w:line="360" w:lineRule="auto"/>
        <w:ind w:firstLine="0"/>
        <w:textAlignment w:val="baseline"/>
        <w:rPr>
          <w:rFonts w:ascii="Times New Roman" w:hAnsi="Times New Roman"/>
          <w:b/>
          <w:bCs/>
          <w:color w:val="000000" w:themeColor="text1"/>
          <w:sz w:val="24"/>
          <w:szCs w:val="24"/>
        </w:rPr>
      </w:pPr>
      <w:r w:rsidRPr="00631DE0">
        <w:rPr>
          <w:rFonts w:ascii="Times New Roman" w:hAnsi="Times New Roman"/>
          <w:b/>
          <w:bCs/>
          <w:color w:val="000000" w:themeColor="text1"/>
          <w:sz w:val="24"/>
          <w:szCs w:val="24"/>
        </w:rPr>
        <w:t>3.1 Research Design</w:t>
      </w:r>
    </w:p>
    <w:p w14:paraId="0BC78DCD" w14:textId="6CA007AA" w:rsidR="004D4348" w:rsidRPr="00631DE0" w:rsidRDefault="008C7953" w:rsidP="00146467">
      <w:pPr>
        <w:suppressAutoHyphens/>
        <w:autoSpaceDN w:val="0"/>
        <w:spacing w:after="120" w:line="360" w:lineRule="auto"/>
        <w:ind w:firstLine="0"/>
        <w:textAlignment w:val="baseline"/>
        <w:rPr>
          <w:rFonts w:ascii="Times New Roman" w:eastAsia="Times New Roman" w:hAnsi="Times New Roman" w:cs="Times New Roman"/>
          <w:color w:val="000000" w:themeColor="text1"/>
          <w:kern w:val="0"/>
          <w:sz w:val="24"/>
          <w:szCs w:val="24"/>
          <w:lang w:eastAsia="en-GB"/>
          <w14:ligatures w14:val="none"/>
        </w:rPr>
      </w:pPr>
      <w:r w:rsidRPr="00631DE0">
        <w:rPr>
          <w:rFonts w:ascii="Times New Roman" w:eastAsia="Times New Roman" w:hAnsi="Times New Roman" w:cs="Times New Roman"/>
          <w:color w:val="000000" w:themeColor="text1"/>
          <w:kern w:val="0"/>
          <w:sz w:val="24"/>
          <w:szCs w:val="24"/>
          <w:lang w:eastAsia="en-GB"/>
          <w14:ligatures w14:val="none"/>
        </w:rPr>
        <w:t xml:space="preserve">This study adopts a manual content analysis approach to investigate the extent and evolution of environmental disclosures by NGOs between 2013 and 2023. </w:t>
      </w:r>
      <w:r w:rsidR="00696700">
        <w:rPr>
          <w:rFonts w:ascii="Times New Roman" w:eastAsia="Times New Roman" w:hAnsi="Times New Roman" w:cs="Times New Roman"/>
          <w:color w:val="000000" w:themeColor="text1"/>
          <w:kern w:val="0"/>
          <w:sz w:val="24"/>
          <w:szCs w:val="24"/>
          <w:lang w:eastAsia="en-GB"/>
          <w14:ligatures w14:val="none"/>
        </w:rPr>
        <w:t xml:space="preserve">A year-on-year content analysis is included in section 4.4. </w:t>
      </w:r>
      <w:r w:rsidR="007F08CD" w:rsidRPr="00631DE0">
        <w:rPr>
          <w:rFonts w:ascii="Times New Roman" w:eastAsia="Times New Roman" w:hAnsi="Times New Roman" w:cs="Times New Roman"/>
          <w:color w:val="000000" w:themeColor="text1"/>
          <w:kern w:val="0"/>
          <w:sz w:val="24"/>
          <w:szCs w:val="24"/>
          <w:lang w:eastAsia="en-GB"/>
          <w14:ligatures w14:val="none"/>
        </w:rPr>
        <w:t>This approach is consistent with previous studies that investigate whether disclosure quality/quantity</w:t>
      </w:r>
      <w:r w:rsidR="00475E1B" w:rsidRPr="00631DE0">
        <w:rPr>
          <w:rFonts w:ascii="Times New Roman" w:eastAsia="Times New Roman" w:hAnsi="Times New Roman" w:cs="Times New Roman"/>
          <w:color w:val="000000" w:themeColor="text1"/>
          <w:kern w:val="0"/>
          <w:sz w:val="24"/>
          <w:szCs w:val="24"/>
          <w:lang w:eastAsia="en-GB"/>
          <w14:ligatures w14:val="none"/>
        </w:rPr>
        <w:t>/behaviour</w:t>
      </w:r>
      <w:r w:rsidR="007F08CD" w:rsidRPr="00631DE0">
        <w:rPr>
          <w:rFonts w:ascii="Times New Roman" w:eastAsia="Times New Roman" w:hAnsi="Times New Roman" w:cs="Times New Roman"/>
          <w:color w:val="000000" w:themeColor="text1"/>
          <w:kern w:val="0"/>
          <w:sz w:val="24"/>
          <w:szCs w:val="24"/>
          <w:lang w:eastAsia="en-GB"/>
          <w14:ligatures w14:val="none"/>
        </w:rPr>
        <w:t xml:space="preserve"> </w:t>
      </w:r>
      <w:r w:rsidR="00475E1B" w:rsidRPr="00631DE0">
        <w:rPr>
          <w:rFonts w:ascii="Times New Roman" w:eastAsia="Times New Roman" w:hAnsi="Times New Roman" w:cs="Times New Roman"/>
          <w:color w:val="000000" w:themeColor="text1"/>
          <w:kern w:val="0"/>
          <w:sz w:val="24"/>
          <w:szCs w:val="24"/>
          <w:lang w:eastAsia="en-GB"/>
          <w14:ligatures w14:val="none"/>
        </w:rPr>
        <w:t xml:space="preserve">changes </w:t>
      </w:r>
      <w:r w:rsidR="007F08CD" w:rsidRPr="00631DE0">
        <w:rPr>
          <w:rFonts w:ascii="Times New Roman" w:eastAsia="Times New Roman" w:hAnsi="Times New Roman" w:cs="Times New Roman"/>
          <w:color w:val="000000" w:themeColor="text1"/>
          <w:kern w:val="0"/>
          <w:sz w:val="24"/>
          <w:szCs w:val="24"/>
          <w:lang w:eastAsia="en-GB"/>
          <w14:ligatures w14:val="none"/>
        </w:rPr>
        <w:t xml:space="preserve">over </w:t>
      </w:r>
      <w:r w:rsidR="00103EC3" w:rsidRPr="00631DE0">
        <w:rPr>
          <w:rFonts w:ascii="Times New Roman" w:eastAsia="Times New Roman" w:hAnsi="Times New Roman" w:cs="Times New Roman"/>
          <w:color w:val="000000" w:themeColor="text1"/>
          <w:kern w:val="0"/>
          <w:sz w:val="24"/>
          <w:szCs w:val="24"/>
          <w:lang w:eastAsia="en-GB"/>
          <w14:ligatures w14:val="none"/>
        </w:rPr>
        <w:t xml:space="preserve">the passage of </w:t>
      </w:r>
      <w:r w:rsidR="007F08CD" w:rsidRPr="00631DE0">
        <w:rPr>
          <w:rFonts w:ascii="Times New Roman" w:eastAsia="Times New Roman" w:hAnsi="Times New Roman" w:cs="Times New Roman"/>
          <w:color w:val="000000" w:themeColor="text1"/>
          <w:kern w:val="0"/>
          <w:sz w:val="24"/>
          <w:szCs w:val="24"/>
          <w:lang w:eastAsia="en-GB"/>
          <w14:ligatures w14:val="none"/>
        </w:rPr>
        <w:t>time. For example, Guthrie et al. (2006) conduct an analysis of whether firms disclose higher volumes of voluntary intellectual information in 2002, compared to 1998. McCracken</w:t>
      </w:r>
      <w:r w:rsidR="009950D7" w:rsidRPr="00631DE0">
        <w:rPr>
          <w:rFonts w:ascii="Times New Roman" w:eastAsia="Times New Roman" w:hAnsi="Times New Roman" w:cs="Times New Roman"/>
          <w:color w:val="000000" w:themeColor="text1"/>
          <w:kern w:val="0"/>
          <w:sz w:val="24"/>
          <w:szCs w:val="24"/>
          <w:lang w:eastAsia="en-GB"/>
          <w14:ligatures w14:val="none"/>
        </w:rPr>
        <w:t xml:space="preserve"> </w:t>
      </w:r>
      <w:r w:rsidR="007F08CD" w:rsidRPr="00631DE0">
        <w:rPr>
          <w:rFonts w:ascii="Times New Roman" w:eastAsia="Times New Roman" w:hAnsi="Times New Roman" w:cs="Times New Roman"/>
          <w:color w:val="000000" w:themeColor="text1"/>
          <w:kern w:val="0"/>
          <w:sz w:val="24"/>
          <w:szCs w:val="24"/>
          <w:lang w:eastAsia="en-GB"/>
          <w14:ligatures w14:val="none"/>
        </w:rPr>
        <w:t>et al. (2018) also conduct content analysis to determine whether intellectual capital disclosures are of higher quality in 2015, compared to 2013</w:t>
      </w:r>
      <w:r w:rsidR="009950D7" w:rsidRPr="00631DE0">
        <w:rPr>
          <w:rFonts w:ascii="Times New Roman" w:eastAsia="Times New Roman" w:hAnsi="Times New Roman" w:cs="Times New Roman"/>
          <w:color w:val="000000" w:themeColor="text1"/>
          <w:kern w:val="0"/>
          <w:sz w:val="24"/>
          <w:szCs w:val="24"/>
          <w:lang w:eastAsia="en-GB"/>
          <w14:ligatures w14:val="none"/>
        </w:rPr>
        <w:t xml:space="preserve">. </w:t>
      </w:r>
      <w:r w:rsidR="00EA419B" w:rsidRPr="00631DE0">
        <w:rPr>
          <w:rFonts w:ascii="Times New Roman" w:eastAsia="Times New Roman" w:hAnsi="Times New Roman" w:cs="Times New Roman"/>
          <w:color w:val="000000" w:themeColor="text1"/>
          <w:kern w:val="0"/>
          <w:sz w:val="24"/>
          <w:szCs w:val="24"/>
          <w:lang w:eastAsia="en-GB"/>
          <w14:ligatures w14:val="none"/>
        </w:rPr>
        <w:t>A 10</w:t>
      </w:r>
      <w:r w:rsidR="00533FEC" w:rsidRPr="00631DE0">
        <w:rPr>
          <w:rFonts w:ascii="Times New Roman" w:eastAsia="Times New Roman" w:hAnsi="Times New Roman" w:cs="Times New Roman"/>
          <w:color w:val="000000" w:themeColor="text1"/>
          <w:kern w:val="0"/>
          <w:sz w:val="24"/>
          <w:szCs w:val="24"/>
          <w:lang w:eastAsia="en-GB"/>
          <w14:ligatures w14:val="none"/>
        </w:rPr>
        <w:t>-</w:t>
      </w:r>
      <w:r w:rsidR="00EA419B" w:rsidRPr="00631DE0">
        <w:rPr>
          <w:rFonts w:ascii="Times New Roman" w:eastAsia="Times New Roman" w:hAnsi="Times New Roman" w:cs="Times New Roman"/>
          <w:color w:val="000000" w:themeColor="text1"/>
          <w:kern w:val="0"/>
          <w:sz w:val="24"/>
          <w:szCs w:val="24"/>
          <w:lang w:eastAsia="en-GB"/>
          <w14:ligatures w14:val="none"/>
        </w:rPr>
        <w:t xml:space="preserve">year period is selected for this study, because to the best of our knowledge, no previous study investigates the extent to which </w:t>
      </w:r>
      <w:r w:rsidR="00765745" w:rsidRPr="00631DE0">
        <w:rPr>
          <w:rFonts w:ascii="Times New Roman" w:eastAsia="Times New Roman" w:hAnsi="Times New Roman" w:cs="Times New Roman"/>
          <w:color w:val="000000" w:themeColor="text1"/>
          <w:kern w:val="0"/>
          <w:sz w:val="24"/>
          <w:szCs w:val="24"/>
          <w:lang w:eastAsia="en-GB"/>
          <w14:ligatures w14:val="none"/>
        </w:rPr>
        <w:t xml:space="preserve">NGO </w:t>
      </w:r>
      <w:r w:rsidR="00EA419B" w:rsidRPr="00631DE0">
        <w:rPr>
          <w:rFonts w:ascii="Times New Roman" w:eastAsia="Times New Roman" w:hAnsi="Times New Roman" w:cs="Times New Roman"/>
          <w:color w:val="000000" w:themeColor="text1"/>
          <w:kern w:val="0"/>
          <w:sz w:val="24"/>
          <w:szCs w:val="24"/>
          <w:lang w:eastAsia="en-GB"/>
          <w14:ligatures w14:val="none"/>
        </w:rPr>
        <w:lastRenderedPageBreak/>
        <w:t xml:space="preserve">environmental disclosure quality/quantity </w:t>
      </w:r>
      <w:r w:rsidR="00765745" w:rsidRPr="00631DE0">
        <w:rPr>
          <w:rFonts w:ascii="Times New Roman" w:eastAsia="Times New Roman" w:hAnsi="Times New Roman" w:cs="Times New Roman"/>
          <w:color w:val="000000" w:themeColor="text1"/>
          <w:kern w:val="0"/>
          <w:sz w:val="24"/>
          <w:szCs w:val="24"/>
          <w:lang w:eastAsia="en-GB"/>
          <w14:ligatures w14:val="none"/>
        </w:rPr>
        <w:t>improves.</w:t>
      </w:r>
      <w:r w:rsidR="009950D7" w:rsidRPr="00631DE0">
        <w:rPr>
          <w:rFonts w:ascii="Times New Roman" w:eastAsia="Times New Roman" w:hAnsi="Times New Roman" w:cs="Times New Roman"/>
          <w:color w:val="000000" w:themeColor="text1"/>
          <w:kern w:val="0"/>
          <w:sz w:val="24"/>
          <w:szCs w:val="24"/>
          <w:lang w:eastAsia="en-GB"/>
          <w14:ligatures w14:val="none"/>
        </w:rPr>
        <w:t xml:space="preserve"> Therefore, we envision that </w:t>
      </w:r>
      <w:r w:rsidR="003861B8" w:rsidRPr="00631DE0">
        <w:rPr>
          <w:rFonts w:ascii="Times New Roman" w:eastAsia="Times New Roman" w:hAnsi="Times New Roman" w:cs="Times New Roman"/>
          <w:color w:val="000000" w:themeColor="text1"/>
          <w:kern w:val="0"/>
          <w:sz w:val="24"/>
          <w:szCs w:val="24"/>
          <w:lang w:eastAsia="en-GB"/>
          <w14:ligatures w14:val="none"/>
        </w:rPr>
        <w:t xml:space="preserve">10 years is sufficient to </w:t>
      </w:r>
      <w:r w:rsidR="00540137" w:rsidRPr="00631DE0">
        <w:rPr>
          <w:rFonts w:ascii="Times New Roman" w:eastAsia="Times New Roman" w:hAnsi="Times New Roman" w:cs="Times New Roman"/>
          <w:color w:val="000000" w:themeColor="text1"/>
          <w:kern w:val="0"/>
          <w:sz w:val="24"/>
          <w:szCs w:val="24"/>
          <w:lang w:eastAsia="en-GB"/>
          <w14:ligatures w14:val="none"/>
        </w:rPr>
        <w:t xml:space="preserve">empirical capture whether </w:t>
      </w:r>
      <w:r w:rsidR="00FB4398" w:rsidRPr="00631DE0">
        <w:rPr>
          <w:rFonts w:ascii="Times New Roman" w:eastAsia="Times New Roman" w:hAnsi="Times New Roman" w:cs="Times New Roman"/>
          <w:color w:val="000000" w:themeColor="text1"/>
          <w:kern w:val="0"/>
          <w:sz w:val="24"/>
          <w:szCs w:val="24"/>
          <w:lang w:eastAsia="en-GB"/>
          <w14:ligatures w14:val="none"/>
        </w:rPr>
        <w:t xml:space="preserve">NGOs have taken action to improve </w:t>
      </w:r>
      <w:r w:rsidR="00AC3350" w:rsidRPr="00631DE0">
        <w:rPr>
          <w:rFonts w:ascii="Times New Roman" w:eastAsia="Times New Roman" w:hAnsi="Times New Roman" w:cs="Times New Roman"/>
          <w:color w:val="000000" w:themeColor="text1"/>
          <w:kern w:val="0"/>
          <w:sz w:val="24"/>
          <w:szCs w:val="24"/>
          <w:lang w:eastAsia="en-GB"/>
          <w14:ligatures w14:val="none"/>
        </w:rPr>
        <w:t xml:space="preserve">environmental </w:t>
      </w:r>
      <w:r w:rsidR="00FB4398" w:rsidRPr="00631DE0">
        <w:rPr>
          <w:rFonts w:ascii="Times New Roman" w:eastAsia="Times New Roman" w:hAnsi="Times New Roman" w:cs="Times New Roman"/>
          <w:color w:val="000000" w:themeColor="text1"/>
          <w:kern w:val="0"/>
          <w:sz w:val="24"/>
          <w:szCs w:val="24"/>
          <w:lang w:eastAsia="en-GB"/>
          <w14:ligatures w14:val="none"/>
        </w:rPr>
        <w:t xml:space="preserve">disclosure </w:t>
      </w:r>
      <w:r w:rsidR="00AC3350" w:rsidRPr="00631DE0">
        <w:rPr>
          <w:rFonts w:ascii="Times New Roman" w:eastAsia="Times New Roman" w:hAnsi="Times New Roman" w:cs="Times New Roman"/>
          <w:color w:val="000000" w:themeColor="text1"/>
          <w:kern w:val="0"/>
          <w:sz w:val="24"/>
          <w:szCs w:val="24"/>
          <w:lang w:eastAsia="en-GB"/>
          <w14:ligatures w14:val="none"/>
        </w:rPr>
        <w:t>quality/quantity, or whether knowledge/resources are lacking</w:t>
      </w:r>
      <w:r w:rsidR="00B934BF" w:rsidRPr="00631DE0">
        <w:rPr>
          <w:rFonts w:ascii="Times New Roman" w:eastAsia="Times New Roman" w:hAnsi="Times New Roman" w:cs="Times New Roman"/>
          <w:color w:val="000000" w:themeColor="text1"/>
          <w:kern w:val="0"/>
          <w:sz w:val="24"/>
          <w:szCs w:val="24"/>
          <w:lang w:eastAsia="en-GB"/>
          <w14:ligatures w14:val="none"/>
        </w:rPr>
        <w:t>.</w:t>
      </w:r>
      <w:r w:rsidR="00540137" w:rsidRPr="00631DE0">
        <w:rPr>
          <w:rFonts w:ascii="Times New Roman" w:eastAsia="Times New Roman" w:hAnsi="Times New Roman" w:cs="Times New Roman"/>
          <w:color w:val="000000" w:themeColor="text1"/>
          <w:kern w:val="0"/>
          <w:sz w:val="24"/>
          <w:szCs w:val="24"/>
          <w:lang w:eastAsia="en-GB"/>
          <w14:ligatures w14:val="none"/>
        </w:rPr>
        <w:t xml:space="preserve"> </w:t>
      </w:r>
      <w:r w:rsidRPr="00631DE0">
        <w:rPr>
          <w:rFonts w:ascii="Times New Roman" w:eastAsia="Times New Roman" w:hAnsi="Times New Roman" w:cs="Times New Roman"/>
          <w:color w:val="000000" w:themeColor="text1"/>
          <w:kern w:val="0"/>
          <w:sz w:val="24"/>
          <w:szCs w:val="24"/>
          <w:lang w:eastAsia="en-GB"/>
          <w14:ligatures w14:val="none"/>
        </w:rPr>
        <w:t>As noted by Giles and Murphy (2016), content analysis is predicated on the assumption that the frequency of reference to a specific concept within a text reflects its relative importance to the reporting entity. Following this premise, we develop a structured analysis using an environmental disclosure keyword framework informed by Baier et al. (2020) and Haque and Irvine (2018). This framework includes a comprehensive list of 45 keywords representing three key thematic categories: ecosystems (ECO), environmental management (ENVMGT), and climate change (CC), as detailed in Table 1.</w:t>
      </w:r>
    </w:p>
    <w:p w14:paraId="2FAEB9F2" w14:textId="6740C423" w:rsidR="008C7953" w:rsidRPr="00631DE0" w:rsidRDefault="000C340E" w:rsidP="00146467">
      <w:pPr>
        <w:spacing w:after="120" w:line="360" w:lineRule="auto"/>
        <w:ind w:firstLine="0"/>
        <w:rPr>
          <w:rFonts w:ascii="Times New Roman" w:eastAsia="Times New Roman" w:hAnsi="Times New Roman" w:cs="Times New Roman"/>
          <w:color w:val="000000" w:themeColor="text1"/>
          <w:kern w:val="0"/>
          <w:sz w:val="24"/>
          <w:szCs w:val="24"/>
          <w:lang w:eastAsia="en-GB"/>
          <w14:ligatures w14:val="none"/>
        </w:rPr>
      </w:pPr>
      <w:r w:rsidRPr="00631DE0">
        <w:rPr>
          <w:rFonts w:ascii="Times New Roman" w:eastAsia="Times New Roman" w:hAnsi="Times New Roman" w:cs="Times New Roman"/>
          <w:color w:val="000000" w:themeColor="text1"/>
          <w:kern w:val="0"/>
          <w:sz w:val="24"/>
          <w:szCs w:val="24"/>
          <w:lang w:eastAsia="en-GB"/>
          <w14:ligatures w14:val="none"/>
        </w:rPr>
        <w:t>Thus, our</w:t>
      </w:r>
      <w:r w:rsidR="008C7953" w:rsidRPr="00631DE0">
        <w:rPr>
          <w:rFonts w:ascii="Times New Roman" w:eastAsia="Times New Roman" w:hAnsi="Times New Roman" w:cs="Times New Roman"/>
          <w:color w:val="000000" w:themeColor="text1"/>
          <w:kern w:val="0"/>
          <w:sz w:val="24"/>
          <w:szCs w:val="24"/>
          <w:lang w:eastAsia="en-GB"/>
          <w14:ligatures w14:val="none"/>
        </w:rPr>
        <w:t xml:space="preserve"> first research hypothesis (H1) seeks to </w:t>
      </w:r>
      <w:r w:rsidRPr="00631DE0">
        <w:rPr>
          <w:rFonts w:ascii="Times New Roman" w:eastAsia="Times New Roman" w:hAnsi="Times New Roman" w:cs="Times New Roman"/>
          <w:color w:val="000000" w:themeColor="text1"/>
          <w:kern w:val="0"/>
          <w:sz w:val="24"/>
          <w:szCs w:val="24"/>
          <w:lang w:eastAsia="en-GB"/>
          <w14:ligatures w14:val="none"/>
        </w:rPr>
        <w:t>determine</w:t>
      </w:r>
      <w:r w:rsidR="008C7953" w:rsidRPr="00631DE0">
        <w:rPr>
          <w:rFonts w:ascii="Times New Roman" w:eastAsia="Times New Roman" w:hAnsi="Times New Roman" w:cs="Times New Roman"/>
          <w:color w:val="000000" w:themeColor="text1"/>
          <w:kern w:val="0"/>
          <w:sz w:val="24"/>
          <w:szCs w:val="24"/>
          <w:lang w:eastAsia="en-GB"/>
          <w14:ligatures w14:val="none"/>
        </w:rPr>
        <w:t xml:space="preserve"> whether</w:t>
      </w:r>
      <w:r w:rsidRPr="00631DE0">
        <w:rPr>
          <w:rFonts w:ascii="Times New Roman" w:eastAsia="Times New Roman" w:hAnsi="Times New Roman" w:cs="Times New Roman"/>
          <w:color w:val="000000" w:themeColor="text1"/>
          <w:kern w:val="0"/>
          <w:sz w:val="24"/>
          <w:szCs w:val="24"/>
          <w:lang w:eastAsia="en-GB"/>
          <w14:ligatures w14:val="none"/>
        </w:rPr>
        <w:t xml:space="preserve"> the</w:t>
      </w:r>
      <w:r w:rsidR="008C7953" w:rsidRPr="00631DE0">
        <w:rPr>
          <w:rFonts w:ascii="Times New Roman" w:eastAsia="Times New Roman" w:hAnsi="Times New Roman" w:cs="Times New Roman"/>
          <w:color w:val="000000" w:themeColor="text1"/>
          <w:kern w:val="0"/>
          <w:sz w:val="24"/>
          <w:szCs w:val="24"/>
          <w:lang w:eastAsia="en-GB"/>
          <w14:ligatures w14:val="none"/>
        </w:rPr>
        <w:t xml:space="preserve"> overall level of environmental disclosure has increased over time, consistent with legitimacy theory expectations. Specifically, we posit that NGOs will disclose a greater volume of total environmental disclosures</w:t>
      </w:r>
      <w:r w:rsidR="007A1404">
        <w:rPr>
          <w:rFonts w:ascii="Times New Roman" w:eastAsia="Times New Roman" w:hAnsi="Times New Roman" w:cs="Times New Roman"/>
          <w:color w:val="000000" w:themeColor="text1"/>
          <w:kern w:val="0"/>
          <w:sz w:val="24"/>
          <w:szCs w:val="24"/>
          <w:lang w:eastAsia="en-GB"/>
          <w14:ligatures w14:val="none"/>
        </w:rPr>
        <w:t xml:space="preserve">, that is, </w:t>
      </w:r>
      <w:r w:rsidR="008C7953" w:rsidRPr="00631DE0">
        <w:rPr>
          <w:rFonts w:ascii="Times New Roman" w:eastAsia="Times New Roman" w:hAnsi="Times New Roman" w:cs="Times New Roman"/>
          <w:color w:val="000000" w:themeColor="text1"/>
          <w:kern w:val="0"/>
          <w:sz w:val="24"/>
          <w:szCs w:val="24"/>
          <w:lang w:eastAsia="en-GB"/>
          <w14:ligatures w14:val="none"/>
        </w:rPr>
        <w:t>spanning ECO, ENVMGT, and CC</w:t>
      </w:r>
      <w:r w:rsidR="00755F09" w:rsidRPr="00631DE0">
        <w:rPr>
          <w:rFonts w:ascii="Times New Roman" w:eastAsia="Times New Roman" w:hAnsi="Times New Roman" w:cs="Times New Roman"/>
          <w:color w:val="000000" w:themeColor="text1"/>
          <w:kern w:val="0"/>
          <w:sz w:val="24"/>
          <w:szCs w:val="24"/>
          <w:lang w:eastAsia="en-GB"/>
          <w14:ligatures w14:val="none"/>
        </w:rPr>
        <w:t xml:space="preserve"> </w:t>
      </w:r>
      <w:r w:rsidR="008C7953" w:rsidRPr="00631DE0">
        <w:rPr>
          <w:rFonts w:ascii="Times New Roman" w:eastAsia="Times New Roman" w:hAnsi="Times New Roman" w:cs="Times New Roman"/>
          <w:color w:val="000000" w:themeColor="text1"/>
          <w:kern w:val="0"/>
          <w:sz w:val="24"/>
          <w:szCs w:val="24"/>
          <w:lang w:eastAsia="en-GB"/>
          <w14:ligatures w14:val="none"/>
        </w:rPr>
        <w:t>over the study period as a mechanism to reinforce legitimacy.</w:t>
      </w:r>
    </w:p>
    <w:p w14:paraId="5D205500" w14:textId="77777777" w:rsidR="008C7953" w:rsidRPr="00631DE0" w:rsidRDefault="008C7953" w:rsidP="00146467">
      <w:pPr>
        <w:spacing w:after="120" w:line="360" w:lineRule="auto"/>
        <w:ind w:firstLine="0"/>
        <w:rPr>
          <w:rFonts w:ascii="Times New Roman" w:eastAsia="Times New Roman" w:hAnsi="Times New Roman" w:cs="Times New Roman"/>
          <w:color w:val="000000" w:themeColor="text1"/>
          <w:kern w:val="0"/>
          <w:sz w:val="24"/>
          <w:szCs w:val="24"/>
          <w:lang w:eastAsia="en-GB"/>
          <w14:ligatures w14:val="none"/>
        </w:rPr>
      </w:pPr>
      <w:r w:rsidRPr="00631DE0">
        <w:rPr>
          <w:rFonts w:ascii="Times New Roman" w:eastAsia="Times New Roman" w:hAnsi="Times New Roman" w:cs="Times New Roman"/>
          <w:color w:val="000000" w:themeColor="text1"/>
          <w:kern w:val="0"/>
          <w:sz w:val="24"/>
          <w:szCs w:val="24"/>
          <w:lang w:eastAsia="en-GB"/>
          <w14:ligatures w14:val="none"/>
        </w:rPr>
        <w:t>The second hypothesis (H2) explores whether disclosure quality has improved alongside quantity. To assess this, we distinguish between narrative (NAR) and numerical (NUM) disclosures. Narrative disclosures are descriptive and qualitative, while numerical disclosures present quantifiable, verifiable data, including ratios, percentages, or absolute figures. Given the increasing demand for transparency and accountability in environmental reporting, we hypothesize that NGOs have progressively shifted toward a higher proportion of NUM disclosures over time.</w:t>
      </w:r>
    </w:p>
    <w:p w14:paraId="5EB2878F" w14:textId="42874A95" w:rsidR="001C7EB8" w:rsidRPr="00631DE0" w:rsidRDefault="008C7953" w:rsidP="00146467">
      <w:pPr>
        <w:spacing w:after="120" w:line="360" w:lineRule="auto"/>
        <w:ind w:firstLine="0"/>
        <w:rPr>
          <w:rFonts w:ascii="Times New Roman" w:eastAsia="Times New Roman" w:hAnsi="Times New Roman" w:cs="Times New Roman"/>
          <w:color w:val="000000" w:themeColor="text1"/>
          <w:kern w:val="0"/>
          <w:sz w:val="24"/>
          <w:szCs w:val="24"/>
          <w:lang w:eastAsia="en-GB"/>
          <w14:ligatures w14:val="none"/>
        </w:rPr>
      </w:pPr>
      <w:r w:rsidRPr="00631DE0">
        <w:rPr>
          <w:rFonts w:ascii="Times New Roman" w:eastAsia="Times New Roman" w:hAnsi="Times New Roman" w:cs="Times New Roman"/>
          <w:color w:val="000000" w:themeColor="text1"/>
          <w:kern w:val="0"/>
          <w:sz w:val="24"/>
          <w:szCs w:val="24"/>
          <w:lang w:eastAsia="en-GB"/>
          <w14:ligatures w14:val="none"/>
        </w:rPr>
        <w:t>The third hypothesis (H3) examines the type and quality of environmental disclosures based on content orientation. We distinguish between aspirational policy and target disclosures (P/T) and disclosures related to actual operational activities (OA). Prior research suggests that OA disclosures</w:t>
      </w:r>
      <w:r w:rsidR="007A1404">
        <w:rPr>
          <w:rFonts w:ascii="Times New Roman" w:eastAsia="Times New Roman" w:hAnsi="Times New Roman" w:cs="Times New Roman"/>
          <w:color w:val="000000" w:themeColor="text1"/>
          <w:kern w:val="0"/>
          <w:sz w:val="24"/>
          <w:szCs w:val="24"/>
          <w:lang w:eastAsia="en-GB"/>
          <w14:ligatures w14:val="none"/>
        </w:rPr>
        <w:t xml:space="preserve"> </w:t>
      </w:r>
      <w:r w:rsidRPr="00631DE0">
        <w:rPr>
          <w:rFonts w:ascii="Times New Roman" w:eastAsia="Times New Roman" w:hAnsi="Times New Roman" w:cs="Times New Roman"/>
          <w:color w:val="000000" w:themeColor="text1"/>
          <w:kern w:val="0"/>
          <w:sz w:val="24"/>
          <w:szCs w:val="24"/>
          <w:lang w:eastAsia="en-GB"/>
          <w14:ligatures w14:val="none"/>
        </w:rPr>
        <w:t>grounded in the organization’s real-time practices</w:t>
      </w:r>
      <w:r w:rsidR="007A1404">
        <w:rPr>
          <w:rFonts w:ascii="Times New Roman" w:eastAsia="Times New Roman" w:hAnsi="Times New Roman" w:cs="Times New Roman"/>
          <w:color w:val="000000" w:themeColor="text1"/>
          <w:kern w:val="0"/>
          <w:sz w:val="24"/>
          <w:szCs w:val="24"/>
          <w:lang w:eastAsia="en-GB"/>
          <w14:ligatures w14:val="none"/>
        </w:rPr>
        <w:t xml:space="preserve"> </w:t>
      </w:r>
      <w:r w:rsidRPr="00631DE0">
        <w:rPr>
          <w:rFonts w:ascii="Times New Roman" w:eastAsia="Times New Roman" w:hAnsi="Times New Roman" w:cs="Times New Roman"/>
          <w:color w:val="000000" w:themeColor="text1"/>
          <w:kern w:val="0"/>
          <w:sz w:val="24"/>
          <w:szCs w:val="24"/>
          <w:lang w:eastAsia="en-GB"/>
          <w14:ligatures w14:val="none"/>
        </w:rPr>
        <w:t>are more substantive and verifiable than P/T disclosures, which are often forward-looking and less concrete (Lim &amp; Mali, 2022). Therefore, we expect a greater increase in the volume and quality of OA disclosures relative to P/T disclosures over time.</w:t>
      </w:r>
    </w:p>
    <w:p w14:paraId="408D6C21" w14:textId="77777777" w:rsidR="008C7953" w:rsidRPr="00631DE0" w:rsidRDefault="008C7953" w:rsidP="005D6876">
      <w:pPr>
        <w:spacing w:after="120" w:line="360" w:lineRule="auto"/>
        <w:ind w:firstLine="0"/>
        <w:outlineLvl w:val="2"/>
        <w:rPr>
          <w:rFonts w:ascii="Times New Roman" w:eastAsia="Times New Roman" w:hAnsi="Times New Roman" w:cs="Times New Roman"/>
          <w:b/>
          <w:bCs/>
          <w:color w:val="000000" w:themeColor="text1"/>
          <w:kern w:val="0"/>
          <w:sz w:val="27"/>
          <w:szCs w:val="27"/>
          <w:lang w:eastAsia="en-GB"/>
          <w14:ligatures w14:val="none"/>
        </w:rPr>
      </w:pPr>
      <w:r w:rsidRPr="00631DE0">
        <w:rPr>
          <w:rFonts w:ascii="Times New Roman" w:eastAsia="Times New Roman" w:hAnsi="Times New Roman" w:cs="Times New Roman"/>
          <w:b/>
          <w:bCs/>
          <w:color w:val="000000" w:themeColor="text1"/>
          <w:kern w:val="0"/>
          <w:sz w:val="27"/>
          <w:szCs w:val="27"/>
          <w:lang w:eastAsia="en-GB"/>
          <w14:ligatures w14:val="none"/>
        </w:rPr>
        <w:t>Data Collection and Coding Procedure</w:t>
      </w:r>
    </w:p>
    <w:p w14:paraId="1144EC82" w14:textId="11E7C86B" w:rsidR="00964A1E" w:rsidRPr="00631DE0" w:rsidRDefault="008C7953" w:rsidP="005D6876">
      <w:pPr>
        <w:spacing w:after="120" w:line="360" w:lineRule="auto"/>
        <w:ind w:firstLine="0"/>
        <w:rPr>
          <w:rFonts w:ascii="Times New Roman" w:eastAsia="Times New Roman" w:hAnsi="Times New Roman" w:cs="Times New Roman"/>
          <w:color w:val="000000" w:themeColor="text1"/>
          <w:kern w:val="0"/>
          <w:sz w:val="24"/>
          <w:szCs w:val="24"/>
          <w:lang w:eastAsia="en-GB"/>
          <w14:ligatures w14:val="none"/>
        </w:rPr>
      </w:pPr>
      <w:r w:rsidRPr="00631DE0">
        <w:rPr>
          <w:rFonts w:ascii="Times New Roman" w:eastAsia="Times New Roman" w:hAnsi="Times New Roman" w:cs="Times New Roman"/>
          <w:color w:val="000000" w:themeColor="text1"/>
          <w:kern w:val="0"/>
          <w:sz w:val="24"/>
          <w:szCs w:val="24"/>
          <w:lang w:eastAsia="en-GB"/>
          <w14:ligatures w14:val="none"/>
        </w:rPr>
        <w:t xml:space="preserve">To ensure the reliability and validity of the content analysis process, we follow a multi-step protocol aligned with established academic practice (Duff, 2018; McCracken et al., 2018; Lim </w:t>
      </w:r>
      <w:r w:rsidRPr="00631DE0">
        <w:rPr>
          <w:rFonts w:ascii="Times New Roman" w:eastAsia="Times New Roman" w:hAnsi="Times New Roman" w:cs="Times New Roman"/>
          <w:color w:val="000000" w:themeColor="text1"/>
          <w:kern w:val="0"/>
          <w:sz w:val="24"/>
          <w:szCs w:val="24"/>
          <w:lang w:eastAsia="en-GB"/>
          <w14:ligatures w14:val="none"/>
        </w:rPr>
        <w:lastRenderedPageBreak/>
        <w:t>&amp; Mali, 2022).</w:t>
      </w:r>
      <w:r w:rsidR="000F42F7" w:rsidRPr="00631DE0">
        <w:rPr>
          <w:rFonts w:ascii="Times New Roman" w:eastAsia="Times New Roman" w:hAnsi="Times New Roman" w:cs="Times New Roman"/>
          <w:color w:val="000000" w:themeColor="text1"/>
          <w:kern w:val="0"/>
          <w:sz w:val="24"/>
          <w:szCs w:val="24"/>
          <w:lang w:eastAsia="en-GB"/>
          <w14:ligatures w14:val="none"/>
        </w:rPr>
        <w:t xml:space="preserve"> </w:t>
      </w:r>
      <w:r w:rsidR="00AE59BE" w:rsidRPr="00631DE0">
        <w:rPr>
          <w:rFonts w:ascii="Times New Roman" w:eastAsia="Times New Roman" w:hAnsi="Times New Roman" w:cs="Times New Roman"/>
          <w:color w:val="000000" w:themeColor="text1"/>
          <w:kern w:val="0"/>
          <w:sz w:val="24"/>
          <w:szCs w:val="24"/>
          <w:lang w:eastAsia="en-GB"/>
          <w14:ligatures w14:val="none"/>
        </w:rPr>
        <w:t xml:space="preserve">We </w:t>
      </w:r>
      <w:r w:rsidR="00964A1E" w:rsidRPr="00631DE0">
        <w:rPr>
          <w:rFonts w:ascii="Times New Roman" w:eastAsia="Times New Roman" w:hAnsi="Times New Roman" w:cs="Times New Roman"/>
          <w:color w:val="000000" w:themeColor="text1"/>
          <w:kern w:val="0"/>
          <w:sz w:val="24"/>
          <w:szCs w:val="24"/>
          <w:lang w:eastAsia="en-GB"/>
          <w14:ligatures w14:val="none"/>
        </w:rPr>
        <w:t xml:space="preserve">adopt the time-consuming approach of </w:t>
      </w:r>
      <w:r w:rsidR="00AE59BE" w:rsidRPr="00631DE0">
        <w:rPr>
          <w:rFonts w:ascii="Times New Roman" w:eastAsia="Times New Roman" w:hAnsi="Times New Roman" w:cs="Times New Roman"/>
          <w:color w:val="000000" w:themeColor="text1"/>
          <w:kern w:val="0"/>
          <w:sz w:val="24"/>
          <w:szCs w:val="24"/>
          <w:lang w:eastAsia="en-GB"/>
          <w14:ligatures w14:val="none"/>
        </w:rPr>
        <w:t>hand collect</w:t>
      </w:r>
      <w:r w:rsidR="0072236B" w:rsidRPr="00631DE0">
        <w:rPr>
          <w:rFonts w:ascii="Times New Roman" w:eastAsia="Times New Roman" w:hAnsi="Times New Roman" w:cs="Times New Roman"/>
          <w:color w:val="000000" w:themeColor="text1"/>
          <w:kern w:val="0"/>
          <w:sz w:val="24"/>
          <w:szCs w:val="24"/>
          <w:lang w:eastAsia="en-GB"/>
          <w14:ligatures w14:val="none"/>
        </w:rPr>
        <w:t>ing</w:t>
      </w:r>
      <w:r w:rsidR="00AE59BE" w:rsidRPr="00631DE0">
        <w:rPr>
          <w:rFonts w:ascii="Times New Roman" w:eastAsia="Times New Roman" w:hAnsi="Times New Roman" w:cs="Times New Roman"/>
          <w:color w:val="000000" w:themeColor="text1"/>
          <w:kern w:val="0"/>
          <w:sz w:val="24"/>
          <w:szCs w:val="24"/>
          <w:lang w:eastAsia="en-GB"/>
          <w14:ligatures w14:val="none"/>
        </w:rPr>
        <w:t xml:space="preserve"> data, </w:t>
      </w:r>
      <w:r w:rsidR="00AA6236" w:rsidRPr="00631DE0">
        <w:rPr>
          <w:rFonts w:ascii="Times New Roman" w:eastAsia="Times New Roman" w:hAnsi="Times New Roman" w:cs="Times New Roman"/>
          <w:color w:val="000000" w:themeColor="text1"/>
          <w:kern w:val="0"/>
          <w:sz w:val="24"/>
          <w:szCs w:val="24"/>
          <w:lang w:eastAsia="en-GB"/>
          <w14:ligatures w14:val="none"/>
        </w:rPr>
        <w:t xml:space="preserve">as opposed to utilising AI and machine learning. The reason </w:t>
      </w:r>
      <w:r w:rsidR="00991CDB" w:rsidRPr="00631DE0">
        <w:rPr>
          <w:rFonts w:ascii="Times New Roman" w:eastAsia="Times New Roman" w:hAnsi="Times New Roman" w:cs="Times New Roman"/>
          <w:color w:val="000000" w:themeColor="text1"/>
          <w:kern w:val="0"/>
          <w:sz w:val="24"/>
          <w:szCs w:val="24"/>
          <w:lang w:eastAsia="en-GB"/>
          <w14:ligatures w14:val="none"/>
        </w:rPr>
        <w:t xml:space="preserve">data has been </w:t>
      </w:r>
      <w:r w:rsidR="00AA6236" w:rsidRPr="00631DE0">
        <w:rPr>
          <w:rFonts w:ascii="Times New Roman" w:eastAsia="Times New Roman" w:hAnsi="Times New Roman" w:cs="Times New Roman"/>
          <w:color w:val="000000" w:themeColor="text1"/>
          <w:kern w:val="0"/>
          <w:sz w:val="24"/>
          <w:szCs w:val="24"/>
          <w:lang w:eastAsia="en-GB"/>
          <w14:ligatures w14:val="none"/>
        </w:rPr>
        <w:t>hand</w:t>
      </w:r>
      <w:r w:rsidR="00991CDB" w:rsidRPr="00631DE0">
        <w:rPr>
          <w:rFonts w:ascii="Times New Roman" w:eastAsia="Times New Roman" w:hAnsi="Times New Roman" w:cs="Times New Roman"/>
          <w:color w:val="000000" w:themeColor="text1"/>
          <w:kern w:val="0"/>
          <w:sz w:val="24"/>
          <w:szCs w:val="24"/>
          <w:lang w:eastAsia="en-GB"/>
          <w14:ligatures w14:val="none"/>
        </w:rPr>
        <w:t xml:space="preserve"> collected, </w:t>
      </w:r>
      <w:r w:rsidR="00893D0C" w:rsidRPr="00631DE0">
        <w:rPr>
          <w:rFonts w:ascii="Times New Roman" w:eastAsia="Times New Roman" w:hAnsi="Times New Roman" w:cs="Times New Roman"/>
          <w:color w:val="000000" w:themeColor="text1"/>
          <w:kern w:val="0"/>
          <w:sz w:val="24"/>
          <w:szCs w:val="24"/>
          <w:lang w:eastAsia="en-GB"/>
          <w14:ligatures w14:val="none"/>
        </w:rPr>
        <w:t>is</w:t>
      </w:r>
      <w:r w:rsidR="00991CDB" w:rsidRPr="00631DE0">
        <w:rPr>
          <w:rFonts w:ascii="Times New Roman" w:eastAsia="Times New Roman" w:hAnsi="Times New Roman" w:cs="Times New Roman"/>
          <w:color w:val="000000" w:themeColor="text1"/>
          <w:kern w:val="0"/>
          <w:sz w:val="24"/>
          <w:szCs w:val="24"/>
          <w:lang w:eastAsia="en-GB"/>
          <w14:ligatures w14:val="none"/>
        </w:rPr>
        <w:t xml:space="preserve"> due to </w:t>
      </w:r>
      <w:r w:rsidR="00893D0C" w:rsidRPr="00631DE0">
        <w:rPr>
          <w:rFonts w:ascii="Times New Roman" w:eastAsia="Times New Roman" w:hAnsi="Times New Roman" w:cs="Times New Roman"/>
          <w:color w:val="000000" w:themeColor="text1"/>
          <w:kern w:val="0"/>
          <w:sz w:val="24"/>
          <w:szCs w:val="24"/>
          <w:lang w:eastAsia="en-GB"/>
          <w14:ligatures w14:val="none"/>
        </w:rPr>
        <w:t>an</w:t>
      </w:r>
      <w:r w:rsidR="00991CDB" w:rsidRPr="00631DE0">
        <w:rPr>
          <w:rFonts w:ascii="Times New Roman" w:eastAsia="Times New Roman" w:hAnsi="Times New Roman" w:cs="Times New Roman"/>
          <w:color w:val="000000" w:themeColor="text1"/>
          <w:kern w:val="0"/>
          <w:sz w:val="24"/>
          <w:szCs w:val="24"/>
          <w:lang w:eastAsia="en-GB"/>
          <w14:ligatures w14:val="none"/>
        </w:rPr>
        <w:t xml:space="preserve"> incentive to provide nuanced interpretations</w:t>
      </w:r>
      <w:r w:rsidR="00340822" w:rsidRPr="00631DE0">
        <w:rPr>
          <w:rFonts w:ascii="Times New Roman" w:eastAsia="Times New Roman" w:hAnsi="Times New Roman" w:cs="Times New Roman"/>
          <w:color w:val="000000" w:themeColor="text1"/>
          <w:kern w:val="0"/>
          <w:sz w:val="24"/>
          <w:szCs w:val="24"/>
          <w:lang w:eastAsia="en-GB"/>
          <w14:ligatures w14:val="none"/>
        </w:rPr>
        <w:t>,</w:t>
      </w:r>
      <w:r w:rsidR="00991CDB" w:rsidRPr="00631DE0">
        <w:rPr>
          <w:rFonts w:ascii="Times New Roman" w:eastAsia="Times New Roman" w:hAnsi="Times New Roman" w:cs="Times New Roman"/>
          <w:color w:val="000000" w:themeColor="text1"/>
          <w:kern w:val="0"/>
          <w:sz w:val="24"/>
          <w:szCs w:val="24"/>
          <w:lang w:eastAsia="en-GB"/>
          <w14:ligatures w14:val="none"/>
        </w:rPr>
        <w:t xml:space="preserve"> regarding </w:t>
      </w:r>
      <w:r w:rsidR="003F31E7" w:rsidRPr="00631DE0">
        <w:rPr>
          <w:rFonts w:ascii="Times New Roman" w:eastAsia="Times New Roman" w:hAnsi="Times New Roman" w:cs="Times New Roman"/>
          <w:color w:val="000000" w:themeColor="text1"/>
          <w:kern w:val="0"/>
          <w:sz w:val="24"/>
          <w:szCs w:val="24"/>
          <w:lang w:eastAsia="en-GB"/>
          <w14:ligatures w14:val="none"/>
        </w:rPr>
        <w:t xml:space="preserve">how NGOs disclose </w:t>
      </w:r>
      <w:r w:rsidR="00C243B5" w:rsidRPr="00631DE0">
        <w:rPr>
          <w:rFonts w:ascii="Times New Roman" w:eastAsia="Times New Roman" w:hAnsi="Times New Roman" w:cs="Times New Roman"/>
          <w:color w:val="000000" w:themeColor="text1"/>
          <w:kern w:val="0"/>
          <w:sz w:val="24"/>
          <w:szCs w:val="24"/>
          <w:lang w:eastAsia="en-GB"/>
          <w14:ligatures w14:val="none"/>
        </w:rPr>
        <w:t xml:space="preserve">environmental </w:t>
      </w:r>
      <w:r w:rsidR="003F31E7" w:rsidRPr="00631DE0">
        <w:rPr>
          <w:rFonts w:ascii="Times New Roman" w:eastAsia="Times New Roman" w:hAnsi="Times New Roman" w:cs="Times New Roman"/>
          <w:color w:val="000000" w:themeColor="text1"/>
          <w:kern w:val="0"/>
          <w:sz w:val="24"/>
          <w:szCs w:val="24"/>
          <w:lang w:eastAsia="en-GB"/>
          <w14:ligatures w14:val="none"/>
        </w:rPr>
        <w:t xml:space="preserve">information. If </w:t>
      </w:r>
      <w:r w:rsidR="004628A4" w:rsidRPr="00631DE0">
        <w:rPr>
          <w:rFonts w:ascii="Times New Roman" w:eastAsia="Times New Roman" w:hAnsi="Times New Roman" w:cs="Times New Roman"/>
          <w:color w:val="000000" w:themeColor="text1"/>
          <w:kern w:val="0"/>
          <w:sz w:val="24"/>
          <w:szCs w:val="24"/>
          <w:lang w:eastAsia="en-GB"/>
          <w14:ligatures w14:val="none"/>
        </w:rPr>
        <w:t xml:space="preserve">an </w:t>
      </w:r>
      <w:r w:rsidR="003F31E7" w:rsidRPr="00631DE0">
        <w:rPr>
          <w:rFonts w:ascii="Times New Roman" w:eastAsia="Times New Roman" w:hAnsi="Times New Roman" w:cs="Times New Roman"/>
          <w:color w:val="000000" w:themeColor="text1"/>
          <w:kern w:val="0"/>
          <w:sz w:val="24"/>
          <w:szCs w:val="24"/>
          <w:lang w:eastAsia="en-GB"/>
          <w14:ligatures w14:val="none"/>
        </w:rPr>
        <w:t xml:space="preserve">AI and machine learning </w:t>
      </w:r>
      <w:r w:rsidR="00A76F2F" w:rsidRPr="00631DE0">
        <w:rPr>
          <w:rFonts w:ascii="Times New Roman" w:eastAsia="Times New Roman" w:hAnsi="Times New Roman" w:cs="Times New Roman"/>
          <w:color w:val="000000" w:themeColor="text1"/>
          <w:kern w:val="0"/>
          <w:sz w:val="24"/>
          <w:szCs w:val="24"/>
          <w:lang w:eastAsia="en-GB"/>
          <w14:ligatures w14:val="none"/>
        </w:rPr>
        <w:t xml:space="preserve">approach </w:t>
      </w:r>
      <w:r w:rsidR="003F31E7" w:rsidRPr="00631DE0">
        <w:rPr>
          <w:rFonts w:ascii="Times New Roman" w:eastAsia="Times New Roman" w:hAnsi="Times New Roman" w:cs="Times New Roman"/>
          <w:color w:val="000000" w:themeColor="text1"/>
          <w:kern w:val="0"/>
          <w:sz w:val="24"/>
          <w:szCs w:val="24"/>
          <w:lang w:eastAsia="en-GB"/>
          <w14:ligatures w14:val="none"/>
        </w:rPr>
        <w:t xml:space="preserve">would have been </w:t>
      </w:r>
      <w:r w:rsidR="004628A4" w:rsidRPr="00631DE0">
        <w:rPr>
          <w:rFonts w:ascii="Times New Roman" w:eastAsia="Times New Roman" w:hAnsi="Times New Roman" w:cs="Times New Roman"/>
          <w:color w:val="000000" w:themeColor="text1"/>
          <w:kern w:val="0"/>
          <w:sz w:val="24"/>
          <w:szCs w:val="24"/>
          <w:lang w:eastAsia="en-GB"/>
          <w14:ligatures w14:val="none"/>
        </w:rPr>
        <w:t>adopted</w:t>
      </w:r>
      <w:r w:rsidR="003F31E7" w:rsidRPr="00631DE0">
        <w:rPr>
          <w:rFonts w:ascii="Times New Roman" w:eastAsia="Times New Roman" w:hAnsi="Times New Roman" w:cs="Times New Roman"/>
          <w:color w:val="000000" w:themeColor="text1"/>
          <w:kern w:val="0"/>
          <w:sz w:val="24"/>
          <w:szCs w:val="24"/>
          <w:lang w:eastAsia="en-GB"/>
          <w14:ligatures w14:val="none"/>
        </w:rPr>
        <w:t xml:space="preserve">, each keyword </w:t>
      </w:r>
      <w:r w:rsidR="00065BD8" w:rsidRPr="00631DE0">
        <w:rPr>
          <w:rFonts w:ascii="Times New Roman" w:eastAsia="Times New Roman" w:hAnsi="Times New Roman" w:cs="Times New Roman"/>
          <w:color w:val="000000" w:themeColor="text1"/>
          <w:kern w:val="0"/>
          <w:sz w:val="24"/>
          <w:szCs w:val="24"/>
          <w:lang w:eastAsia="en-GB"/>
          <w14:ligatures w14:val="none"/>
        </w:rPr>
        <w:t xml:space="preserve">identified </w:t>
      </w:r>
      <w:r w:rsidR="003F31E7" w:rsidRPr="00631DE0">
        <w:rPr>
          <w:rFonts w:ascii="Times New Roman" w:eastAsia="Times New Roman" w:hAnsi="Times New Roman" w:cs="Times New Roman"/>
          <w:color w:val="000000" w:themeColor="text1"/>
          <w:kern w:val="0"/>
          <w:sz w:val="24"/>
          <w:szCs w:val="24"/>
          <w:lang w:eastAsia="en-GB"/>
          <w14:ligatures w14:val="none"/>
        </w:rPr>
        <w:t>would be acknowledged as an observation/occurrence, regardless of whether (or not) the disclosure was internall</w:t>
      </w:r>
      <w:r w:rsidR="008F7255" w:rsidRPr="00631DE0">
        <w:rPr>
          <w:rFonts w:ascii="Times New Roman" w:eastAsia="Times New Roman" w:hAnsi="Times New Roman" w:cs="Times New Roman"/>
          <w:color w:val="000000" w:themeColor="text1"/>
          <w:kern w:val="0"/>
          <w:sz w:val="24"/>
          <w:szCs w:val="24"/>
          <w:lang w:eastAsia="en-GB"/>
          <w14:ligatures w14:val="none"/>
        </w:rPr>
        <w:t xml:space="preserve">y/externally facing, or </w:t>
      </w:r>
      <w:r w:rsidR="00FA75DC" w:rsidRPr="00631DE0">
        <w:rPr>
          <w:rFonts w:ascii="Times New Roman" w:eastAsia="Times New Roman" w:hAnsi="Times New Roman" w:cs="Times New Roman"/>
          <w:color w:val="000000" w:themeColor="text1"/>
          <w:kern w:val="0"/>
          <w:sz w:val="24"/>
          <w:szCs w:val="24"/>
          <w:lang w:eastAsia="en-GB"/>
          <w14:ligatures w14:val="none"/>
        </w:rPr>
        <w:t xml:space="preserve">related to </w:t>
      </w:r>
      <w:r w:rsidR="008F7255" w:rsidRPr="00631DE0">
        <w:rPr>
          <w:rFonts w:ascii="Times New Roman" w:eastAsia="Times New Roman" w:hAnsi="Times New Roman" w:cs="Times New Roman"/>
          <w:color w:val="000000" w:themeColor="text1"/>
          <w:kern w:val="0"/>
          <w:sz w:val="24"/>
          <w:szCs w:val="24"/>
          <w:lang w:eastAsia="en-GB"/>
          <w14:ligatures w14:val="none"/>
        </w:rPr>
        <w:t>OL</w:t>
      </w:r>
      <w:r w:rsidR="00952293" w:rsidRPr="00631DE0">
        <w:rPr>
          <w:rFonts w:ascii="Times New Roman" w:eastAsia="Times New Roman" w:hAnsi="Times New Roman" w:cs="Times New Roman"/>
          <w:color w:val="000000" w:themeColor="text1"/>
          <w:kern w:val="0"/>
          <w:sz w:val="24"/>
          <w:szCs w:val="24"/>
          <w:lang w:eastAsia="en-GB"/>
          <w14:ligatures w14:val="none"/>
        </w:rPr>
        <w:t xml:space="preserve">, </w:t>
      </w:r>
      <w:r w:rsidR="008F7255" w:rsidRPr="00631DE0">
        <w:rPr>
          <w:rFonts w:ascii="Times New Roman" w:eastAsia="Times New Roman" w:hAnsi="Times New Roman" w:cs="Times New Roman"/>
          <w:color w:val="000000" w:themeColor="text1"/>
          <w:kern w:val="0"/>
          <w:sz w:val="24"/>
          <w:szCs w:val="24"/>
          <w:lang w:eastAsia="en-GB"/>
          <w14:ligatures w14:val="none"/>
        </w:rPr>
        <w:t>P/T.</w:t>
      </w:r>
      <w:r w:rsidR="003F31E7" w:rsidRPr="00631DE0">
        <w:rPr>
          <w:rFonts w:ascii="Times New Roman" w:eastAsia="Times New Roman" w:hAnsi="Times New Roman" w:cs="Times New Roman"/>
          <w:color w:val="000000" w:themeColor="text1"/>
          <w:kern w:val="0"/>
          <w:sz w:val="24"/>
          <w:szCs w:val="24"/>
          <w:lang w:eastAsia="en-GB"/>
          <w14:ligatures w14:val="none"/>
        </w:rPr>
        <w:t xml:space="preserve"> </w:t>
      </w:r>
      <w:r w:rsidR="002667E6" w:rsidRPr="00631DE0">
        <w:rPr>
          <w:rFonts w:ascii="Times New Roman" w:eastAsia="Times New Roman" w:hAnsi="Times New Roman" w:cs="Times New Roman"/>
          <w:color w:val="000000" w:themeColor="text1"/>
          <w:kern w:val="0"/>
          <w:sz w:val="24"/>
          <w:szCs w:val="24"/>
          <w:lang w:eastAsia="en-GB"/>
          <w14:ligatures w14:val="none"/>
        </w:rPr>
        <w:t xml:space="preserve">However, </w:t>
      </w:r>
      <w:r w:rsidR="0073405A" w:rsidRPr="00631DE0">
        <w:rPr>
          <w:rFonts w:ascii="Times New Roman" w:eastAsia="Times New Roman" w:hAnsi="Times New Roman" w:cs="Times New Roman"/>
          <w:color w:val="000000" w:themeColor="text1"/>
          <w:kern w:val="0"/>
          <w:sz w:val="24"/>
          <w:szCs w:val="24"/>
          <w:lang w:eastAsia="en-GB"/>
          <w14:ligatures w14:val="none"/>
        </w:rPr>
        <w:t xml:space="preserve">through </w:t>
      </w:r>
      <w:r w:rsidR="00A76F2F" w:rsidRPr="00631DE0">
        <w:rPr>
          <w:rFonts w:ascii="Times New Roman" w:eastAsia="Times New Roman" w:hAnsi="Times New Roman" w:cs="Times New Roman"/>
          <w:color w:val="000000" w:themeColor="text1"/>
          <w:kern w:val="0"/>
          <w:sz w:val="24"/>
          <w:szCs w:val="24"/>
          <w:lang w:eastAsia="en-GB"/>
          <w14:ligatures w14:val="none"/>
        </w:rPr>
        <w:t>a</w:t>
      </w:r>
      <w:r w:rsidR="00065BD8" w:rsidRPr="00631DE0">
        <w:rPr>
          <w:rFonts w:ascii="Times New Roman" w:eastAsia="Times New Roman" w:hAnsi="Times New Roman" w:cs="Times New Roman"/>
          <w:color w:val="000000" w:themeColor="text1"/>
          <w:kern w:val="0"/>
          <w:sz w:val="24"/>
          <w:szCs w:val="24"/>
          <w:lang w:eastAsia="en-GB"/>
          <w14:ligatures w14:val="none"/>
        </w:rPr>
        <w:t xml:space="preserve"> </w:t>
      </w:r>
      <w:r w:rsidR="00022935" w:rsidRPr="00631DE0">
        <w:rPr>
          <w:rFonts w:ascii="Times New Roman" w:eastAsia="Times New Roman" w:hAnsi="Times New Roman" w:cs="Times New Roman"/>
          <w:color w:val="000000" w:themeColor="text1"/>
          <w:kern w:val="0"/>
          <w:sz w:val="24"/>
          <w:szCs w:val="24"/>
          <w:lang w:eastAsia="en-GB"/>
          <w14:ligatures w14:val="none"/>
        </w:rPr>
        <w:t xml:space="preserve">hand collected </w:t>
      </w:r>
      <w:r w:rsidR="0073405A" w:rsidRPr="00631DE0">
        <w:rPr>
          <w:rFonts w:ascii="Times New Roman" w:eastAsia="Times New Roman" w:hAnsi="Times New Roman" w:cs="Times New Roman"/>
          <w:color w:val="000000" w:themeColor="text1"/>
          <w:kern w:val="0"/>
          <w:sz w:val="24"/>
          <w:szCs w:val="24"/>
          <w:lang w:eastAsia="en-GB"/>
          <w14:ligatures w14:val="none"/>
        </w:rPr>
        <w:t>approach</w:t>
      </w:r>
      <w:r w:rsidR="00A10D6B" w:rsidRPr="00631DE0">
        <w:rPr>
          <w:rFonts w:ascii="Times New Roman" w:eastAsia="Times New Roman" w:hAnsi="Times New Roman" w:cs="Times New Roman"/>
          <w:color w:val="000000" w:themeColor="text1"/>
          <w:kern w:val="0"/>
          <w:sz w:val="24"/>
          <w:szCs w:val="24"/>
          <w:lang w:eastAsia="en-GB"/>
          <w14:ligatures w14:val="none"/>
        </w:rPr>
        <w:t xml:space="preserve">, </w:t>
      </w:r>
      <w:r w:rsidR="00541338" w:rsidRPr="00631DE0">
        <w:rPr>
          <w:rFonts w:ascii="Times New Roman" w:eastAsia="Times New Roman" w:hAnsi="Times New Roman" w:cs="Times New Roman"/>
          <w:color w:val="000000" w:themeColor="text1"/>
          <w:kern w:val="0"/>
          <w:sz w:val="24"/>
          <w:szCs w:val="24"/>
          <w:lang w:eastAsia="en-GB"/>
          <w14:ligatures w14:val="none"/>
        </w:rPr>
        <w:t xml:space="preserve">authors are able to </w:t>
      </w:r>
      <w:r w:rsidR="00962A11" w:rsidRPr="00631DE0">
        <w:rPr>
          <w:rFonts w:ascii="Times New Roman" w:eastAsia="Times New Roman" w:hAnsi="Times New Roman" w:cs="Times New Roman"/>
          <w:color w:val="000000" w:themeColor="text1"/>
          <w:kern w:val="0"/>
          <w:sz w:val="24"/>
          <w:szCs w:val="24"/>
          <w:lang w:eastAsia="en-GB"/>
          <w14:ligatures w14:val="none"/>
        </w:rPr>
        <w:t>provide a</w:t>
      </w:r>
      <w:r w:rsidR="00CB3496" w:rsidRPr="00631DE0">
        <w:rPr>
          <w:rFonts w:ascii="Times New Roman" w:eastAsia="Times New Roman" w:hAnsi="Times New Roman" w:cs="Times New Roman"/>
          <w:color w:val="000000" w:themeColor="text1"/>
          <w:kern w:val="0"/>
          <w:sz w:val="24"/>
          <w:szCs w:val="24"/>
          <w:lang w:eastAsia="en-GB"/>
          <w14:ligatures w14:val="none"/>
        </w:rPr>
        <w:t xml:space="preserve"> granular</w:t>
      </w:r>
      <w:r w:rsidR="00962A11" w:rsidRPr="00631DE0">
        <w:rPr>
          <w:rFonts w:ascii="Times New Roman" w:eastAsia="Times New Roman" w:hAnsi="Times New Roman" w:cs="Times New Roman"/>
          <w:color w:val="000000" w:themeColor="text1"/>
          <w:kern w:val="0"/>
          <w:sz w:val="24"/>
          <w:szCs w:val="24"/>
          <w:lang w:eastAsia="en-GB"/>
          <w14:ligatures w14:val="none"/>
        </w:rPr>
        <w:t xml:space="preserve"> interpretation </w:t>
      </w:r>
      <w:r w:rsidR="0073405A" w:rsidRPr="00631DE0">
        <w:rPr>
          <w:rFonts w:ascii="Times New Roman" w:eastAsia="Times New Roman" w:hAnsi="Times New Roman" w:cs="Times New Roman"/>
          <w:color w:val="000000" w:themeColor="text1"/>
          <w:kern w:val="0"/>
          <w:sz w:val="24"/>
          <w:szCs w:val="24"/>
          <w:lang w:eastAsia="en-GB"/>
          <w14:ligatures w14:val="none"/>
        </w:rPr>
        <w:t xml:space="preserve">of whether </w:t>
      </w:r>
      <w:r w:rsidR="009824C8" w:rsidRPr="00631DE0">
        <w:rPr>
          <w:rFonts w:ascii="Times New Roman" w:eastAsia="Times New Roman" w:hAnsi="Times New Roman" w:cs="Times New Roman"/>
          <w:color w:val="000000" w:themeColor="text1"/>
          <w:kern w:val="0"/>
          <w:sz w:val="24"/>
          <w:szCs w:val="24"/>
          <w:lang w:eastAsia="en-GB"/>
          <w14:ligatures w14:val="none"/>
        </w:rPr>
        <w:t>occurrences</w:t>
      </w:r>
      <w:r w:rsidR="00A10D6B" w:rsidRPr="00631DE0">
        <w:rPr>
          <w:rFonts w:ascii="Times New Roman" w:eastAsia="Times New Roman" w:hAnsi="Times New Roman" w:cs="Times New Roman"/>
          <w:color w:val="000000" w:themeColor="text1"/>
          <w:kern w:val="0"/>
          <w:sz w:val="24"/>
          <w:szCs w:val="24"/>
          <w:lang w:eastAsia="en-GB"/>
          <w14:ligatures w14:val="none"/>
        </w:rPr>
        <w:t xml:space="preserve"> </w:t>
      </w:r>
      <w:r w:rsidR="00596F1E" w:rsidRPr="00631DE0">
        <w:rPr>
          <w:rFonts w:ascii="Times New Roman" w:eastAsia="Times New Roman" w:hAnsi="Times New Roman" w:cs="Times New Roman"/>
          <w:color w:val="000000" w:themeColor="text1"/>
          <w:kern w:val="0"/>
          <w:sz w:val="24"/>
          <w:szCs w:val="24"/>
          <w:lang w:eastAsia="en-GB"/>
          <w14:ligatures w14:val="none"/>
        </w:rPr>
        <w:t xml:space="preserve">provide insights </w:t>
      </w:r>
      <w:r w:rsidR="00D13894" w:rsidRPr="00631DE0">
        <w:rPr>
          <w:rFonts w:ascii="Times New Roman" w:eastAsia="Times New Roman" w:hAnsi="Times New Roman" w:cs="Times New Roman"/>
          <w:color w:val="000000" w:themeColor="text1"/>
          <w:kern w:val="0"/>
          <w:sz w:val="24"/>
          <w:szCs w:val="24"/>
          <w:lang w:eastAsia="en-GB"/>
          <w14:ligatures w14:val="none"/>
        </w:rPr>
        <w:t>from an</w:t>
      </w:r>
      <w:r w:rsidR="00962A11" w:rsidRPr="00631DE0">
        <w:rPr>
          <w:rFonts w:ascii="Times New Roman" w:eastAsia="Times New Roman" w:hAnsi="Times New Roman" w:cs="Times New Roman"/>
          <w:color w:val="000000" w:themeColor="text1"/>
          <w:kern w:val="0"/>
          <w:sz w:val="24"/>
          <w:szCs w:val="24"/>
          <w:lang w:eastAsia="en-GB"/>
          <w14:ligatures w14:val="none"/>
        </w:rPr>
        <w:t xml:space="preserve"> </w:t>
      </w:r>
      <w:r w:rsidR="007A1404">
        <w:rPr>
          <w:rFonts w:ascii="Times New Roman" w:eastAsia="Times New Roman" w:hAnsi="Times New Roman" w:cs="Times New Roman"/>
          <w:color w:val="000000" w:themeColor="text1"/>
          <w:kern w:val="0"/>
          <w:sz w:val="24"/>
          <w:szCs w:val="24"/>
          <w:lang w:eastAsia="en-GB"/>
          <w14:ligatures w14:val="none"/>
        </w:rPr>
        <w:t>(</w:t>
      </w:r>
      <w:r w:rsidR="008F0CF1" w:rsidRPr="00631DE0">
        <w:rPr>
          <w:rFonts w:ascii="Times New Roman" w:eastAsia="Times New Roman" w:hAnsi="Times New Roman" w:cs="Times New Roman"/>
          <w:color w:val="000000" w:themeColor="text1"/>
          <w:kern w:val="0"/>
          <w:sz w:val="24"/>
          <w:szCs w:val="24"/>
          <w:lang w:eastAsia="en-GB"/>
          <w14:ligatures w14:val="none"/>
        </w:rPr>
        <w:t xml:space="preserve">i) </w:t>
      </w:r>
      <w:r w:rsidR="0091637D" w:rsidRPr="00631DE0">
        <w:rPr>
          <w:rFonts w:ascii="Times New Roman" w:eastAsia="Times New Roman" w:hAnsi="Times New Roman" w:cs="Times New Roman"/>
          <w:color w:val="000000" w:themeColor="text1"/>
          <w:kern w:val="0"/>
          <w:sz w:val="24"/>
          <w:szCs w:val="24"/>
          <w:lang w:eastAsia="en-GB"/>
          <w14:ligatures w14:val="none"/>
        </w:rPr>
        <w:t>external/</w:t>
      </w:r>
      <w:r w:rsidR="009E6B65" w:rsidRPr="00631DE0">
        <w:rPr>
          <w:rFonts w:ascii="Times New Roman" w:eastAsia="Times New Roman" w:hAnsi="Times New Roman" w:cs="Times New Roman"/>
          <w:color w:val="000000" w:themeColor="text1"/>
          <w:kern w:val="0"/>
          <w:sz w:val="24"/>
          <w:szCs w:val="24"/>
          <w:lang w:eastAsia="en-GB"/>
          <w14:ligatures w14:val="none"/>
        </w:rPr>
        <w:t>policy</w:t>
      </w:r>
      <w:r w:rsidR="0068750A" w:rsidRPr="00631DE0">
        <w:rPr>
          <w:rFonts w:ascii="Times New Roman" w:eastAsia="Times New Roman" w:hAnsi="Times New Roman" w:cs="Times New Roman"/>
          <w:color w:val="000000" w:themeColor="text1"/>
          <w:kern w:val="0"/>
          <w:sz w:val="24"/>
          <w:szCs w:val="24"/>
          <w:lang w:eastAsia="en-GB"/>
          <w14:ligatures w14:val="none"/>
        </w:rPr>
        <w:t>;</w:t>
      </w:r>
      <w:r w:rsidR="008F0CF1" w:rsidRPr="00631DE0">
        <w:rPr>
          <w:rFonts w:ascii="Times New Roman" w:eastAsia="Times New Roman" w:hAnsi="Times New Roman" w:cs="Times New Roman"/>
          <w:color w:val="000000" w:themeColor="text1"/>
          <w:kern w:val="0"/>
          <w:sz w:val="24"/>
          <w:szCs w:val="24"/>
          <w:lang w:eastAsia="en-GB"/>
          <w14:ligatures w14:val="none"/>
        </w:rPr>
        <w:t xml:space="preserve"> </w:t>
      </w:r>
      <w:r w:rsidR="007A1404">
        <w:rPr>
          <w:rFonts w:ascii="Times New Roman" w:eastAsia="Times New Roman" w:hAnsi="Times New Roman" w:cs="Times New Roman"/>
          <w:color w:val="000000" w:themeColor="text1"/>
          <w:kern w:val="0"/>
          <w:sz w:val="24"/>
          <w:szCs w:val="24"/>
          <w:lang w:eastAsia="en-GB"/>
          <w14:ligatures w14:val="none"/>
        </w:rPr>
        <w:t>(</w:t>
      </w:r>
      <w:r w:rsidR="008F0CF1" w:rsidRPr="00631DE0">
        <w:rPr>
          <w:rFonts w:ascii="Times New Roman" w:eastAsia="Times New Roman" w:hAnsi="Times New Roman" w:cs="Times New Roman"/>
          <w:color w:val="000000" w:themeColor="text1"/>
          <w:kern w:val="0"/>
          <w:sz w:val="24"/>
          <w:szCs w:val="24"/>
          <w:lang w:eastAsia="en-GB"/>
          <w14:ligatures w14:val="none"/>
        </w:rPr>
        <w:t>ii)</w:t>
      </w:r>
      <w:r w:rsidR="00C12DCA" w:rsidRPr="00631DE0">
        <w:rPr>
          <w:rFonts w:ascii="Times New Roman" w:eastAsia="Times New Roman" w:hAnsi="Times New Roman" w:cs="Times New Roman"/>
          <w:color w:val="000000" w:themeColor="text1"/>
          <w:kern w:val="0"/>
          <w:sz w:val="24"/>
          <w:szCs w:val="24"/>
          <w:lang w:eastAsia="en-GB"/>
          <w14:ligatures w14:val="none"/>
        </w:rPr>
        <w:t xml:space="preserve"> </w:t>
      </w:r>
      <w:r w:rsidR="0068750A" w:rsidRPr="00631DE0">
        <w:rPr>
          <w:rFonts w:ascii="Times New Roman" w:eastAsia="Times New Roman" w:hAnsi="Times New Roman" w:cs="Times New Roman"/>
          <w:color w:val="000000" w:themeColor="text1"/>
          <w:kern w:val="0"/>
          <w:sz w:val="24"/>
          <w:szCs w:val="24"/>
          <w:lang w:eastAsia="en-GB"/>
          <w14:ligatures w14:val="none"/>
        </w:rPr>
        <w:t xml:space="preserve">or </w:t>
      </w:r>
      <w:r w:rsidR="00925B91" w:rsidRPr="00631DE0">
        <w:rPr>
          <w:rFonts w:ascii="Times New Roman" w:eastAsia="Times New Roman" w:hAnsi="Times New Roman" w:cs="Times New Roman"/>
          <w:color w:val="000000" w:themeColor="text1"/>
          <w:kern w:val="0"/>
          <w:sz w:val="24"/>
          <w:szCs w:val="24"/>
          <w:lang w:eastAsia="en-GB"/>
          <w14:ligatures w14:val="none"/>
        </w:rPr>
        <w:t>internal</w:t>
      </w:r>
      <w:r w:rsidR="008F0CF1" w:rsidRPr="00631DE0">
        <w:rPr>
          <w:rFonts w:ascii="Times New Roman" w:eastAsia="Times New Roman" w:hAnsi="Times New Roman" w:cs="Times New Roman"/>
          <w:color w:val="000000" w:themeColor="text1"/>
          <w:kern w:val="0"/>
          <w:sz w:val="24"/>
          <w:szCs w:val="24"/>
          <w:lang w:eastAsia="en-GB"/>
          <w14:ligatures w14:val="none"/>
        </w:rPr>
        <w:t>/</w:t>
      </w:r>
      <w:r w:rsidR="00925B91" w:rsidRPr="00631DE0">
        <w:rPr>
          <w:rFonts w:ascii="Times New Roman" w:eastAsia="Times New Roman" w:hAnsi="Times New Roman" w:cs="Times New Roman"/>
          <w:color w:val="000000" w:themeColor="text1"/>
          <w:kern w:val="0"/>
          <w:sz w:val="24"/>
          <w:szCs w:val="24"/>
          <w:lang w:eastAsia="en-GB"/>
          <w14:ligatures w14:val="none"/>
        </w:rPr>
        <w:t>operational</w:t>
      </w:r>
      <w:r w:rsidR="00D13894" w:rsidRPr="00631DE0">
        <w:rPr>
          <w:rFonts w:ascii="Times New Roman" w:eastAsia="Times New Roman" w:hAnsi="Times New Roman" w:cs="Times New Roman"/>
          <w:color w:val="000000" w:themeColor="text1"/>
          <w:kern w:val="0"/>
          <w:sz w:val="24"/>
          <w:szCs w:val="24"/>
          <w:lang w:eastAsia="en-GB"/>
          <w14:ligatures w14:val="none"/>
        </w:rPr>
        <w:t xml:space="preserve"> perspective</w:t>
      </w:r>
      <w:r w:rsidR="00925B91" w:rsidRPr="00631DE0">
        <w:rPr>
          <w:rFonts w:ascii="Times New Roman" w:eastAsia="Times New Roman" w:hAnsi="Times New Roman" w:cs="Times New Roman"/>
          <w:color w:val="000000" w:themeColor="text1"/>
          <w:kern w:val="0"/>
          <w:sz w:val="24"/>
          <w:szCs w:val="24"/>
          <w:lang w:eastAsia="en-GB"/>
          <w14:ligatures w14:val="none"/>
        </w:rPr>
        <w:t xml:space="preserve">. </w:t>
      </w:r>
      <w:r w:rsidR="0068750A" w:rsidRPr="00631DE0">
        <w:rPr>
          <w:rFonts w:ascii="Times New Roman" w:eastAsia="Times New Roman" w:hAnsi="Times New Roman" w:cs="Times New Roman"/>
          <w:color w:val="000000" w:themeColor="text1"/>
          <w:kern w:val="0"/>
          <w:sz w:val="24"/>
          <w:szCs w:val="24"/>
          <w:lang w:eastAsia="en-GB"/>
          <w14:ligatures w14:val="none"/>
        </w:rPr>
        <w:t xml:space="preserve">As explained in the hypothesis development section, </w:t>
      </w:r>
      <w:r w:rsidR="00B73822" w:rsidRPr="00631DE0">
        <w:rPr>
          <w:rFonts w:ascii="Times New Roman" w:eastAsia="Times New Roman" w:hAnsi="Times New Roman" w:cs="Times New Roman"/>
          <w:color w:val="000000" w:themeColor="text1"/>
          <w:kern w:val="0"/>
          <w:sz w:val="24"/>
          <w:szCs w:val="24"/>
          <w:lang w:eastAsia="en-GB"/>
          <w14:ligatures w14:val="none"/>
        </w:rPr>
        <w:t>these types of disclosures can be perceived different</w:t>
      </w:r>
      <w:r w:rsidR="009824C8" w:rsidRPr="00631DE0">
        <w:rPr>
          <w:rFonts w:ascii="Times New Roman" w:eastAsia="Times New Roman" w:hAnsi="Times New Roman" w:cs="Times New Roman"/>
          <w:color w:val="000000" w:themeColor="text1"/>
          <w:kern w:val="0"/>
          <w:sz w:val="24"/>
          <w:szCs w:val="24"/>
          <w:lang w:eastAsia="en-GB"/>
          <w14:ligatures w14:val="none"/>
        </w:rPr>
        <w:t>ly in terms of quality</w:t>
      </w:r>
      <w:r w:rsidR="00166338" w:rsidRPr="00631DE0">
        <w:rPr>
          <w:rFonts w:ascii="Times New Roman" w:eastAsia="Times New Roman" w:hAnsi="Times New Roman" w:cs="Times New Roman"/>
          <w:color w:val="000000" w:themeColor="text1"/>
          <w:kern w:val="0"/>
          <w:sz w:val="24"/>
          <w:szCs w:val="24"/>
          <w:lang w:eastAsia="en-GB"/>
          <w14:ligatures w14:val="none"/>
        </w:rPr>
        <w:t xml:space="preserve">, and as it pertains to </w:t>
      </w:r>
      <w:r w:rsidR="00F700F0" w:rsidRPr="00631DE0">
        <w:rPr>
          <w:rFonts w:ascii="Times New Roman" w:eastAsia="Times New Roman" w:hAnsi="Times New Roman" w:cs="Times New Roman"/>
          <w:color w:val="000000" w:themeColor="text1"/>
          <w:kern w:val="0"/>
          <w:sz w:val="24"/>
          <w:szCs w:val="24"/>
          <w:lang w:eastAsia="en-GB"/>
          <w14:ligatures w14:val="none"/>
        </w:rPr>
        <w:t xml:space="preserve">actual </w:t>
      </w:r>
      <w:r w:rsidR="000F2400" w:rsidRPr="00631DE0">
        <w:rPr>
          <w:rFonts w:ascii="Times New Roman" w:eastAsia="Times New Roman" w:hAnsi="Times New Roman" w:cs="Times New Roman"/>
          <w:color w:val="000000" w:themeColor="text1"/>
          <w:kern w:val="0"/>
          <w:sz w:val="24"/>
          <w:szCs w:val="24"/>
          <w:lang w:eastAsia="en-GB"/>
          <w14:ligatures w14:val="none"/>
        </w:rPr>
        <w:t xml:space="preserve">environmental </w:t>
      </w:r>
      <w:r w:rsidR="00F700F0" w:rsidRPr="00631DE0">
        <w:rPr>
          <w:rFonts w:ascii="Times New Roman" w:eastAsia="Times New Roman" w:hAnsi="Times New Roman" w:cs="Times New Roman"/>
          <w:color w:val="000000" w:themeColor="text1"/>
          <w:kern w:val="0"/>
          <w:sz w:val="24"/>
          <w:szCs w:val="24"/>
          <w:lang w:eastAsia="en-GB"/>
          <w14:ligatures w14:val="none"/>
        </w:rPr>
        <w:t>performance</w:t>
      </w:r>
      <w:r w:rsidR="00F51665" w:rsidRPr="00631DE0">
        <w:rPr>
          <w:rFonts w:ascii="Times New Roman" w:eastAsia="Times New Roman" w:hAnsi="Times New Roman" w:cs="Times New Roman"/>
          <w:color w:val="000000" w:themeColor="text1"/>
          <w:kern w:val="0"/>
          <w:sz w:val="24"/>
          <w:szCs w:val="24"/>
          <w:lang w:eastAsia="en-GB"/>
          <w14:ligatures w14:val="none"/>
        </w:rPr>
        <w:t>.</w:t>
      </w:r>
      <w:r w:rsidR="00B73822" w:rsidRPr="00631DE0">
        <w:rPr>
          <w:rFonts w:ascii="Times New Roman" w:eastAsia="Times New Roman" w:hAnsi="Times New Roman" w:cs="Times New Roman"/>
          <w:color w:val="000000" w:themeColor="text1"/>
          <w:kern w:val="0"/>
          <w:sz w:val="24"/>
          <w:szCs w:val="24"/>
          <w:lang w:eastAsia="en-GB"/>
          <w14:ligatures w14:val="none"/>
        </w:rPr>
        <w:t xml:space="preserve"> </w:t>
      </w:r>
      <w:r w:rsidR="00395A6D" w:rsidRPr="00631DE0">
        <w:rPr>
          <w:rFonts w:ascii="Times New Roman" w:eastAsia="Times New Roman" w:hAnsi="Times New Roman" w:cs="Times New Roman"/>
          <w:color w:val="000000" w:themeColor="text1"/>
          <w:kern w:val="0"/>
          <w:sz w:val="24"/>
          <w:szCs w:val="24"/>
          <w:lang w:eastAsia="en-GB"/>
          <w14:ligatures w14:val="none"/>
        </w:rPr>
        <w:t xml:space="preserve">Therefore, whilst utilising an </w:t>
      </w:r>
      <w:r w:rsidR="00FA2E58" w:rsidRPr="00631DE0">
        <w:rPr>
          <w:rFonts w:ascii="Times New Roman" w:eastAsia="Times New Roman" w:hAnsi="Times New Roman" w:cs="Times New Roman"/>
          <w:color w:val="000000" w:themeColor="text1"/>
          <w:kern w:val="0"/>
          <w:sz w:val="24"/>
          <w:szCs w:val="24"/>
          <w:lang w:eastAsia="en-GB"/>
          <w14:ligatures w14:val="none"/>
        </w:rPr>
        <w:t>AI and machine learning may increase observations/occurrences</w:t>
      </w:r>
      <w:r w:rsidR="00615F61" w:rsidRPr="00631DE0">
        <w:rPr>
          <w:rFonts w:ascii="Times New Roman" w:eastAsia="Times New Roman" w:hAnsi="Times New Roman" w:cs="Times New Roman"/>
          <w:color w:val="000000" w:themeColor="text1"/>
          <w:kern w:val="0"/>
          <w:sz w:val="24"/>
          <w:szCs w:val="24"/>
          <w:lang w:eastAsia="en-GB"/>
          <w14:ligatures w14:val="none"/>
        </w:rPr>
        <w:t xml:space="preserve"> and save </w:t>
      </w:r>
      <w:r w:rsidR="00540FF4" w:rsidRPr="00631DE0">
        <w:rPr>
          <w:rFonts w:ascii="Times New Roman" w:eastAsia="Times New Roman" w:hAnsi="Times New Roman" w:cs="Times New Roman"/>
          <w:color w:val="000000" w:themeColor="text1"/>
          <w:kern w:val="0"/>
          <w:sz w:val="24"/>
          <w:szCs w:val="24"/>
          <w:lang w:eastAsia="en-GB"/>
          <w14:ligatures w14:val="none"/>
        </w:rPr>
        <w:t>a significant amount of time</w:t>
      </w:r>
      <w:r w:rsidR="003237C6" w:rsidRPr="00631DE0">
        <w:rPr>
          <w:rFonts w:ascii="Times New Roman" w:eastAsia="Times New Roman" w:hAnsi="Times New Roman" w:cs="Times New Roman"/>
          <w:color w:val="000000" w:themeColor="text1"/>
          <w:kern w:val="0"/>
          <w:sz w:val="24"/>
          <w:szCs w:val="24"/>
          <w:lang w:eastAsia="en-GB"/>
          <w14:ligatures w14:val="none"/>
        </w:rPr>
        <w:t>, we envi</w:t>
      </w:r>
      <w:r w:rsidR="002667E6" w:rsidRPr="00631DE0">
        <w:rPr>
          <w:rFonts w:ascii="Times New Roman" w:eastAsia="Times New Roman" w:hAnsi="Times New Roman" w:cs="Times New Roman"/>
          <w:color w:val="000000" w:themeColor="text1"/>
          <w:kern w:val="0"/>
          <w:sz w:val="24"/>
          <w:szCs w:val="24"/>
          <w:lang w:eastAsia="en-GB"/>
          <w14:ligatures w14:val="none"/>
        </w:rPr>
        <w:t xml:space="preserve">sion </w:t>
      </w:r>
      <w:r w:rsidR="00F90678" w:rsidRPr="00631DE0">
        <w:rPr>
          <w:rFonts w:ascii="Times New Roman" w:eastAsia="Times New Roman" w:hAnsi="Times New Roman" w:cs="Times New Roman"/>
          <w:color w:val="000000" w:themeColor="text1"/>
          <w:kern w:val="0"/>
          <w:sz w:val="24"/>
          <w:szCs w:val="24"/>
          <w:lang w:eastAsia="en-GB"/>
          <w14:ligatures w14:val="none"/>
        </w:rPr>
        <w:t>that this</w:t>
      </w:r>
      <w:r w:rsidR="000D5F27" w:rsidRPr="00631DE0">
        <w:rPr>
          <w:rFonts w:ascii="Times New Roman" w:eastAsia="Times New Roman" w:hAnsi="Times New Roman" w:cs="Times New Roman"/>
          <w:color w:val="000000" w:themeColor="text1"/>
          <w:kern w:val="0"/>
          <w:sz w:val="24"/>
          <w:szCs w:val="24"/>
          <w:lang w:eastAsia="en-GB"/>
          <w14:ligatures w14:val="none"/>
        </w:rPr>
        <w:t xml:space="preserve"> approach </w:t>
      </w:r>
      <w:r w:rsidR="0029378C" w:rsidRPr="00631DE0">
        <w:rPr>
          <w:rFonts w:ascii="Times New Roman" w:eastAsia="Times New Roman" w:hAnsi="Times New Roman" w:cs="Times New Roman"/>
          <w:color w:val="000000" w:themeColor="text1"/>
          <w:kern w:val="0"/>
          <w:sz w:val="24"/>
          <w:szCs w:val="24"/>
          <w:lang w:eastAsia="en-GB"/>
          <w14:ligatures w14:val="none"/>
        </w:rPr>
        <w:t xml:space="preserve">reduces the </w:t>
      </w:r>
      <w:r w:rsidR="002A70D1" w:rsidRPr="00631DE0">
        <w:rPr>
          <w:rFonts w:ascii="Times New Roman" w:eastAsia="Times New Roman" w:hAnsi="Times New Roman" w:cs="Times New Roman"/>
          <w:color w:val="000000" w:themeColor="text1"/>
          <w:kern w:val="0"/>
          <w:sz w:val="24"/>
          <w:szCs w:val="24"/>
          <w:lang w:eastAsia="en-GB"/>
          <w14:ligatures w14:val="none"/>
        </w:rPr>
        <w:t>granularity</w:t>
      </w:r>
      <w:r w:rsidR="0029378C" w:rsidRPr="00631DE0">
        <w:rPr>
          <w:rFonts w:ascii="Times New Roman" w:eastAsia="Times New Roman" w:hAnsi="Times New Roman" w:cs="Times New Roman"/>
          <w:color w:val="000000" w:themeColor="text1"/>
          <w:kern w:val="0"/>
          <w:sz w:val="24"/>
          <w:szCs w:val="24"/>
          <w:lang w:eastAsia="en-GB"/>
          <w14:ligatures w14:val="none"/>
        </w:rPr>
        <w:t xml:space="preserve"> that can be derived from </w:t>
      </w:r>
      <w:r w:rsidR="00F90678" w:rsidRPr="00631DE0">
        <w:rPr>
          <w:rFonts w:ascii="Times New Roman" w:eastAsia="Times New Roman" w:hAnsi="Times New Roman" w:cs="Times New Roman"/>
          <w:color w:val="000000" w:themeColor="text1"/>
          <w:kern w:val="0"/>
          <w:sz w:val="24"/>
          <w:szCs w:val="24"/>
          <w:lang w:eastAsia="en-GB"/>
          <w14:ligatures w14:val="none"/>
        </w:rPr>
        <w:t xml:space="preserve">carefully </w:t>
      </w:r>
      <w:r w:rsidR="00F268F9" w:rsidRPr="00631DE0">
        <w:rPr>
          <w:rFonts w:ascii="Times New Roman" w:eastAsia="Times New Roman" w:hAnsi="Times New Roman" w:cs="Times New Roman"/>
          <w:color w:val="000000" w:themeColor="text1"/>
          <w:kern w:val="0"/>
          <w:sz w:val="24"/>
          <w:szCs w:val="24"/>
          <w:lang w:eastAsia="en-GB"/>
          <w14:ligatures w14:val="none"/>
        </w:rPr>
        <w:t>hand collecting</w:t>
      </w:r>
      <w:r w:rsidR="00EA4DFD" w:rsidRPr="00631DE0">
        <w:rPr>
          <w:rFonts w:ascii="Times New Roman" w:eastAsia="Times New Roman" w:hAnsi="Times New Roman" w:cs="Times New Roman"/>
          <w:color w:val="000000" w:themeColor="text1"/>
          <w:kern w:val="0"/>
          <w:sz w:val="24"/>
          <w:szCs w:val="24"/>
          <w:lang w:eastAsia="en-GB"/>
          <w14:ligatures w14:val="none"/>
        </w:rPr>
        <w:t>,</w:t>
      </w:r>
      <w:r w:rsidR="00F268F9" w:rsidRPr="00631DE0">
        <w:rPr>
          <w:rFonts w:ascii="Times New Roman" w:eastAsia="Times New Roman" w:hAnsi="Times New Roman" w:cs="Times New Roman"/>
          <w:color w:val="000000" w:themeColor="text1"/>
          <w:kern w:val="0"/>
          <w:sz w:val="24"/>
          <w:szCs w:val="24"/>
          <w:lang w:eastAsia="en-GB"/>
          <w14:ligatures w14:val="none"/>
        </w:rPr>
        <w:t xml:space="preserve"> </w:t>
      </w:r>
      <w:r w:rsidR="00540FF4" w:rsidRPr="00631DE0">
        <w:rPr>
          <w:rFonts w:ascii="Times New Roman" w:eastAsia="Times New Roman" w:hAnsi="Times New Roman" w:cs="Times New Roman"/>
          <w:color w:val="000000" w:themeColor="text1"/>
          <w:kern w:val="0"/>
          <w:sz w:val="24"/>
          <w:szCs w:val="24"/>
          <w:lang w:eastAsia="en-GB"/>
          <w14:ligatures w14:val="none"/>
        </w:rPr>
        <w:t xml:space="preserve">and </w:t>
      </w:r>
      <w:r w:rsidR="009231B0" w:rsidRPr="00631DE0">
        <w:rPr>
          <w:rFonts w:ascii="Times New Roman" w:eastAsia="Times New Roman" w:hAnsi="Times New Roman" w:cs="Times New Roman"/>
          <w:color w:val="000000" w:themeColor="text1"/>
          <w:kern w:val="0"/>
          <w:sz w:val="24"/>
          <w:szCs w:val="24"/>
          <w:lang w:eastAsia="en-GB"/>
          <w14:ligatures w14:val="none"/>
        </w:rPr>
        <w:t xml:space="preserve">then, </w:t>
      </w:r>
      <w:r w:rsidR="00540FF4" w:rsidRPr="00631DE0">
        <w:rPr>
          <w:rFonts w:ascii="Times New Roman" w:eastAsia="Times New Roman" w:hAnsi="Times New Roman" w:cs="Times New Roman"/>
          <w:color w:val="000000" w:themeColor="text1"/>
          <w:kern w:val="0"/>
          <w:sz w:val="24"/>
          <w:szCs w:val="24"/>
          <w:lang w:eastAsia="en-GB"/>
          <w14:ligatures w14:val="none"/>
        </w:rPr>
        <w:t xml:space="preserve">interpreting </w:t>
      </w:r>
      <w:r w:rsidR="00AF79DA" w:rsidRPr="00631DE0">
        <w:rPr>
          <w:rFonts w:ascii="Times New Roman" w:eastAsia="Times New Roman" w:hAnsi="Times New Roman" w:cs="Times New Roman"/>
          <w:color w:val="000000" w:themeColor="text1"/>
          <w:kern w:val="0"/>
          <w:sz w:val="24"/>
          <w:szCs w:val="24"/>
          <w:lang w:eastAsia="en-GB"/>
          <w14:ligatures w14:val="none"/>
        </w:rPr>
        <w:t xml:space="preserve">environmental </w:t>
      </w:r>
      <w:r w:rsidR="0029378C" w:rsidRPr="00631DE0">
        <w:rPr>
          <w:rFonts w:ascii="Times New Roman" w:eastAsia="Times New Roman" w:hAnsi="Times New Roman" w:cs="Times New Roman"/>
          <w:color w:val="000000" w:themeColor="text1"/>
          <w:kern w:val="0"/>
          <w:sz w:val="24"/>
          <w:szCs w:val="24"/>
          <w:lang w:eastAsia="en-GB"/>
          <w14:ligatures w14:val="none"/>
        </w:rPr>
        <w:t>disclosure</w:t>
      </w:r>
      <w:r w:rsidR="00F90678" w:rsidRPr="00631DE0">
        <w:rPr>
          <w:rFonts w:ascii="Times New Roman" w:eastAsia="Times New Roman" w:hAnsi="Times New Roman" w:cs="Times New Roman"/>
          <w:color w:val="000000" w:themeColor="text1"/>
          <w:kern w:val="0"/>
          <w:sz w:val="24"/>
          <w:szCs w:val="24"/>
          <w:lang w:eastAsia="en-GB"/>
          <w14:ligatures w14:val="none"/>
        </w:rPr>
        <w:t>s</w:t>
      </w:r>
      <w:r w:rsidR="00A818C2" w:rsidRPr="00631DE0">
        <w:rPr>
          <w:rFonts w:ascii="Times New Roman" w:eastAsia="Times New Roman" w:hAnsi="Times New Roman" w:cs="Times New Roman"/>
          <w:color w:val="000000" w:themeColor="text1"/>
          <w:kern w:val="0"/>
          <w:sz w:val="24"/>
          <w:szCs w:val="24"/>
          <w:lang w:eastAsia="en-GB"/>
          <w14:ligatures w14:val="none"/>
        </w:rPr>
        <w:t>.</w:t>
      </w:r>
      <w:r w:rsidR="000D5F27" w:rsidRPr="00631DE0">
        <w:rPr>
          <w:rFonts w:ascii="Times New Roman" w:eastAsia="Times New Roman" w:hAnsi="Times New Roman" w:cs="Times New Roman"/>
          <w:color w:val="000000" w:themeColor="text1"/>
          <w:kern w:val="0"/>
          <w:sz w:val="24"/>
          <w:szCs w:val="24"/>
          <w:lang w:eastAsia="en-GB"/>
          <w14:ligatures w14:val="none"/>
        </w:rPr>
        <w:t xml:space="preserve"> </w:t>
      </w:r>
    </w:p>
    <w:p w14:paraId="407CC256" w14:textId="77777777" w:rsidR="008C7953" w:rsidRPr="00631DE0" w:rsidRDefault="008C7953" w:rsidP="005D6876">
      <w:pPr>
        <w:spacing w:after="120" w:line="360" w:lineRule="auto"/>
        <w:ind w:firstLine="0"/>
        <w:rPr>
          <w:rFonts w:ascii="Times New Roman" w:eastAsia="Times New Roman" w:hAnsi="Times New Roman" w:cs="Times New Roman"/>
          <w:color w:val="000000" w:themeColor="text1"/>
          <w:kern w:val="0"/>
          <w:sz w:val="24"/>
          <w:szCs w:val="24"/>
          <w:lang w:eastAsia="en-GB"/>
          <w14:ligatures w14:val="none"/>
        </w:rPr>
      </w:pPr>
      <w:r w:rsidRPr="00631DE0">
        <w:rPr>
          <w:rFonts w:ascii="Times New Roman" w:eastAsia="Times New Roman" w:hAnsi="Times New Roman" w:cs="Times New Roman"/>
          <w:b/>
          <w:bCs/>
          <w:color w:val="000000" w:themeColor="text1"/>
          <w:kern w:val="0"/>
          <w:sz w:val="24"/>
          <w:szCs w:val="24"/>
          <w:lang w:eastAsia="en-GB"/>
          <w14:ligatures w14:val="none"/>
        </w:rPr>
        <w:t>Data Collection:</w:t>
      </w:r>
      <w:r w:rsidRPr="00631DE0">
        <w:rPr>
          <w:rFonts w:ascii="Times New Roman" w:eastAsia="Times New Roman" w:hAnsi="Times New Roman" w:cs="Times New Roman"/>
          <w:color w:val="000000" w:themeColor="text1"/>
          <w:kern w:val="0"/>
          <w:sz w:val="24"/>
          <w:szCs w:val="24"/>
          <w:lang w:eastAsia="en-GB"/>
          <w14:ligatures w14:val="none"/>
        </w:rPr>
        <w:t xml:space="preserve"> We retrieved annual reports from the official websites of 35 leading UK NGOs. These organizations were selected from the top 50 NGOs by donation size, covering the years 2013 and 2023. The selection ensures a representative sample of large, publicly accountable NGOs with consistent reporting practices over the ten-year period.</w:t>
      </w:r>
    </w:p>
    <w:p w14:paraId="0D3824E1" w14:textId="6264312F" w:rsidR="008C7953" w:rsidRPr="00631DE0" w:rsidRDefault="008C7953" w:rsidP="005D6876">
      <w:pPr>
        <w:spacing w:after="120" w:line="360" w:lineRule="auto"/>
        <w:ind w:firstLine="0"/>
        <w:rPr>
          <w:rFonts w:ascii="Times New Roman" w:eastAsia="Times New Roman" w:hAnsi="Times New Roman" w:cs="Times New Roman"/>
          <w:color w:val="000000" w:themeColor="text1"/>
          <w:kern w:val="0"/>
          <w:sz w:val="24"/>
          <w:szCs w:val="24"/>
          <w:lang w:eastAsia="en-GB"/>
          <w14:ligatures w14:val="none"/>
        </w:rPr>
      </w:pPr>
      <w:r w:rsidRPr="00631DE0">
        <w:rPr>
          <w:rFonts w:ascii="Times New Roman" w:eastAsia="Times New Roman" w:hAnsi="Times New Roman" w:cs="Times New Roman"/>
          <w:b/>
          <w:bCs/>
          <w:color w:val="000000" w:themeColor="text1"/>
          <w:kern w:val="0"/>
          <w:sz w:val="24"/>
          <w:szCs w:val="24"/>
          <w:lang w:eastAsia="en-GB"/>
          <w14:ligatures w14:val="none"/>
        </w:rPr>
        <w:t>Keyword Search and Contextual Reading:</w:t>
      </w:r>
      <w:r w:rsidRPr="00631DE0">
        <w:rPr>
          <w:rFonts w:ascii="Times New Roman" w:eastAsia="Times New Roman" w:hAnsi="Times New Roman" w:cs="Times New Roman"/>
          <w:color w:val="000000" w:themeColor="text1"/>
          <w:kern w:val="0"/>
          <w:sz w:val="24"/>
          <w:szCs w:val="24"/>
          <w:lang w:eastAsia="en-GB"/>
          <w14:ligatures w14:val="none"/>
        </w:rPr>
        <w:t xml:space="preserve"> Using the 45 predefined keywords (see Table 1), we systematically searched the annual reports for keyword occurrences. Each keyword was examined in context</w:t>
      </w:r>
      <w:r w:rsidR="00952293" w:rsidRPr="00631DE0">
        <w:rPr>
          <w:rFonts w:ascii="Times New Roman" w:eastAsia="Times New Roman" w:hAnsi="Times New Roman" w:cs="Times New Roman"/>
          <w:color w:val="000000" w:themeColor="text1"/>
          <w:kern w:val="0"/>
          <w:sz w:val="24"/>
          <w:szCs w:val="24"/>
          <w:lang w:eastAsia="en-GB"/>
          <w14:ligatures w14:val="none"/>
        </w:rPr>
        <w:t xml:space="preserve"> </w:t>
      </w:r>
      <w:r w:rsidRPr="00631DE0">
        <w:rPr>
          <w:rFonts w:ascii="Times New Roman" w:eastAsia="Times New Roman" w:hAnsi="Times New Roman" w:cs="Times New Roman"/>
          <w:color w:val="000000" w:themeColor="text1"/>
          <w:kern w:val="0"/>
          <w:sz w:val="24"/>
          <w:szCs w:val="24"/>
          <w:lang w:eastAsia="en-GB"/>
          <w14:ligatures w14:val="none"/>
        </w:rPr>
        <w:t>whether in a sentence, paragraph, table, or figure</w:t>
      </w:r>
      <w:r w:rsidR="00122913" w:rsidRPr="00631DE0">
        <w:rPr>
          <w:rFonts w:ascii="Times New Roman" w:eastAsia="Times New Roman" w:hAnsi="Times New Roman" w:cs="Times New Roman"/>
          <w:color w:val="000000" w:themeColor="text1"/>
          <w:kern w:val="0"/>
          <w:sz w:val="24"/>
          <w:szCs w:val="24"/>
          <w:lang w:eastAsia="en-GB"/>
          <w14:ligatures w14:val="none"/>
        </w:rPr>
        <w:t xml:space="preserve"> </w:t>
      </w:r>
      <w:r w:rsidRPr="00631DE0">
        <w:rPr>
          <w:rFonts w:ascii="Times New Roman" w:eastAsia="Times New Roman" w:hAnsi="Times New Roman" w:cs="Times New Roman"/>
          <w:color w:val="000000" w:themeColor="text1"/>
          <w:kern w:val="0"/>
          <w:sz w:val="24"/>
          <w:szCs w:val="24"/>
          <w:lang w:eastAsia="en-GB"/>
          <w14:ligatures w14:val="none"/>
        </w:rPr>
        <w:t>to verify its relevance to one of the three thematic categories (ECO, ENVMGT, or CC).</w:t>
      </w:r>
    </w:p>
    <w:p w14:paraId="23D64B2E" w14:textId="72FBAB92" w:rsidR="008C7953" w:rsidRPr="00631DE0" w:rsidRDefault="008C7953" w:rsidP="005D6876">
      <w:pPr>
        <w:spacing w:after="120" w:line="360" w:lineRule="auto"/>
        <w:ind w:firstLine="0"/>
        <w:rPr>
          <w:rFonts w:ascii="Times New Roman" w:eastAsia="Times New Roman" w:hAnsi="Times New Roman" w:cs="Times New Roman"/>
          <w:color w:val="000000" w:themeColor="text1"/>
          <w:kern w:val="0"/>
          <w:sz w:val="24"/>
          <w:szCs w:val="24"/>
          <w:lang w:eastAsia="en-GB"/>
          <w14:ligatures w14:val="none"/>
        </w:rPr>
      </w:pPr>
      <w:r w:rsidRPr="00631DE0">
        <w:rPr>
          <w:rFonts w:ascii="Times New Roman" w:eastAsia="Times New Roman" w:hAnsi="Times New Roman" w:cs="Times New Roman"/>
          <w:b/>
          <w:bCs/>
          <w:color w:val="000000" w:themeColor="text1"/>
          <w:kern w:val="0"/>
          <w:sz w:val="24"/>
          <w:szCs w:val="24"/>
          <w:lang w:eastAsia="en-GB"/>
          <w14:ligatures w14:val="none"/>
        </w:rPr>
        <w:t>Text Unit Definition and Classification:</w:t>
      </w:r>
      <w:r w:rsidRPr="00631DE0">
        <w:rPr>
          <w:rFonts w:ascii="Times New Roman" w:eastAsia="Times New Roman" w:hAnsi="Times New Roman" w:cs="Times New Roman"/>
          <w:color w:val="000000" w:themeColor="text1"/>
          <w:kern w:val="0"/>
          <w:sz w:val="24"/>
          <w:szCs w:val="24"/>
          <w:lang w:eastAsia="en-GB"/>
          <w14:ligatures w14:val="none"/>
        </w:rPr>
        <w:t xml:space="preserve"> Following Lim and Mali (2022), a text unit </w:t>
      </w:r>
      <w:r w:rsidR="00D54E56">
        <w:rPr>
          <w:rFonts w:ascii="Times New Roman" w:eastAsia="Times New Roman" w:hAnsi="Times New Roman" w:cs="Times New Roman"/>
          <w:color w:val="000000" w:themeColor="text1"/>
          <w:kern w:val="0"/>
          <w:sz w:val="24"/>
          <w:szCs w:val="24"/>
          <w:lang w:eastAsia="en-GB"/>
          <w14:ligatures w14:val="none"/>
        </w:rPr>
        <w:t xml:space="preserve">(TU) </w:t>
      </w:r>
      <w:r w:rsidRPr="00631DE0">
        <w:rPr>
          <w:rFonts w:ascii="Times New Roman" w:eastAsia="Times New Roman" w:hAnsi="Times New Roman" w:cs="Times New Roman"/>
          <w:color w:val="000000" w:themeColor="text1"/>
          <w:kern w:val="0"/>
          <w:sz w:val="24"/>
          <w:szCs w:val="24"/>
          <w:lang w:eastAsia="en-GB"/>
          <w14:ligatures w14:val="none"/>
        </w:rPr>
        <w:t>was defined as a sentence. Each occurrence of a keyword was coded as either</w:t>
      </w:r>
      <w:r w:rsidR="00122913" w:rsidRPr="00631DE0">
        <w:rPr>
          <w:rFonts w:ascii="Times New Roman" w:eastAsia="Times New Roman" w:hAnsi="Times New Roman" w:cs="Times New Roman"/>
          <w:color w:val="000000" w:themeColor="text1"/>
          <w:kern w:val="0"/>
          <w:sz w:val="24"/>
          <w:szCs w:val="24"/>
          <w:lang w:eastAsia="en-GB"/>
          <w14:ligatures w14:val="none"/>
        </w:rPr>
        <w:t xml:space="preserve"> </w:t>
      </w:r>
      <w:r w:rsidRPr="00631DE0">
        <w:rPr>
          <w:rFonts w:ascii="Times New Roman" w:eastAsia="Times New Roman" w:hAnsi="Times New Roman" w:cs="Times New Roman"/>
          <w:b/>
          <w:bCs/>
          <w:color w:val="000000" w:themeColor="text1"/>
          <w:kern w:val="0"/>
          <w:sz w:val="24"/>
          <w:szCs w:val="24"/>
          <w:lang w:eastAsia="en-GB"/>
          <w14:ligatures w14:val="none"/>
        </w:rPr>
        <w:t>Numerical (NUM)</w:t>
      </w:r>
      <w:r w:rsidRPr="00631DE0">
        <w:rPr>
          <w:rFonts w:ascii="Times New Roman" w:eastAsia="Times New Roman" w:hAnsi="Times New Roman" w:cs="Times New Roman"/>
          <w:color w:val="000000" w:themeColor="text1"/>
          <w:kern w:val="0"/>
          <w:sz w:val="24"/>
          <w:szCs w:val="24"/>
          <w:lang w:eastAsia="en-GB"/>
          <w14:ligatures w14:val="none"/>
        </w:rPr>
        <w:t xml:space="preserve"> if the environmental information included quantifiable data (e.g., figures, ratios, or metrics).</w:t>
      </w:r>
      <w:r w:rsidR="00122913" w:rsidRPr="00631DE0">
        <w:rPr>
          <w:rFonts w:ascii="Times New Roman" w:eastAsia="Times New Roman" w:hAnsi="Times New Roman" w:cs="Times New Roman"/>
          <w:color w:val="000000" w:themeColor="text1"/>
          <w:kern w:val="0"/>
          <w:sz w:val="24"/>
          <w:szCs w:val="24"/>
          <w:lang w:eastAsia="en-GB"/>
          <w14:ligatures w14:val="none"/>
        </w:rPr>
        <w:t xml:space="preserve"> </w:t>
      </w:r>
      <w:r w:rsidRPr="00631DE0">
        <w:rPr>
          <w:rFonts w:ascii="Times New Roman" w:eastAsia="Times New Roman" w:hAnsi="Times New Roman" w:cs="Times New Roman"/>
          <w:b/>
          <w:bCs/>
          <w:color w:val="000000" w:themeColor="text1"/>
          <w:kern w:val="0"/>
          <w:sz w:val="24"/>
          <w:szCs w:val="24"/>
          <w:lang w:eastAsia="en-GB"/>
          <w14:ligatures w14:val="none"/>
        </w:rPr>
        <w:t>Narrative (NAR)</w:t>
      </w:r>
      <w:r w:rsidRPr="00631DE0">
        <w:rPr>
          <w:rFonts w:ascii="Times New Roman" w:eastAsia="Times New Roman" w:hAnsi="Times New Roman" w:cs="Times New Roman"/>
          <w:color w:val="000000" w:themeColor="text1"/>
          <w:kern w:val="0"/>
          <w:sz w:val="24"/>
          <w:szCs w:val="24"/>
          <w:lang w:eastAsia="en-GB"/>
          <w14:ligatures w14:val="none"/>
        </w:rPr>
        <w:t xml:space="preserve"> if the information was descriptive or qualitative, without accompanying numerical data.</w:t>
      </w:r>
      <w:r w:rsidR="00D54E56">
        <w:rPr>
          <w:rFonts w:ascii="Times New Roman" w:eastAsia="Times New Roman" w:hAnsi="Times New Roman" w:cs="Times New Roman"/>
          <w:color w:val="000000" w:themeColor="text1"/>
          <w:kern w:val="0"/>
          <w:sz w:val="24"/>
          <w:szCs w:val="24"/>
          <w:lang w:eastAsia="en-GB"/>
          <w14:ligatures w14:val="none"/>
        </w:rPr>
        <w:t xml:space="preserve"> TOT refers to the combination of NAR and NU</w:t>
      </w:r>
      <w:r w:rsidR="00A307E2">
        <w:rPr>
          <w:rFonts w:ascii="Times New Roman" w:eastAsia="Times New Roman" w:hAnsi="Times New Roman" w:cs="Times New Roman"/>
          <w:color w:val="000000" w:themeColor="text1"/>
          <w:kern w:val="0"/>
          <w:sz w:val="24"/>
          <w:szCs w:val="24"/>
          <w:lang w:eastAsia="en-GB"/>
          <w14:ligatures w14:val="none"/>
        </w:rPr>
        <w:t>M disclosures.</w:t>
      </w:r>
      <w:r w:rsidR="005C4577">
        <w:rPr>
          <w:rFonts w:ascii="Times New Roman" w:eastAsia="Times New Roman" w:hAnsi="Times New Roman" w:cs="Times New Roman"/>
          <w:color w:val="000000" w:themeColor="text1"/>
          <w:kern w:val="0"/>
          <w:sz w:val="24"/>
          <w:szCs w:val="24"/>
          <w:lang w:eastAsia="en-GB"/>
          <w14:ligatures w14:val="none"/>
        </w:rPr>
        <w:t xml:space="preserve"> </w:t>
      </w:r>
      <w:r w:rsidR="000A44D0">
        <w:rPr>
          <w:rFonts w:ascii="Times New Roman" w:eastAsia="Times New Roman" w:hAnsi="Times New Roman" w:cs="Times New Roman"/>
          <w:color w:val="000000" w:themeColor="text1"/>
          <w:kern w:val="0"/>
          <w:sz w:val="24"/>
          <w:szCs w:val="24"/>
          <w:lang w:eastAsia="en-GB"/>
          <w14:ligatures w14:val="none"/>
        </w:rPr>
        <w:t xml:space="preserve">If a keyword is recognised as </w:t>
      </w:r>
      <w:r w:rsidR="00D54E56">
        <w:rPr>
          <w:rFonts w:ascii="Times New Roman" w:eastAsia="Times New Roman" w:hAnsi="Times New Roman" w:cs="Times New Roman"/>
          <w:color w:val="000000" w:themeColor="text1"/>
          <w:kern w:val="0"/>
          <w:sz w:val="24"/>
          <w:szCs w:val="24"/>
          <w:lang w:eastAsia="en-GB"/>
          <w14:ligatures w14:val="none"/>
        </w:rPr>
        <w:t>existing</w:t>
      </w:r>
      <w:r w:rsidR="000A44D0">
        <w:rPr>
          <w:rFonts w:ascii="Times New Roman" w:eastAsia="Times New Roman" w:hAnsi="Times New Roman" w:cs="Times New Roman"/>
          <w:color w:val="000000" w:themeColor="text1"/>
          <w:kern w:val="0"/>
          <w:sz w:val="24"/>
          <w:szCs w:val="24"/>
          <w:lang w:eastAsia="en-GB"/>
          <w14:ligatures w14:val="none"/>
        </w:rPr>
        <w:t xml:space="preserve"> in a TU, and </w:t>
      </w:r>
      <w:r w:rsidR="00D54E56">
        <w:rPr>
          <w:rFonts w:ascii="Times New Roman" w:eastAsia="Times New Roman" w:hAnsi="Times New Roman" w:cs="Times New Roman"/>
          <w:color w:val="000000" w:themeColor="text1"/>
          <w:kern w:val="0"/>
          <w:sz w:val="24"/>
          <w:szCs w:val="24"/>
          <w:lang w:eastAsia="en-GB"/>
          <w14:ligatures w14:val="none"/>
        </w:rPr>
        <w:t>related to an environmental disclosure, it is assigned a value of 1 for TOT</w:t>
      </w:r>
      <w:r w:rsidR="00A45532">
        <w:rPr>
          <w:rFonts w:ascii="Times New Roman" w:eastAsia="Times New Roman" w:hAnsi="Times New Roman" w:cs="Times New Roman"/>
          <w:color w:val="000000" w:themeColor="text1"/>
          <w:kern w:val="0"/>
          <w:sz w:val="24"/>
          <w:szCs w:val="24"/>
          <w:lang w:eastAsia="en-GB"/>
          <w14:ligatures w14:val="none"/>
        </w:rPr>
        <w:t>AL</w:t>
      </w:r>
      <w:r w:rsidR="00D54E56">
        <w:rPr>
          <w:rFonts w:ascii="Times New Roman" w:eastAsia="Times New Roman" w:hAnsi="Times New Roman" w:cs="Times New Roman"/>
          <w:color w:val="000000" w:themeColor="text1"/>
          <w:kern w:val="0"/>
          <w:sz w:val="24"/>
          <w:szCs w:val="24"/>
          <w:lang w:eastAsia="en-GB"/>
          <w14:ligatures w14:val="none"/>
        </w:rPr>
        <w:t xml:space="preserve">, </w:t>
      </w:r>
      <w:r w:rsidRPr="00631DE0">
        <w:rPr>
          <w:rFonts w:ascii="Times New Roman" w:eastAsia="Times New Roman" w:hAnsi="Times New Roman" w:cs="Times New Roman"/>
          <w:color w:val="000000" w:themeColor="text1"/>
          <w:kern w:val="0"/>
          <w:sz w:val="24"/>
          <w:szCs w:val="24"/>
          <w:lang w:eastAsia="en-GB"/>
          <w14:ligatures w14:val="none"/>
        </w:rPr>
        <w:t>NAR and NUM. Duplicate references to the same keyword within a sentence were recorded once. However, if a sentence referenced multiple unique sub-themes (e.g., solar energy and biofuels), each was coded separately.</w:t>
      </w:r>
    </w:p>
    <w:p w14:paraId="3E03BF80" w14:textId="0C567E97" w:rsidR="008C7953" w:rsidRPr="00631DE0" w:rsidRDefault="008C7953" w:rsidP="005D6876">
      <w:pPr>
        <w:spacing w:after="120" w:line="360" w:lineRule="auto"/>
        <w:ind w:firstLine="0"/>
        <w:rPr>
          <w:rFonts w:ascii="Times New Roman" w:eastAsia="Times New Roman" w:hAnsi="Times New Roman" w:cs="Times New Roman"/>
          <w:color w:val="000000" w:themeColor="text1"/>
          <w:kern w:val="0"/>
          <w:sz w:val="24"/>
          <w:szCs w:val="24"/>
          <w:lang w:eastAsia="en-GB"/>
          <w14:ligatures w14:val="none"/>
        </w:rPr>
      </w:pPr>
      <w:r w:rsidRPr="00631DE0">
        <w:rPr>
          <w:rFonts w:ascii="Times New Roman" w:eastAsia="Times New Roman" w:hAnsi="Times New Roman" w:cs="Times New Roman"/>
          <w:b/>
          <w:bCs/>
          <w:color w:val="000000" w:themeColor="text1"/>
          <w:kern w:val="0"/>
          <w:sz w:val="24"/>
          <w:szCs w:val="24"/>
          <w:lang w:eastAsia="en-GB"/>
          <w14:ligatures w14:val="none"/>
        </w:rPr>
        <w:lastRenderedPageBreak/>
        <w:t>Policy vs. Operational Categorization:</w:t>
      </w:r>
      <w:r w:rsidRPr="00631DE0">
        <w:rPr>
          <w:rFonts w:ascii="Times New Roman" w:eastAsia="Times New Roman" w:hAnsi="Times New Roman" w:cs="Times New Roman"/>
          <w:color w:val="000000" w:themeColor="text1"/>
          <w:kern w:val="0"/>
          <w:sz w:val="24"/>
          <w:szCs w:val="24"/>
          <w:lang w:eastAsia="en-GB"/>
          <w14:ligatures w14:val="none"/>
        </w:rPr>
        <w:t xml:space="preserve"> Environmental information was further classified as:</w:t>
      </w:r>
      <w:r w:rsidR="00122913" w:rsidRPr="00631DE0">
        <w:rPr>
          <w:rFonts w:ascii="Times New Roman" w:eastAsia="Times New Roman" w:hAnsi="Times New Roman" w:cs="Times New Roman"/>
          <w:color w:val="000000" w:themeColor="text1"/>
          <w:kern w:val="0"/>
          <w:sz w:val="24"/>
          <w:szCs w:val="24"/>
          <w:lang w:eastAsia="en-GB"/>
          <w14:ligatures w14:val="none"/>
        </w:rPr>
        <w:t xml:space="preserve"> </w:t>
      </w:r>
      <w:r w:rsidRPr="00631DE0">
        <w:rPr>
          <w:rFonts w:ascii="Times New Roman" w:eastAsia="Times New Roman" w:hAnsi="Times New Roman" w:cs="Times New Roman"/>
          <w:b/>
          <w:bCs/>
          <w:color w:val="000000" w:themeColor="text1"/>
          <w:kern w:val="0"/>
          <w:sz w:val="24"/>
          <w:szCs w:val="24"/>
          <w:lang w:eastAsia="en-GB"/>
          <w14:ligatures w14:val="none"/>
        </w:rPr>
        <w:t>Policy/Target (P/T):</w:t>
      </w:r>
      <w:r w:rsidRPr="00631DE0">
        <w:rPr>
          <w:rFonts w:ascii="Times New Roman" w:eastAsia="Times New Roman" w:hAnsi="Times New Roman" w:cs="Times New Roman"/>
          <w:color w:val="000000" w:themeColor="text1"/>
          <w:kern w:val="0"/>
          <w:sz w:val="24"/>
          <w:szCs w:val="24"/>
          <w:lang w:eastAsia="en-GB"/>
          <w14:ligatures w14:val="none"/>
        </w:rPr>
        <w:t xml:space="preserve"> Forward-looking, aspirational disclosures outlining strategic goals or targets related to environmental performance.</w:t>
      </w:r>
      <w:r w:rsidR="00122913" w:rsidRPr="00631DE0">
        <w:rPr>
          <w:rFonts w:ascii="Times New Roman" w:eastAsia="Times New Roman" w:hAnsi="Times New Roman" w:cs="Times New Roman"/>
          <w:color w:val="000000" w:themeColor="text1"/>
          <w:kern w:val="0"/>
          <w:sz w:val="24"/>
          <w:szCs w:val="24"/>
          <w:lang w:eastAsia="en-GB"/>
          <w14:ligatures w14:val="none"/>
        </w:rPr>
        <w:t xml:space="preserve"> </w:t>
      </w:r>
      <w:r w:rsidRPr="00631DE0">
        <w:rPr>
          <w:rFonts w:ascii="Times New Roman" w:eastAsia="Times New Roman" w:hAnsi="Times New Roman" w:cs="Times New Roman"/>
          <w:b/>
          <w:bCs/>
          <w:color w:val="000000" w:themeColor="text1"/>
          <w:kern w:val="0"/>
          <w:sz w:val="24"/>
          <w:szCs w:val="24"/>
          <w:lang w:eastAsia="en-GB"/>
          <w14:ligatures w14:val="none"/>
        </w:rPr>
        <w:t>Operational Activity (OA):</w:t>
      </w:r>
      <w:r w:rsidRPr="00631DE0">
        <w:rPr>
          <w:rFonts w:ascii="Times New Roman" w:eastAsia="Times New Roman" w:hAnsi="Times New Roman" w:cs="Times New Roman"/>
          <w:color w:val="000000" w:themeColor="text1"/>
          <w:kern w:val="0"/>
          <w:sz w:val="24"/>
          <w:szCs w:val="24"/>
          <w:lang w:eastAsia="en-GB"/>
          <w14:ligatures w14:val="none"/>
        </w:rPr>
        <w:t xml:space="preserve"> Disclosures concerning actual environmental actions or initiatives implemented by the NGO.</w:t>
      </w:r>
      <w:r w:rsidR="00122913" w:rsidRPr="00631DE0">
        <w:rPr>
          <w:rFonts w:ascii="Times New Roman" w:eastAsia="Times New Roman" w:hAnsi="Times New Roman" w:cs="Times New Roman"/>
          <w:color w:val="000000" w:themeColor="text1"/>
          <w:kern w:val="0"/>
          <w:sz w:val="24"/>
          <w:szCs w:val="24"/>
          <w:lang w:eastAsia="en-GB"/>
          <w14:ligatures w14:val="none"/>
        </w:rPr>
        <w:t xml:space="preserve"> </w:t>
      </w:r>
      <w:r w:rsidRPr="00631DE0">
        <w:rPr>
          <w:rFonts w:ascii="Times New Roman" w:eastAsia="Times New Roman" w:hAnsi="Times New Roman" w:cs="Times New Roman"/>
          <w:color w:val="000000" w:themeColor="text1"/>
          <w:kern w:val="0"/>
          <w:sz w:val="24"/>
          <w:szCs w:val="24"/>
          <w:lang w:eastAsia="en-GB"/>
          <w14:ligatures w14:val="none"/>
        </w:rPr>
        <w:t>A value of 1 was assigned for each occurrence of P/T or OA disclosure; 0 was recorded when absent.</w:t>
      </w:r>
    </w:p>
    <w:p w14:paraId="30D66E56" w14:textId="16CD8015" w:rsidR="008C7953" w:rsidRPr="00631DE0" w:rsidRDefault="008C7953" w:rsidP="005D6876">
      <w:pPr>
        <w:spacing w:after="120" w:line="360" w:lineRule="auto"/>
        <w:ind w:firstLine="0"/>
        <w:rPr>
          <w:rFonts w:ascii="Times New Roman" w:eastAsia="Times New Roman" w:hAnsi="Times New Roman" w:cs="Times New Roman"/>
          <w:color w:val="000000" w:themeColor="text1"/>
          <w:kern w:val="0"/>
          <w:sz w:val="24"/>
          <w:szCs w:val="24"/>
          <w:lang w:eastAsia="en-GB"/>
          <w14:ligatures w14:val="none"/>
        </w:rPr>
      </w:pPr>
      <w:r w:rsidRPr="00631DE0">
        <w:rPr>
          <w:rFonts w:ascii="Times New Roman" w:eastAsia="Times New Roman" w:hAnsi="Times New Roman" w:cs="Times New Roman"/>
          <w:b/>
          <w:bCs/>
          <w:color w:val="000000" w:themeColor="text1"/>
          <w:kern w:val="0"/>
          <w:sz w:val="24"/>
          <w:szCs w:val="24"/>
          <w:lang w:eastAsia="en-GB"/>
          <w14:ligatures w14:val="none"/>
        </w:rPr>
        <w:t>Internal Validity and Inter-Coder Reliability:</w:t>
      </w:r>
      <w:r w:rsidRPr="00631DE0">
        <w:rPr>
          <w:rFonts w:ascii="Times New Roman" w:eastAsia="Times New Roman" w:hAnsi="Times New Roman" w:cs="Times New Roman"/>
          <w:color w:val="000000" w:themeColor="text1"/>
          <w:kern w:val="0"/>
          <w:sz w:val="24"/>
          <w:szCs w:val="24"/>
          <w:lang w:eastAsia="en-GB"/>
          <w14:ligatures w14:val="none"/>
        </w:rPr>
        <w:t xml:space="preserve"> To enhance the reliability of coding, a second reviewer independently analysed annual reports for five NGOs selected from across the sample range (ranks 1–10, 11–20, 21–30, 31–40, and 41–50). A comparison of coding outcomes between the two reviewers was conducted, followed by a consensus meeting to resolve discrepancies and ensure consistent application of the coding criteria.</w:t>
      </w:r>
    </w:p>
    <w:p w14:paraId="2D53B51B" w14:textId="77777777" w:rsidR="008C7953" w:rsidRPr="00631DE0" w:rsidRDefault="008C7953" w:rsidP="005D6876">
      <w:pPr>
        <w:spacing w:after="120" w:line="360" w:lineRule="auto"/>
        <w:ind w:firstLine="0"/>
        <w:outlineLvl w:val="2"/>
        <w:rPr>
          <w:rFonts w:ascii="Times New Roman" w:eastAsia="Times New Roman" w:hAnsi="Times New Roman" w:cs="Times New Roman"/>
          <w:b/>
          <w:bCs/>
          <w:color w:val="000000" w:themeColor="text1"/>
          <w:kern w:val="0"/>
          <w:sz w:val="27"/>
          <w:szCs w:val="27"/>
          <w:lang w:eastAsia="en-GB"/>
          <w14:ligatures w14:val="none"/>
        </w:rPr>
      </w:pPr>
      <w:r w:rsidRPr="00631DE0">
        <w:rPr>
          <w:rFonts w:ascii="Times New Roman" w:eastAsia="Times New Roman" w:hAnsi="Times New Roman" w:cs="Times New Roman"/>
          <w:b/>
          <w:bCs/>
          <w:color w:val="000000" w:themeColor="text1"/>
          <w:kern w:val="0"/>
          <w:sz w:val="27"/>
          <w:szCs w:val="27"/>
          <w:lang w:eastAsia="en-GB"/>
          <w14:ligatures w14:val="none"/>
        </w:rPr>
        <w:t>Data Aggregation and Analysis</w:t>
      </w:r>
    </w:p>
    <w:p w14:paraId="7F579ACE" w14:textId="77777777" w:rsidR="008C7953" w:rsidRPr="00631DE0" w:rsidRDefault="008C7953" w:rsidP="005D6876">
      <w:pPr>
        <w:spacing w:after="120" w:line="360" w:lineRule="auto"/>
        <w:ind w:firstLine="0"/>
        <w:rPr>
          <w:rFonts w:ascii="Times New Roman" w:eastAsia="Times New Roman" w:hAnsi="Times New Roman" w:cs="Times New Roman"/>
          <w:color w:val="000000" w:themeColor="text1"/>
          <w:kern w:val="0"/>
          <w:sz w:val="24"/>
          <w:szCs w:val="24"/>
          <w:lang w:eastAsia="en-GB"/>
          <w14:ligatures w14:val="none"/>
        </w:rPr>
      </w:pPr>
      <w:r w:rsidRPr="00631DE0">
        <w:rPr>
          <w:rFonts w:ascii="Times New Roman" w:eastAsia="Times New Roman" w:hAnsi="Times New Roman" w:cs="Times New Roman"/>
          <w:color w:val="000000" w:themeColor="text1"/>
          <w:kern w:val="0"/>
          <w:sz w:val="24"/>
          <w:szCs w:val="24"/>
          <w:lang w:eastAsia="en-GB"/>
          <w14:ligatures w14:val="none"/>
        </w:rPr>
        <w:t>The total number of occurrences of TOTAL, NUM, NAR, P/T, and OA disclosures were aggregated on a per-organization basis and then merged to calculate cumulative totals for 2013 and 2023. These totals represent the basis for the quantitative analysis.</w:t>
      </w:r>
    </w:p>
    <w:p w14:paraId="45CB69BB" w14:textId="5792556C" w:rsidR="00122913" w:rsidRPr="00631DE0" w:rsidRDefault="008C7953" w:rsidP="005D6876">
      <w:pPr>
        <w:spacing w:after="120" w:line="360" w:lineRule="auto"/>
        <w:ind w:firstLine="0"/>
        <w:rPr>
          <w:rFonts w:ascii="Times New Roman" w:eastAsia="Times New Roman" w:hAnsi="Times New Roman" w:cs="Times New Roman"/>
          <w:color w:val="000000" w:themeColor="text1"/>
          <w:kern w:val="0"/>
          <w:sz w:val="24"/>
          <w:szCs w:val="24"/>
          <w:lang w:eastAsia="en-GB"/>
          <w14:ligatures w14:val="none"/>
        </w:rPr>
      </w:pPr>
      <w:r w:rsidRPr="00631DE0">
        <w:rPr>
          <w:rFonts w:ascii="Times New Roman" w:eastAsia="Times New Roman" w:hAnsi="Times New Roman" w:cs="Times New Roman"/>
          <w:color w:val="000000" w:themeColor="text1"/>
          <w:kern w:val="0"/>
          <w:sz w:val="24"/>
          <w:szCs w:val="24"/>
          <w:lang w:eastAsia="en-GB"/>
          <w14:ligatures w14:val="none"/>
        </w:rPr>
        <w:t xml:space="preserve">To assess whether the changes in disclosure levels are statistically significant, we conducted two-sample t-tests comparing the means of each disclosure type between the two years. The t-test methodology was selected based on its established use in similar studies </w:t>
      </w:r>
      <w:r w:rsidR="005D6876" w:rsidRPr="00631DE0">
        <w:rPr>
          <w:rFonts w:ascii="Times New Roman" w:eastAsia="Times New Roman" w:hAnsi="Times New Roman" w:cs="Times New Roman"/>
          <w:color w:val="000000" w:themeColor="text1"/>
          <w:kern w:val="0"/>
          <w:sz w:val="24"/>
          <w:szCs w:val="24"/>
          <w:lang w:eastAsia="en-GB"/>
          <w14:ligatures w14:val="none"/>
        </w:rPr>
        <w:t>analysing</w:t>
      </w:r>
      <w:r w:rsidRPr="00631DE0">
        <w:rPr>
          <w:rFonts w:ascii="Times New Roman" w:eastAsia="Times New Roman" w:hAnsi="Times New Roman" w:cs="Times New Roman"/>
          <w:color w:val="000000" w:themeColor="text1"/>
          <w:kern w:val="0"/>
          <w:sz w:val="24"/>
          <w:szCs w:val="24"/>
          <w:lang w:eastAsia="en-GB"/>
          <w14:ligatures w14:val="none"/>
        </w:rPr>
        <w:t xml:space="preserve"> environmental reporting trends (e.g., Lim &amp; Mali, 2022). This test allows us to determine whether the differences observed are due to random variation or reflect meaningful change over time.</w:t>
      </w:r>
    </w:p>
    <w:p w14:paraId="4701B17A" w14:textId="0C5D854F" w:rsidR="000D6236" w:rsidRPr="00631DE0" w:rsidRDefault="004358B2" w:rsidP="00146467">
      <w:pPr>
        <w:spacing w:after="120" w:line="360" w:lineRule="auto"/>
        <w:ind w:firstLine="0"/>
        <w:jc w:val="center"/>
        <w:rPr>
          <w:rFonts w:ascii="Times New Roman" w:eastAsia="Times New Roman" w:hAnsi="Times New Roman" w:cs="Times New Roman"/>
          <w:b/>
          <w:bCs/>
          <w:color w:val="000000" w:themeColor="text1"/>
          <w:kern w:val="0"/>
          <w:sz w:val="24"/>
          <w:szCs w:val="24"/>
          <w:lang w:eastAsia="zh-CN"/>
          <w14:ligatures w14:val="none"/>
        </w:rPr>
      </w:pPr>
      <w:bookmarkStart w:id="11" w:name="_Hlk202187584"/>
      <w:r w:rsidRPr="00631DE0">
        <w:rPr>
          <w:rFonts w:ascii="Times New Roman" w:eastAsia="Times New Roman" w:hAnsi="Times New Roman" w:cs="Times New Roman"/>
          <w:b/>
          <w:bCs/>
          <w:color w:val="000000" w:themeColor="text1"/>
          <w:kern w:val="0"/>
          <w:sz w:val="24"/>
          <w:szCs w:val="24"/>
          <w:lang w:eastAsia="zh-CN"/>
          <w14:ligatures w14:val="none"/>
        </w:rPr>
        <w:t>[Table 1 goes about here]</w:t>
      </w:r>
    </w:p>
    <w:bookmarkEnd w:id="11"/>
    <w:p w14:paraId="15570528" w14:textId="77777777" w:rsidR="004358B2" w:rsidRPr="00631DE0" w:rsidRDefault="004358B2" w:rsidP="00146467">
      <w:pPr>
        <w:spacing w:after="120" w:line="360" w:lineRule="auto"/>
        <w:ind w:firstLine="0"/>
        <w:jc w:val="center"/>
        <w:rPr>
          <w:rFonts w:ascii="Times New Roman" w:eastAsia="Times New Roman" w:hAnsi="Times New Roman" w:cs="Times New Roman"/>
          <w:b/>
          <w:bCs/>
          <w:color w:val="000000" w:themeColor="text1"/>
          <w:kern w:val="0"/>
          <w:sz w:val="24"/>
          <w:szCs w:val="24"/>
          <w:lang w:eastAsia="zh-CN"/>
          <w14:ligatures w14:val="none"/>
        </w:rPr>
      </w:pPr>
    </w:p>
    <w:p w14:paraId="469CF5B0" w14:textId="50530A25" w:rsidR="004554EE" w:rsidRPr="00631DE0" w:rsidRDefault="002C6F3F" w:rsidP="005D6876">
      <w:pPr>
        <w:suppressAutoHyphens/>
        <w:autoSpaceDN w:val="0"/>
        <w:spacing w:after="120" w:line="360" w:lineRule="auto"/>
        <w:ind w:firstLine="0"/>
        <w:jc w:val="left"/>
        <w:textAlignment w:val="baseline"/>
        <w:rPr>
          <w:rFonts w:ascii="Times New Roman" w:hAnsi="Times New Roman" w:cs="Times New Roman"/>
          <w:b/>
          <w:bCs/>
          <w:color w:val="000000" w:themeColor="text1"/>
          <w:sz w:val="24"/>
          <w:szCs w:val="24"/>
        </w:rPr>
      </w:pPr>
      <w:r w:rsidRPr="00631DE0">
        <w:rPr>
          <w:rFonts w:ascii="Times New Roman" w:hAnsi="Times New Roman" w:cs="Times New Roman"/>
          <w:b/>
          <w:bCs/>
          <w:color w:val="000000" w:themeColor="text1"/>
          <w:sz w:val="24"/>
          <w:szCs w:val="24"/>
        </w:rPr>
        <w:t xml:space="preserve">3.2 </w:t>
      </w:r>
      <w:r w:rsidR="004554EE" w:rsidRPr="00631DE0">
        <w:rPr>
          <w:rFonts w:ascii="Times New Roman" w:hAnsi="Times New Roman" w:cs="Times New Roman"/>
          <w:b/>
          <w:bCs/>
          <w:color w:val="000000" w:themeColor="text1"/>
          <w:sz w:val="24"/>
          <w:szCs w:val="24"/>
        </w:rPr>
        <w:t>Sample Selection</w:t>
      </w:r>
    </w:p>
    <w:p w14:paraId="3A086D02" w14:textId="3BF1EE69" w:rsidR="00871C66" w:rsidRPr="00631DE0" w:rsidRDefault="00AC1F6F" w:rsidP="005D6876">
      <w:pPr>
        <w:spacing w:after="120" w:line="360" w:lineRule="auto"/>
        <w:ind w:firstLine="0"/>
        <w:rPr>
          <w:rFonts w:ascii="Times New Roman" w:eastAsia="Calibri" w:hAnsi="Times New Roman" w:cs="Times New Roman"/>
          <w:color w:val="000000" w:themeColor="text1"/>
          <w:sz w:val="24"/>
          <w:szCs w:val="24"/>
        </w:rPr>
      </w:pPr>
      <w:r w:rsidRPr="00631DE0">
        <w:rPr>
          <w:rFonts w:ascii="Times New Roman" w:eastAsia="Calibri" w:hAnsi="Times New Roman" w:cs="Times New Roman"/>
          <w:color w:val="000000" w:themeColor="text1"/>
          <w:sz w:val="24"/>
          <w:szCs w:val="24"/>
        </w:rPr>
        <w:t>The sample consists of the</w:t>
      </w:r>
      <w:r w:rsidRPr="00631DE0">
        <w:rPr>
          <w:rFonts w:ascii="Times New Roman" w:eastAsia="Calibri" w:hAnsi="Times New Roman" w:cs="Times New Roman"/>
          <w:b/>
          <w:bCs/>
          <w:color w:val="000000" w:themeColor="text1"/>
          <w:sz w:val="24"/>
          <w:szCs w:val="24"/>
        </w:rPr>
        <w:t xml:space="preserve"> </w:t>
      </w:r>
      <w:r w:rsidRPr="00631DE0">
        <w:rPr>
          <w:rFonts w:ascii="Times New Roman" w:eastAsia="Calibri" w:hAnsi="Times New Roman" w:cs="Times New Roman"/>
          <w:color w:val="000000" w:themeColor="text1"/>
          <w:sz w:val="24"/>
          <w:szCs w:val="24"/>
        </w:rPr>
        <w:t>50 largest NGOs in the UK, based on donations.</w:t>
      </w:r>
      <w:r w:rsidR="00944AFB" w:rsidRPr="00631DE0">
        <w:rPr>
          <w:rStyle w:val="FootnoteReference"/>
          <w:rFonts w:ascii="Times New Roman" w:eastAsia="Calibri" w:hAnsi="Times New Roman" w:cs="Times New Roman"/>
          <w:color w:val="000000" w:themeColor="text1"/>
          <w:sz w:val="24"/>
          <w:szCs w:val="24"/>
        </w:rPr>
        <w:footnoteReference w:id="1"/>
      </w:r>
      <w:r w:rsidR="00BE557F" w:rsidRPr="00631DE0">
        <w:rPr>
          <w:rFonts w:ascii="Times New Roman" w:eastAsia="Calibri" w:hAnsi="Times New Roman" w:cs="Times New Roman"/>
          <w:color w:val="000000" w:themeColor="text1"/>
          <w:sz w:val="24"/>
          <w:szCs w:val="24"/>
        </w:rPr>
        <w:t xml:space="preserve"> </w:t>
      </w:r>
      <w:r w:rsidRPr="00631DE0">
        <w:rPr>
          <w:rFonts w:ascii="Times New Roman" w:eastAsia="Calibri" w:hAnsi="Times New Roman" w:cs="Times New Roman"/>
          <w:color w:val="000000" w:themeColor="text1"/>
          <w:sz w:val="24"/>
          <w:szCs w:val="24"/>
        </w:rPr>
        <w:t xml:space="preserve">An initial </w:t>
      </w:r>
      <w:r w:rsidR="009B726E" w:rsidRPr="00631DE0">
        <w:rPr>
          <w:rFonts w:ascii="Times New Roman" w:eastAsia="Calibri" w:hAnsi="Times New Roman" w:cs="Times New Roman"/>
          <w:color w:val="000000" w:themeColor="text1"/>
          <w:sz w:val="24"/>
          <w:szCs w:val="24"/>
        </w:rPr>
        <w:t>sample of</w:t>
      </w:r>
      <w:r w:rsidRPr="00631DE0">
        <w:rPr>
          <w:rFonts w:ascii="Times New Roman" w:eastAsia="Calibri" w:hAnsi="Times New Roman" w:cs="Times New Roman"/>
          <w:color w:val="000000" w:themeColor="text1"/>
          <w:sz w:val="24"/>
          <w:szCs w:val="24"/>
        </w:rPr>
        <w:t xml:space="preserve"> 50</w:t>
      </w:r>
      <w:r w:rsidR="009B726E" w:rsidRPr="00631DE0">
        <w:rPr>
          <w:rFonts w:ascii="Times New Roman" w:eastAsia="Calibri" w:hAnsi="Times New Roman" w:cs="Times New Roman"/>
          <w:color w:val="000000" w:themeColor="text1"/>
          <w:sz w:val="24"/>
          <w:szCs w:val="24"/>
        </w:rPr>
        <w:t xml:space="preserve"> NGOs </w:t>
      </w:r>
      <w:r w:rsidR="00BE557F" w:rsidRPr="00631DE0">
        <w:rPr>
          <w:rFonts w:ascii="Times New Roman" w:eastAsia="Calibri" w:hAnsi="Times New Roman" w:cs="Times New Roman"/>
          <w:color w:val="000000" w:themeColor="text1"/>
          <w:sz w:val="24"/>
          <w:szCs w:val="24"/>
        </w:rPr>
        <w:t>was</w:t>
      </w:r>
      <w:r w:rsidRPr="00631DE0">
        <w:rPr>
          <w:rFonts w:ascii="Times New Roman" w:eastAsia="Calibri" w:hAnsi="Times New Roman" w:cs="Times New Roman"/>
          <w:color w:val="000000" w:themeColor="text1"/>
          <w:sz w:val="24"/>
          <w:szCs w:val="24"/>
        </w:rPr>
        <w:t xml:space="preserve"> chosen</w:t>
      </w:r>
      <w:r w:rsidR="00A652D9" w:rsidRPr="00631DE0">
        <w:rPr>
          <w:rFonts w:ascii="Times New Roman" w:eastAsia="Calibri" w:hAnsi="Times New Roman" w:cs="Times New Roman"/>
          <w:color w:val="000000" w:themeColor="text1"/>
          <w:sz w:val="24"/>
          <w:szCs w:val="24"/>
        </w:rPr>
        <w:t xml:space="preserve"> dependent on received donations of above £50 million by NGOs. </w:t>
      </w:r>
      <w:r w:rsidR="00BC0229" w:rsidRPr="00631DE0">
        <w:rPr>
          <w:rFonts w:ascii="Times New Roman" w:hAnsi="Times New Roman" w:cs="Times New Roman"/>
          <w:color w:val="000000" w:themeColor="text1"/>
          <w:sz w:val="24"/>
          <w:szCs w:val="24"/>
        </w:rPr>
        <w:t xml:space="preserve">We argue that </w:t>
      </w:r>
      <w:r w:rsidR="008C5865" w:rsidRPr="00631DE0">
        <w:rPr>
          <w:rFonts w:ascii="Times New Roman" w:hAnsi="Times New Roman" w:cs="Times New Roman"/>
          <w:color w:val="000000" w:themeColor="text1"/>
          <w:sz w:val="24"/>
          <w:szCs w:val="24"/>
        </w:rPr>
        <w:t>NGOs receiving</w:t>
      </w:r>
      <w:r w:rsidR="00BC0229" w:rsidRPr="00631DE0">
        <w:rPr>
          <w:rFonts w:ascii="Times New Roman" w:hAnsi="Times New Roman" w:cs="Times New Roman"/>
          <w:color w:val="000000" w:themeColor="text1"/>
          <w:sz w:val="24"/>
          <w:szCs w:val="24"/>
        </w:rPr>
        <w:t xml:space="preserve"> larger donations may</w:t>
      </w:r>
      <w:r w:rsidR="008C5865" w:rsidRPr="00631DE0">
        <w:rPr>
          <w:rFonts w:ascii="Times New Roman" w:hAnsi="Times New Roman" w:cs="Times New Roman"/>
          <w:color w:val="000000" w:themeColor="text1"/>
          <w:sz w:val="24"/>
          <w:szCs w:val="24"/>
        </w:rPr>
        <w:t xml:space="preserve"> be exposed to more scrutiny than smaller ones. Also, </w:t>
      </w:r>
      <w:r w:rsidR="00B22AE6" w:rsidRPr="00631DE0">
        <w:rPr>
          <w:rFonts w:ascii="Times New Roman" w:hAnsi="Times New Roman" w:cs="Times New Roman"/>
          <w:color w:val="000000" w:themeColor="text1"/>
          <w:sz w:val="24"/>
          <w:szCs w:val="24"/>
        </w:rPr>
        <w:t xml:space="preserve">as posited by prior studies, such firms have similar characteristics (Graye </w:t>
      </w:r>
      <w:r w:rsidR="00B22AE6" w:rsidRPr="00631DE0">
        <w:rPr>
          <w:rFonts w:ascii="Times New Roman" w:hAnsi="Times New Roman" w:cs="Times New Roman"/>
          <w:i/>
          <w:iCs/>
          <w:color w:val="000000" w:themeColor="text1"/>
          <w:sz w:val="24"/>
          <w:szCs w:val="24"/>
        </w:rPr>
        <w:t>et al</w:t>
      </w:r>
      <w:r w:rsidR="00B22AE6" w:rsidRPr="00631DE0">
        <w:rPr>
          <w:rFonts w:ascii="Times New Roman" w:hAnsi="Times New Roman" w:cs="Times New Roman"/>
          <w:color w:val="000000" w:themeColor="text1"/>
          <w:sz w:val="24"/>
          <w:szCs w:val="24"/>
        </w:rPr>
        <w:t xml:space="preserve">., 1995; Mitchell </w:t>
      </w:r>
      <w:r w:rsidR="00B22AE6" w:rsidRPr="00631DE0">
        <w:rPr>
          <w:rFonts w:ascii="Times New Roman" w:hAnsi="Times New Roman" w:cs="Times New Roman"/>
          <w:i/>
          <w:iCs/>
          <w:color w:val="000000" w:themeColor="text1"/>
          <w:sz w:val="24"/>
          <w:szCs w:val="24"/>
        </w:rPr>
        <w:t>et al</w:t>
      </w:r>
      <w:r w:rsidR="00D437B8" w:rsidRPr="00631DE0">
        <w:rPr>
          <w:rFonts w:ascii="Times New Roman" w:hAnsi="Times New Roman" w:cs="Times New Roman"/>
          <w:color w:val="000000" w:themeColor="text1"/>
          <w:sz w:val="24"/>
          <w:szCs w:val="24"/>
        </w:rPr>
        <w:t>.</w:t>
      </w:r>
      <w:r w:rsidR="00B22AE6" w:rsidRPr="00631DE0">
        <w:rPr>
          <w:rFonts w:ascii="Times New Roman" w:hAnsi="Times New Roman" w:cs="Times New Roman"/>
          <w:color w:val="000000" w:themeColor="text1"/>
          <w:sz w:val="24"/>
          <w:szCs w:val="24"/>
        </w:rPr>
        <w:t xml:space="preserve">, 1995). As such, we conclude that such </w:t>
      </w:r>
      <w:r w:rsidR="001F23BB">
        <w:rPr>
          <w:rFonts w:ascii="Times New Roman" w:hAnsi="Times New Roman" w:cs="Times New Roman"/>
          <w:color w:val="000000" w:themeColor="text1"/>
          <w:sz w:val="24"/>
          <w:szCs w:val="24"/>
        </w:rPr>
        <w:t>NGOs</w:t>
      </w:r>
      <w:r w:rsidR="001F23BB" w:rsidRPr="00631DE0">
        <w:rPr>
          <w:rFonts w:ascii="Times New Roman" w:hAnsi="Times New Roman" w:cs="Times New Roman"/>
          <w:color w:val="000000" w:themeColor="text1"/>
          <w:sz w:val="24"/>
          <w:szCs w:val="24"/>
        </w:rPr>
        <w:t xml:space="preserve"> </w:t>
      </w:r>
      <w:r w:rsidR="00944AFB" w:rsidRPr="00631DE0">
        <w:rPr>
          <w:rFonts w:ascii="Times New Roman" w:hAnsi="Times New Roman" w:cs="Times New Roman"/>
          <w:color w:val="000000" w:themeColor="text1"/>
          <w:sz w:val="24"/>
          <w:szCs w:val="24"/>
        </w:rPr>
        <w:t>may have</w:t>
      </w:r>
      <w:r w:rsidR="001549EC" w:rsidRPr="00631DE0">
        <w:rPr>
          <w:rFonts w:ascii="Times New Roman" w:hAnsi="Times New Roman" w:cs="Times New Roman"/>
          <w:color w:val="000000" w:themeColor="text1"/>
          <w:sz w:val="24"/>
          <w:szCs w:val="24"/>
        </w:rPr>
        <w:t xml:space="preserve"> </w:t>
      </w:r>
      <w:r w:rsidR="00944AFB" w:rsidRPr="00631DE0">
        <w:rPr>
          <w:rFonts w:ascii="Times New Roman" w:hAnsi="Times New Roman" w:cs="Times New Roman"/>
          <w:color w:val="000000" w:themeColor="text1"/>
          <w:sz w:val="24"/>
          <w:szCs w:val="24"/>
        </w:rPr>
        <w:t>similar</w:t>
      </w:r>
      <w:r w:rsidR="001549EC" w:rsidRPr="00631DE0">
        <w:rPr>
          <w:rFonts w:ascii="Times New Roman" w:hAnsi="Times New Roman" w:cs="Times New Roman"/>
          <w:color w:val="000000" w:themeColor="text1"/>
          <w:sz w:val="24"/>
          <w:szCs w:val="24"/>
        </w:rPr>
        <w:t xml:space="preserve"> propensity to </w:t>
      </w:r>
      <w:r w:rsidR="00B22AE6" w:rsidRPr="00631DE0">
        <w:rPr>
          <w:rFonts w:ascii="Times New Roman" w:hAnsi="Times New Roman" w:cs="Times New Roman"/>
          <w:color w:val="000000" w:themeColor="text1"/>
          <w:sz w:val="24"/>
          <w:szCs w:val="24"/>
        </w:rPr>
        <w:t>disclos</w:t>
      </w:r>
      <w:r w:rsidR="00BB4882" w:rsidRPr="00631DE0">
        <w:rPr>
          <w:rFonts w:ascii="Times New Roman" w:hAnsi="Times New Roman" w:cs="Times New Roman"/>
          <w:color w:val="000000" w:themeColor="text1"/>
          <w:sz w:val="24"/>
          <w:szCs w:val="24"/>
        </w:rPr>
        <w:t>e environment</w:t>
      </w:r>
      <w:r w:rsidR="00B22AE6" w:rsidRPr="00631DE0">
        <w:rPr>
          <w:rFonts w:ascii="Times New Roman" w:hAnsi="Times New Roman" w:cs="Times New Roman"/>
          <w:color w:val="000000" w:themeColor="text1"/>
          <w:sz w:val="24"/>
          <w:szCs w:val="24"/>
        </w:rPr>
        <w:t xml:space="preserve"> in pursuit of legitimacy</w:t>
      </w:r>
      <w:r w:rsidR="00BC0229" w:rsidRPr="00631DE0">
        <w:rPr>
          <w:rFonts w:ascii="Times New Roman" w:hAnsi="Times New Roman" w:cs="Times New Roman"/>
          <w:color w:val="000000" w:themeColor="text1"/>
          <w:sz w:val="24"/>
          <w:szCs w:val="24"/>
        </w:rPr>
        <w:t>.</w:t>
      </w:r>
      <w:r w:rsidR="0098433C" w:rsidRPr="00631DE0">
        <w:rPr>
          <w:rFonts w:ascii="Times New Roman" w:hAnsi="Times New Roman" w:cs="Times New Roman"/>
          <w:color w:val="000000" w:themeColor="text1"/>
          <w:sz w:val="24"/>
          <w:szCs w:val="24"/>
        </w:rPr>
        <w:t xml:space="preserve"> </w:t>
      </w:r>
      <w:r w:rsidR="00420933" w:rsidRPr="00631DE0">
        <w:rPr>
          <w:rFonts w:ascii="Times New Roman" w:eastAsia="Calibri" w:hAnsi="Times New Roman" w:cs="Times New Roman"/>
          <w:color w:val="000000" w:themeColor="text1"/>
          <w:sz w:val="24"/>
          <w:szCs w:val="24"/>
        </w:rPr>
        <w:t xml:space="preserve">In line with researchers </w:t>
      </w:r>
      <w:r w:rsidR="00420933" w:rsidRPr="00631DE0">
        <w:rPr>
          <w:rFonts w:ascii="Times New Roman" w:hAnsi="Times New Roman" w:cs="Times New Roman"/>
          <w:color w:val="000000" w:themeColor="text1"/>
          <w:sz w:val="24"/>
          <w:szCs w:val="24"/>
        </w:rPr>
        <w:t xml:space="preserve">(Albitar </w:t>
      </w:r>
      <w:r w:rsidR="00420933" w:rsidRPr="00631DE0">
        <w:rPr>
          <w:rFonts w:ascii="Times New Roman" w:hAnsi="Times New Roman" w:cs="Times New Roman"/>
          <w:i/>
          <w:iCs/>
          <w:color w:val="000000" w:themeColor="text1"/>
          <w:sz w:val="24"/>
          <w:szCs w:val="24"/>
        </w:rPr>
        <w:t>et al</w:t>
      </w:r>
      <w:r w:rsidR="00420933" w:rsidRPr="00631DE0">
        <w:rPr>
          <w:rFonts w:ascii="Times New Roman" w:hAnsi="Times New Roman" w:cs="Times New Roman"/>
          <w:color w:val="000000" w:themeColor="text1"/>
          <w:sz w:val="24"/>
          <w:szCs w:val="24"/>
        </w:rPr>
        <w:t xml:space="preserve">., 2023; </w:t>
      </w:r>
      <w:r w:rsidR="00420933" w:rsidRPr="00631DE0">
        <w:rPr>
          <w:rFonts w:ascii="Times New Roman" w:hAnsi="Times New Roman" w:cs="Times New Roman"/>
          <w:color w:val="000000" w:themeColor="text1"/>
          <w:sz w:val="24"/>
          <w:szCs w:val="24"/>
        </w:rPr>
        <w:lastRenderedPageBreak/>
        <w:t xml:space="preserve">Gerged </w:t>
      </w:r>
      <w:r w:rsidR="00420933" w:rsidRPr="00631DE0">
        <w:rPr>
          <w:rFonts w:ascii="Times New Roman" w:hAnsi="Times New Roman" w:cs="Times New Roman"/>
          <w:i/>
          <w:iCs/>
          <w:color w:val="000000" w:themeColor="text1"/>
          <w:sz w:val="24"/>
          <w:szCs w:val="24"/>
        </w:rPr>
        <w:t>et al</w:t>
      </w:r>
      <w:r w:rsidR="00420933" w:rsidRPr="00631DE0">
        <w:rPr>
          <w:rFonts w:ascii="Times New Roman" w:hAnsi="Times New Roman" w:cs="Times New Roman"/>
          <w:color w:val="000000" w:themeColor="text1"/>
          <w:sz w:val="24"/>
          <w:szCs w:val="24"/>
        </w:rPr>
        <w:t>., 2021), we use annual reports as a source of environmental disclosure and firm characteristics data.</w:t>
      </w:r>
      <w:r w:rsidR="00420933" w:rsidRPr="00631DE0">
        <w:rPr>
          <w:rFonts w:ascii="Times New Roman" w:eastAsia="Calibri" w:hAnsi="Times New Roman" w:cs="Times New Roman"/>
          <w:color w:val="000000" w:themeColor="text1"/>
          <w:sz w:val="24"/>
          <w:szCs w:val="24"/>
        </w:rPr>
        <w:t xml:space="preserve"> </w:t>
      </w:r>
      <w:r w:rsidRPr="00631DE0">
        <w:rPr>
          <w:rFonts w:ascii="Times New Roman" w:eastAsia="Calibri" w:hAnsi="Times New Roman" w:cs="Times New Roman"/>
          <w:color w:val="000000" w:themeColor="text1"/>
          <w:sz w:val="24"/>
          <w:szCs w:val="24"/>
        </w:rPr>
        <w:t>O</w:t>
      </w:r>
      <w:r w:rsidR="00420933" w:rsidRPr="00631DE0">
        <w:rPr>
          <w:rFonts w:ascii="Times New Roman" w:eastAsia="Calibri" w:hAnsi="Times New Roman" w:cs="Times New Roman"/>
          <w:color w:val="000000" w:themeColor="text1"/>
          <w:sz w:val="24"/>
          <w:szCs w:val="24"/>
        </w:rPr>
        <w:t>ut of</w:t>
      </w:r>
      <w:r w:rsidRPr="00631DE0">
        <w:rPr>
          <w:rFonts w:ascii="Times New Roman" w:eastAsia="Calibri" w:hAnsi="Times New Roman" w:cs="Times New Roman"/>
          <w:color w:val="000000" w:themeColor="text1"/>
          <w:sz w:val="24"/>
          <w:szCs w:val="24"/>
        </w:rPr>
        <w:t xml:space="preserve"> 50 largest NGOs in the UK,</w:t>
      </w:r>
      <w:r w:rsidRPr="00631DE0">
        <w:rPr>
          <w:rFonts w:ascii="Times New Roman" w:eastAsia="Calibri" w:hAnsi="Times New Roman" w:cs="Times New Roman"/>
          <w:b/>
          <w:bCs/>
          <w:color w:val="000000" w:themeColor="text1"/>
          <w:sz w:val="24"/>
          <w:szCs w:val="24"/>
        </w:rPr>
        <w:t xml:space="preserve"> </w:t>
      </w:r>
      <w:r w:rsidRPr="00631DE0">
        <w:rPr>
          <w:rFonts w:ascii="Times New Roman" w:eastAsia="Calibri" w:hAnsi="Times New Roman" w:cs="Times New Roman"/>
          <w:color w:val="000000" w:themeColor="text1"/>
          <w:sz w:val="24"/>
          <w:szCs w:val="24"/>
        </w:rPr>
        <w:t xml:space="preserve">only </w:t>
      </w:r>
      <w:r w:rsidR="009B726E" w:rsidRPr="00631DE0">
        <w:rPr>
          <w:rFonts w:ascii="Times New Roman" w:eastAsia="Calibri" w:hAnsi="Times New Roman" w:cs="Times New Roman"/>
          <w:color w:val="000000" w:themeColor="text1"/>
          <w:sz w:val="24"/>
          <w:szCs w:val="24"/>
        </w:rPr>
        <w:t>35</w:t>
      </w:r>
      <w:r w:rsidR="00111FCB" w:rsidRPr="00631DE0">
        <w:rPr>
          <w:rFonts w:ascii="Times New Roman" w:eastAsia="Calibri" w:hAnsi="Times New Roman" w:cs="Times New Roman"/>
          <w:color w:val="000000" w:themeColor="text1"/>
          <w:sz w:val="24"/>
          <w:szCs w:val="24"/>
        </w:rPr>
        <w:t xml:space="preserve"> NGOs</w:t>
      </w:r>
      <w:r w:rsidRPr="00631DE0">
        <w:rPr>
          <w:rFonts w:ascii="Times New Roman" w:eastAsia="Calibri" w:hAnsi="Times New Roman" w:cs="Times New Roman"/>
          <w:b/>
          <w:bCs/>
          <w:color w:val="000000" w:themeColor="text1"/>
          <w:sz w:val="24"/>
          <w:szCs w:val="24"/>
        </w:rPr>
        <w:t xml:space="preserve"> </w:t>
      </w:r>
      <w:r w:rsidRPr="00631DE0">
        <w:rPr>
          <w:rFonts w:ascii="Times New Roman" w:eastAsia="Calibri" w:hAnsi="Times New Roman" w:cs="Times New Roman"/>
          <w:color w:val="000000" w:themeColor="text1"/>
          <w:sz w:val="24"/>
          <w:szCs w:val="24"/>
        </w:rPr>
        <w:t>h</w:t>
      </w:r>
      <w:r w:rsidR="00420933" w:rsidRPr="00631DE0">
        <w:rPr>
          <w:rFonts w:ascii="Times New Roman" w:eastAsia="Calibri" w:hAnsi="Times New Roman" w:cs="Times New Roman"/>
          <w:color w:val="000000" w:themeColor="text1"/>
          <w:sz w:val="24"/>
          <w:szCs w:val="24"/>
        </w:rPr>
        <w:t>ad</w:t>
      </w:r>
      <w:r w:rsidRPr="00631DE0">
        <w:rPr>
          <w:rFonts w:ascii="Times New Roman" w:eastAsia="Calibri" w:hAnsi="Times New Roman" w:cs="Times New Roman"/>
          <w:color w:val="000000" w:themeColor="text1"/>
          <w:sz w:val="24"/>
          <w:szCs w:val="24"/>
        </w:rPr>
        <w:t xml:space="preserve"> annual </w:t>
      </w:r>
      <w:r w:rsidR="009B726E" w:rsidRPr="00631DE0">
        <w:rPr>
          <w:rFonts w:ascii="Times New Roman" w:eastAsia="Calibri" w:hAnsi="Times New Roman" w:cs="Times New Roman"/>
          <w:color w:val="000000" w:themeColor="text1"/>
          <w:sz w:val="24"/>
          <w:szCs w:val="24"/>
        </w:rPr>
        <w:t xml:space="preserve">reports </w:t>
      </w:r>
      <w:r w:rsidR="00BB4882" w:rsidRPr="00631DE0">
        <w:rPr>
          <w:rFonts w:ascii="Times New Roman" w:eastAsia="Calibri" w:hAnsi="Times New Roman" w:cs="Times New Roman"/>
          <w:color w:val="000000" w:themeColor="text1"/>
          <w:sz w:val="24"/>
          <w:szCs w:val="24"/>
        </w:rPr>
        <w:t>for</w:t>
      </w:r>
      <w:r w:rsidRPr="00631DE0">
        <w:rPr>
          <w:rFonts w:ascii="Times New Roman" w:eastAsia="Calibri" w:hAnsi="Times New Roman" w:cs="Times New Roman"/>
          <w:color w:val="000000" w:themeColor="text1"/>
          <w:sz w:val="24"/>
          <w:szCs w:val="24"/>
        </w:rPr>
        <w:t xml:space="preserve"> 2013 and 2023</w:t>
      </w:r>
      <w:r w:rsidR="00E10A1D" w:rsidRPr="00631DE0">
        <w:rPr>
          <w:rFonts w:ascii="Times New Roman" w:eastAsia="Calibri" w:hAnsi="Times New Roman" w:cs="Times New Roman"/>
          <w:color w:val="000000" w:themeColor="text1"/>
          <w:sz w:val="24"/>
          <w:szCs w:val="24"/>
        </w:rPr>
        <w:t xml:space="preserve"> </w:t>
      </w:r>
      <w:r w:rsidR="009B726E" w:rsidRPr="00631DE0">
        <w:rPr>
          <w:rFonts w:ascii="Times New Roman" w:eastAsia="Calibri" w:hAnsi="Times New Roman" w:cs="Times New Roman"/>
          <w:color w:val="000000" w:themeColor="text1"/>
          <w:sz w:val="24"/>
          <w:szCs w:val="24"/>
        </w:rPr>
        <w:t>on their website</w:t>
      </w:r>
      <w:r w:rsidR="0098433C" w:rsidRPr="00631DE0">
        <w:rPr>
          <w:rFonts w:ascii="Times New Roman" w:eastAsia="Calibri" w:hAnsi="Times New Roman" w:cs="Times New Roman"/>
          <w:color w:val="000000" w:themeColor="text1"/>
          <w:sz w:val="24"/>
          <w:szCs w:val="24"/>
        </w:rPr>
        <w:t>.</w:t>
      </w:r>
      <w:r w:rsidR="009B726E" w:rsidRPr="00631DE0">
        <w:rPr>
          <w:rFonts w:ascii="Times New Roman" w:eastAsia="Calibri" w:hAnsi="Times New Roman" w:cs="Times New Roman"/>
          <w:color w:val="000000" w:themeColor="text1"/>
          <w:sz w:val="24"/>
          <w:szCs w:val="24"/>
        </w:rPr>
        <w:t xml:space="preserve"> </w:t>
      </w:r>
      <w:r w:rsidR="00420933" w:rsidRPr="00631DE0">
        <w:rPr>
          <w:rFonts w:ascii="Times New Roman" w:eastAsia="Calibri" w:hAnsi="Times New Roman" w:cs="Times New Roman"/>
          <w:color w:val="000000" w:themeColor="text1"/>
          <w:sz w:val="24"/>
          <w:szCs w:val="24"/>
        </w:rPr>
        <w:t xml:space="preserve">After excluding 15 NGOs, we remained with a final sample of 35 NGOs, representing 70 firms’ two years observations. </w:t>
      </w:r>
      <w:r w:rsidR="00F84064" w:rsidRPr="00631DE0">
        <w:rPr>
          <w:rFonts w:ascii="Times New Roman" w:eastAsia="Calibri" w:hAnsi="Times New Roman" w:cs="Times New Roman"/>
          <w:color w:val="000000" w:themeColor="text1"/>
          <w:sz w:val="24"/>
          <w:szCs w:val="24"/>
        </w:rPr>
        <w:t xml:space="preserve">We concur that this methodology is robust, as prior studies have adopted similar sample size (Duff, 2018; Lim and Mali, 2022). </w:t>
      </w:r>
      <w:r w:rsidR="00807B3E" w:rsidRPr="00631DE0">
        <w:rPr>
          <w:rFonts w:ascii="Times New Roman" w:hAnsi="Times New Roman" w:cs="Times New Roman"/>
          <w:color w:val="000000" w:themeColor="text1"/>
          <w:sz w:val="24"/>
          <w:szCs w:val="24"/>
        </w:rPr>
        <w:t xml:space="preserve">We choose ten-year study time span to </w:t>
      </w:r>
      <w:r w:rsidR="009447C9" w:rsidRPr="00631DE0">
        <w:rPr>
          <w:rFonts w:ascii="Times New Roman" w:hAnsi="Times New Roman" w:cs="Times New Roman"/>
          <w:color w:val="000000" w:themeColor="text1"/>
          <w:sz w:val="24"/>
          <w:szCs w:val="24"/>
        </w:rPr>
        <w:t xml:space="preserve">examine the </w:t>
      </w:r>
      <w:r w:rsidR="00420933" w:rsidRPr="00631DE0">
        <w:rPr>
          <w:rFonts w:ascii="Times New Roman" w:hAnsi="Times New Roman" w:cs="Times New Roman"/>
          <w:color w:val="000000" w:themeColor="text1"/>
          <w:sz w:val="24"/>
          <w:szCs w:val="24"/>
        </w:rPr>
        <w:t>extent of</w:t>
      </w:r>
      <w:r w:rsidR="00807B3E" w:rsidRPr="00631DE0">
        <w:rPr>
          <w:rFonts w:ascii="Times New Roman" w:hAnsi="Times New Roman" w:cs="Times New Roman"/>
          <w:color w:val="000000" w:themeColor="text1"/>
          <w:sz w:val="24"/>
          <w:szCs w:val="24"/>
        </w:rPr>
        <w:t xml:space="preserve"> environmental disclosure </w:t>
      </w:r>
      <w:r w:rsidR="0098433C" w:rsidRPr="00631DE0">
        <w:rPr>
          <w:rFonts w:ascii="Times New Roman" w:hAnsi="Times New Roman" w:cs="Times New Roman"/>
          <w:color w:val="000000" w:themeColor="text1"/>
          <w:sz w:val="24"/>
          <w:szCs w:val="24"/>
        </w:rPr>
        <w:t>over 10 years</w:t>
      </w:r>
      <w:r w:rsidR="00807B3E" w:rsidRPr="00631DE0">
        <w:rPr>
          <w:rFonts w:ascii="Times New Roman" w:hAnsi="Times New Roman" w:cs="Times New Roman"/>
          <w:color w:val="000000" w:themeColor="text1"/>
          <w:sz w:val="24"/>
          <w:szCs w:val="24"/>
        </w:rPr>
        <w:t xml:space="preserve"> period.</w:t>
      </w:r>
    </w:p>
    <w:p w14:paraId="64CBECB6" w14:textId="114D4E38" w:rsidR="00E55238" w:rsidRPr="00631DE0" w:rsidRDefault="00E55238" w:rsidP="00146467">
      <w:pPr>
        <w:spacing w:after="120" w:line="360" w:lineRule="auto"/>
        <w:ind w:firstLine="0"/>
        <w:rPr>
          <w:rFonts w:ascii="Times New Roman" w:eastAsia="Calibri" w:hAnsi="Times New Roman" w:cs="Times New Roman"/>
          <w:b/>
          <w:bCs/>
          <w:color w:val="000000" w:themeColor="text1"/>
          <w:sz w:val="24"/>
          <w:szCs w:val="24"/>
        </w:rPr>
      </w:pPr>
      <w:r w:rsidRPr="00631DE0">
        <w:rPr>
          <w:rFonts w:ascii="Times New Roman" w:eastAsia="Calibri" w:hAnsi="Times New Roman" w:cs="Times New Roman"/>
          <w:b/>
          <w:bCs/>
          <w:color w:val="000000" w:themeColor="text1"/>
          <w:sz w:val="24"/>
          <w:szCs w:val="24"/>
        </w:rPr>
        <w:t>4</w:t>
      </w:r>
      <w:r w:rsidR="00546261" w:rsidRPr="00631DE0">
        <w:rPr>
          <w:rFonts w:ascii="Times New Roman" w:eastAsia="Calibri" w:hAnsi="Times New Roman" w:cs="Times New Roman"/>
          <w:b/>
          <w:bCs/>
          <w:color w:val="000000" w:themeColor="text1"/>
          <w:sz w:val="24"/>
          <w:szCs w:val="24"/>
        </w:rPr>
        <w:t>.</w:t>
      </w:r>
      <w:r w:rsidRPr="00631DE0">
        <w:rPr>
          <w:rFonts w:ascii="Times New Roman" w:eastAsia="Calibri" w:hAnsi="Times New Roman" w:cs="Times New Roman"/>
          <w:b/>
          <w:bCs/>
          <w:color w:val="000000" w:themeColor="text1"/>
          <w:sz w:val="24"/>
          <w:szCs w:val="24"/>
        </w:rPr>
        <w:t xml:space="preserve"> Empirical results</w:t>
      </w:r>
    </w:p>
    <w:p w14:paraId="537B2EB3" w14:textId="6B110897" w:rsidR="00B307DE" w:rsidRPr="00631DE0" w:rsidRDefault="0098433C" w:rsidP="005D6876">
      <w:pPr>
        <w:suppressAutoHyphens/>
        <w:autoSpaceDN w:val="0"/>
        <w:spacing w:after="120" w:line="360" w:lineRule="auto"/>
        <w:ind w:firstLine="0"/>
        <w:textAlignment w:val="baseline"/>
        <w:rPr>
          <w:rFonts w:ascii="Times New Roman" w:eastAsia="Calibri" w:hAnsi="Times New Roman" w:cs="Times New Roman"/>
          <w:b/>
          <w:bCs/>
          <w:color w:val="000000" w:themeColor="text1"/>
          <w:sz w:val="24"/>
          <w:szCs w:val="24"/>
        </w:rPr>
      </w:pPr>
      <w:r w:rsidRPr="00631DE0">
        <w:rPr>
          <w:rFonts w:ascii="Times New Roman" w:eastAsia="Calibri" w:hAnsi="Times New Roman" w:cs="Times New Roman"/>
          <w:b/>
          <w:bCs/>
          <w:color w:val="000000" w:themeColor="text1"/>
          <w:sz w:val="24"/>
          <w:szCs w:val="24"/>
        </w:rPr>
        <w:t xml:space="preserve">4.1 </w:t>
      </w:r>
      <w:r w:rsidR="00B307DE" w:rsidRPr="00631DE0">
        <w:rPr>
          <w:rFonts w:ascii="Times New Roman" w:eastAsia="Calibri" w:hAnsi="Times New Roman" w:cs="Times New Roman"/>
          <w:b/>
          <w:bCs/>
          <w:color w:val="000000" w:themeColor="text1"/>
          <w:sz w:val="24"/>
          <w:szCs w:val="24"/>
        </w:rPr>
        <w:t>Descriptive statistics</w:t>
      </w:r>
    </w:p>
    <w:p w14:paraId="62ED302F" w14:textId="783F7655" w:rsidR="00502C11" w:rsidRPr="00631DE0" w:rsidRDefault="00A00131" w:rsidP="005D6876">
      <w:pPr>
        <w:suppressAutoHyphens/>
        <w:autoSpaceDN w:val="0"/>
        <w:spacing w:after="120" w:line="360" w:lineRule="auto"/>
        <w:ind w:firstLine="0"/>
        <w:textAlignment w:val="baseline"/>
        <w:rPr>
          <w:rFonts w:ascii="Times New Roman" w:eastAsia="Calibri" w:hAnsi="Times New Roman" w:cs="Times New Roman"/>
          <w:color w:val="000000" w:themeColor="text1"/>
          <w:sz w:val="24"/>
          <w:szCs w:val="24"/>
        </w:rPr>
      </w:pPr>
      <w:r w:rsidRPr="00631DE0">
        <w:rPr>
          <w:rFonts w:ascii="Times New Roman" w:eastAsia="Calibri" w:hAnsi="Times New Roman" w:cs="Times New Roman"/>
          <w:color w:val="000000" w:themeColor="text1"/>
          <w:sz w:val="24"/>
          <w:szCs w:val="24"/>
        </w:rPr>
        <w:t xml:space="preserve">Table </w:t>
      </w:r>
      <w:r w:rsidR="00D350CB" w:rsidRPr="00631DE0">
        <w:rPr>
          <w:rFonts w:ascii="Times New Roman" w:eastAsia="Calibri" w:hAnsi="Times New Roman" w:cs="Times New Roman"/>
          <w:color w:val="000000" w:themeColor="text1"/>
          <w:sz w:val="24"/>
          <w:szCs w:val="24"/>
        </w:rPr>
        <w:t>2</w:t>
      </w:r>
      <w:r w:rsidR="00CD4576" w:rsidRPr="00631DE0">
        <w:rPr>
          <w:rFonts w:ascii="Times New Roman" w:eastAsia="Calibri" w:hAnsi="Times New Roman" w:cs="Times New Roman"/>
          <w:color w:val="000000" w:themeColor="text1"/>
          <w:sz w:val="24"/>
          <w:szCs w:val="24"/>
        </w:rPr>
        <w:t xml:space="preserve"> </w:t>
      </w:r>
      <w:r w:rsidR="00F65B3F" w:rsidRPr="00631DE0">
        <w:rPr>
          <w:rFonts w:ascii="Times New Roman" w:eastAsia="Calibri" w:hAnsi="Times New Roman" w:cs="Times New Roman"/>
          <w:color w:val="000000" w:themeColor="text1"/>
          <w:sz w:val="24"/>
          <w:szCs w:val="24"/>
        </w:rPr>
        <w:t>shows</w:t>
      </w:r>
      <w:r w:rsidRPr="00631DE0">
        <w:rPr>
          <w:rFonts w:ascii="Times New Roman" w:eastAsia="Calibri" w:hAnsi="Times New Roman" w:cs="Times New Roman"/>
          <w:color w:val="000000" w:themeColor="text1"/>
          <w:sz w:val="24"/>
          <w:szCs w:val="24"/>
        </w:rPr>
        <w:t xml:space="preserve"> </w:t>
      </w:r>
      <w:r w:rsidR="00D350CB" w:rsidRPr="00631DE0">
        <w:rPr>
          <w:rFonts w:ascii="Times New Roman" w:eastAsia="Calibri" w:hAnsi="Times New Roman" w:cs="Times New Roman"/>
          <w:color w:val="000000" w:themeColor="text1"/>
          <w:sz w:val="24"/>
          <w:szCs w:val="24"/>
        </w:rPr>
        <w:t>summary</w:t>
      </w:r>
      <w:r w:rsidRPr="00631DE0">
        <w:rPr>
          <w:rFonts w:ascii="Times New Roman" w:eastAsia="Calibri" w:hAnsi="Times New Roman" w:cs="Times New Roman"/>
          <w:color w:val="000000" w:themeColor="text1"/>
          <w:sz w:val="24"/>
          <w:szCs w:val="24"/>
        </w:rPr>
        <w:t xml:space="preserve"> statistics o</w:t>
      </w:r>
      <w:r w:rsidR="00CD4576" w:rsidRPr="00631DE0">
        <w:rPr>
          <w:rFonts w:ascii="Times New Roman" w:eastAsia="Calibri" w:hAnsi="Times New Roman" w:cs="Times New Roman"/>
          <w:color w:val="000000" w:themeColor="text1"/>
          <w:sz w:val="24"/>
          <w:szCs w:val="24"/>
        </w:rPr>
        <w:t xml:space="preserve">f </w:t>
      </w:r>
      <w:r w:rsidR="00E943A5" w:rsidRPr="00631DE0">
        <w:rPr>
          <w:rFonts w:ascii="Times New Roman" w:eastAsia="Calibri" w:hAnsi="Times New Roman" w:cs="Times New Roman"/>
          <w:color w:val="000000" w:themeColor="text1"/>
          <w:sz w:val="24"/>
          <w:szCs w:val="24"/>
        </w:rPr>
        <w:t xml:space="preserve">for </w:t>
      </w:r>
      <w:r w:rsidR="00F50FB9" w:rsidRPr="00631DE0">
        <w:rPr>
          <w:rFonts w:ascii="Times New Roman" w:eastAsia="Calibri" w:hAnsi="Times New Roman" w:cs="Times New Roman"/>
          <w:color w:val="000000" w:themeColor="text1"/>
          <w:sz w:val="24"/>
          <w:szCs w:val="24"/>
        </w:rPr>
        <w:t xml:space="preserve">Total environmental disclosure occurrences in </w:t>
      </w:r>
      <w:r w:rsidR="00D350CB" w:rsidRPr="00631DE0">
        <w:rPr>
          <w:rFonts w:ascii="Times New Roman" w:eastAsia="Calibri" w:hAnsi="Times New Roman" w:cs="Times New Roman"/>
          <w:color w:val="000000" w:themeColor="text1"/>
          <w:sz w:val="24"/>
          <w:szCs w:val="24"/>
        </w:rPr>
        <w:t xml:space="preserve">2013 and 2023 (70 firm year observations). </w:t>
      </w:r>
      <w:bookmarkStart w:id="12" w:name="_Hlk199764657"/>
      <w:r w:rsidR="00502C11" w:rsidRPr="00631DE0">
        <w:rPr>
          <w:rFonts w:ascii="Times New Roman" w:eastAsia="Calibri" w:hAnsi="Times New Roman" w:cs="Times New Roman"/>
          <w:color w:val="000000" w:themeColor="text1"/>
          <w:sz w:val="24"/>
          <w:szCs w:val="24"/>
        </w:rPr>
        <w:t xml:space="preserve"> Table 2 shows summary statistics of environmental disclosures (TOTAL, NAR, NUM, P/T, OA), and governance characteristic depicting firm commitment to environmental issues in year 2013 and 2023 (70 firm years observations). </w:t>
      </w:r>
      <w:r w:rsidR="006D0239" w:rsidRPr="00631DE0">
        <w:rPr>
          <w:rFonts w:ascii="Times New Roman" w:eastAsia="Calibri" w:hAnsi="Times New Roman" w:cs="Times New Roman"/>
          <w:color w:val="000000" w:themeColor="text1"/>
          <w:sz w:val="24"/>
          <w:szCs w:val="24"/>
        </w:rPr>
        <w:t>In summary, the main purpose of this Table is to show on</w:t>
      </w:r>
      <w:r w:rsidR="00FA2979" w:rsidRPr="00631DE0">
        <w:rPr>
          <w:rFonts w:ascii="Times New Roman" w:eastAsia="Calibri" w:hAnsi="Times New Roman" w:cs="Times New Roman"/>
          <w:color w:val="000000" w:themeColor="text1"/>
          <w:sz w:val="24"/>
          <w:szCs w:val="24"/>
        </w:rPr>
        <w:t xml:space="preserve"> average, the types of disclosures that firms include on annual reports. </w:t>
      </w:r>
      <w:r w:rsidR="00502C11" w:rsidRPr="00631DE0">
        <w:rPr>
          <w:rFonts w:ascii="Times New Roman" w:eastAsia="Calibri" w:hAnsi="Times New Roman" w:cs="Times New Roman"/>
          <w:color w:val="000000" w:themeColor="text1"/>
          <w:sz w:val="24"/>
          <w:szCs w:val="24"/>
        </w:rPr>
        <w:t xml:space="preserve">Table 2 presents </w:t>
      </w:r>
      <w:r w:rsidR="00B1261C" w:rsidRPr="00631DE0">
        <w:rPr>
          <w:rFonts w:ascii="Times New Roman" w:eastAsia="Calibri" w:hAnsi="Times New Roman" w:cs="Times New Roman"/>
          <w:color w:val="000000" w:themeColor="text1"/>
          <w:sz w:val="24"/>
          <w:szCs w:val="24"/>
        </w:rPr>
        <w:t xml:space="preserve">that on </w:t>
      </w:r>
      <w:r w:rsidR="00DC67BB" w:rsidRPr="00631DE0">
        <w:rPr>
          <w:rFonts w:ascii="Times New Roman" w:eastAsia="Calibri" w:hAnsi="Times New Roman" w:cs="Times New Roman"/>
          <w:color w:val="000000" w:themeColor="text1"/>
          <w:sz w:val="24"/>
          <w:szCs w:val="24"/>
        </w:rPr>
        <w:t>average;</w:t>
      </w:r>
      <w:r w:rsidR="00B1261C" w:rsidRPr="00631DE0">
        <w:rPr>
          <w:rFonts w:ascii="Times New Roman" w:eastAsia="Calibri" w:hAnsi="Times New Roman" w:cs="Times New Roman"/>
          <w:color w:val="000000" w:themeColor="text1"/>
          <w:sz w:val="24"/>
          <w:szCs w:val="24"/>
        </w:rPr>
        <w:t xml:space="preserve"> each NGO</w:t>
      </w:r>
      <w:r w:rsidR="0033107E" w:rsidRPr="00631DE0">
        <w:rPr>
          <w:rFonts w:ascii="Times New Roman" w:eastAsia="Calibri" w:hAnsi="Times New Roman" w:cs="Times New Roman"/>
          <w:color w:val="000000" w:themeColor="text1"/>
          <w:sz w:val="24"/>
          <w:szCs w:val="24"/>
        </w:rPr>
        <w:t xml:space="preserve"> has a TOTAL of</w:t>
      </w:r>
      <w:r w:rsidR="00502C11" w:rsidRPr="00631DE0">
        <w:rPr>
          <w:rFonts w:ascii="Times New Roman" w:eastAsia="Calibri" w:hAnsi="Times New Roman" w:cs="Times New Roman"/>
          <w:color w:val="000000" w:themeColor="text1"/>
          <w:sz w:val="24"/>
          <w:szCs w:val="24"/>
        </w:rPr>
        <w:t xml:space="preserve"> 72.1 of in year 2013 and 2023. </w:t>
      </w:r>
      <w:r w:rsidR="007A1404">
        <w:rPr>
          <w:rFonts w:ascii="Times New Roman" w:eastAsia="Calibri" w:hAnsi="Times New Roman" w:cs="Times New Roman"/>
          <w:color w:val="000000" w:themeColor="text1"/>
          <w:sz w:val="24"/>
          <w:szCs w:val="24"/>
        </w:rPr>
        <w:t>Also, w</w:t>
      </w:r>
      <w:r w:rsidR="00502C11" w:rsidRPr="00631DE0">
        <w:rPr>
          <w:rFonts w:ascii="Times New Roman" w:eastAsia="Calibri" w:hAnsi="Times New Roman" w:cs="Times New Roman"/>
          <w:color w:val="000000" w:themeColor="text1"/>
          <w:sz w:val="24"/>
          <w:szCs w:val="24"/>
        </w:rPr>
        <w:t xml:space="preserve">hile NAR represents an average of 62.9 through the sample period, NUM reports 9.01 in year 2013 and 2023. </w:t>
      </w:r>
      <w:r w:rsidR="00E868B4" w:rsidRPr="00631DE0">
        <w:rPr>
          <w:rFonts w:ascii="Times New Roman" w:eastAsia="Calibri" w:hAnsi="Times New Roman" w:cs="Times New Roman"/>
          <w:color w:val="000000" w:themeColor="text1"/>
          <w:sz w:val="24"/>
          <w:szCs w:val="24"/>
        </w:rPr>
        <w:t>Th</w:t>
      </w:r>
      <w:r w:rsidR="00E25BDA">
        <w:rPr>
          <w:rFonts w:ascii="Times New Roman" w:eastAsia="Calibri" w:hAnsi="Times New Roman" w:cs="Times New Roman"/>
          <w:color w:val="000000" w:themeColor="text1"/>
          <w:sz w:val="24"/>
          <w:szCs w:val="24"/>
        </w:rPr>
        <w:t>ese</w:t>
      </w:r>
      <w:r w:rsidR="00E868B4" w:rsidRPr="00631DE0">
        <w:rPr>
          <w:rFonts w:ascii="Times New Roman" w:eastAsia="Calibri" w:hAnsi="Times New Roman" w:cs="Times New Roman"/>
          <w:color w:val="000000" w:themeColor="text1"/>
          <w:sz w:val="24"/>
          <w:szCs w:val="24"/>
        </w:rPr>
        <w:t xml:space="preserve"> result</w:t>
      </w:r>
      <w:r w:rsidR="00E25BDA">
        <w:rPr>
          <w:rFonts w:ascii="Times New Roman" w:eastAsia="Calibri" w:hAnsi="Times New Roman" w:cs="Times New Roman"/>
          <w:color w:val="000000" w:themeColor="text1"/>
          <w:sz w:val="24"/>
          <w:szCs w:val="24"/>
        </w:rPr>
        <w:t>s</w:t>
      </w:r>
      <w:r w:rsidR="00E868B4" w:rsidRPr="00631DE0">
        <w:rPr>
          <w:rFonts w:ascii="Times New Roman" w:eastAsia="Calibri" w:hAnsi="Times New Roman" w:cs="Times New Roman"/>
          <w:color w:val="000000" w:themeColor="text1"/>
          <w:sz w:val="24"/>
          <w:szCs w:val="24"/>
        </w:rPr>
        <w:t xml:space="preserve"> show that NAR disclosures are more prevalent, compared to NU</w:t>
      </w:r>
      <w:r w:rsidR="00397BFC" w:rsidRPr="00631DE0">
        <w:rPr>
          <w:rFonts w:ascii="Times New Roman" w:eastAsia="Calibri" w:hAnsi="Times New Roman" w:cs="Times New Roman"/>
          <w:color w:val="000000" w:themeColor="text1"/>
          <w:sz w:val="24"/>
          <w:szCs w:val="24"/>
        </w:rPr>
        <w:t xml:space="preserve">M, which </w:t>
      </w:r>
      <w:r w:rsidR="007D5806">
        <w:rPr>
          <w:rFonts w:ascii="Times New Roman" w:eastAsia="Calibri" w:hAnsi="Times New Roman" w:cs="Times New Roman"/>
          <w:color w:val="000000" w:themeColor="text1"/>
          <w:sz w:val="24"/>
          <w:szCs w:val="24"/>
        </w:rPr>
        <w:t>suggest</w:t>
      </w:r>
      <w:r w:rsidR="00397BFC" w:rsidRPr="00631DE0">
        <w:rPr>
          <w:rFonts w:ascii="Times New Roman" w:eastAsia="Calibri" w:hAnsi="Times New Roman" w:cs="Times New Roman"/>
          <w:color w:val="000000" w:themeColor="text1"/>
          <w:sz w:val="24"/>
          <w:szCs w:val="24"/>
        </w:rPr>
        <w:t xml:space="preserve"> that NGOs may not have the potential to disclose environmental information that is verifiable </w:t>
      </w:r>
      <w:r w:rsidR="00397BFC" w:rsidRPr="00631DE0">
        <w:rPr>
          <w:rFonts w:ascii="Times New Roman" w:eastAsia="Calibri" w:hAnsi="Times New Roman" w:cs="Times New Roman"/>
          <w:i/>
          <w:iCs/>
          <w:color w:val="000000" w:themeColor="text1"/>
          <w:sz w:val="24"/>
          <w:szCs w:val="24"/>
        </w:rPr>
        <w:t>ex ante</w:t>
      </w:r>
      <w:r w:rsidR="00E868B4" w:rsidRPr="00631DE0">
        <w:rPr>
          <w:rFonts w:ascii="Times New Roman" w:eastAsia="Calibri" w:hAnsi="Times New Roman" w:cs="Times New Roman"/>
          <w:color w:val="000000" w:themeColor="text1"/>
          <w:sz w:val="24"/>
          <w:szCs w:val="24"/>
        </w:rPr>
        <w:t xml:space="preserve">. </w:t>
      </w:r>
      <w:r w:rsidR="00502C11" w:rsidRPr="00631DE0">
        <w:rPr>
          <w:rFonts w:ascii="Times New Roman" w:eastAsia="Calibri" w:hAnsi="Times New Roman" w:cs="Times New Roman"/>
          <w:color w:val="000000" w:themeColor="text1"/>
          <w:sz w:val="24"/>
          <w:szCs w:val="24"/>
        </w:rPr>
        <w:t xml:space="preserve">Also, P/T and OA depicts a mean of 3.18 and 59.54, respectively in year 2013 and 2023. </w:t>
      </w:r>
      <w:r w:rsidR="005E16C2" w:rsidRPr="00631DE0">
        <w:rPr>
          <w:rFonts w:ascii="Times New Roman" w:eastAsia="Calibri" w:hAnsi="Times New Roman" w:cs="Times New Roman"/>
          <w:color w:val="000000" w:themeColor="text1"/>
          <w:sz w:val="24"/>
          <w:szCs w:val="24"/>
        </w:rPr>
        <w:t xml:space="preserve">This result suggests that </w:t>
      </w:r>
      <w:r w:rsidR="00491A66">
        <w:rPr>
          <w:rFonts w:ascii="Times New Roman" w:eastAsia="Calibri" w:hAnsi="Times New Roman" w:cs="Times New Roman"/>
          <w:color w:val="000000" w:themeColor="text1"/>
          <w:sz w:val="24"/>
          <w:szCs w:val="24"/>
        </w:rPr>
        <w:t>NGOs</w:t>
      </w:r>
      <w:r w:rsidR="00491A66" w:rsidRPr="00631DE0">
        <w:rPr>
          <w:rFonts w:ascii="Times New Roman" w:eastAsia="Calibri" w:hAnsi="Times New Roman" w:cs="Times New Roman"/>
          <w:color w:val="000000" w:themeColor="text1"/>
          <w:sz w:val="24"/>
          <w:szCs w:val="24"/>
        </w:rPr>
        <w:t xml:space="preserve"> </w:t>
      </w:r>
      <w:r w:rsidR="005E16C2" w:rsidRPr="00631DE0">
        <w:rPr>
          <w:rFonts w:ascii="Times New Roman" w:eastAsia="Calibri" w:hAnsi="Times New Roman" w:cs="Times New Roman"/>
          <w:color w:val="000000" w:themeColor="text1"/>
          <w:sz w:val="24"/>
          <w:szCs w:val="24"/>
        </w:rPr>
        <w:t xml:space="preserve">disclose a higher volume of information regarding </w:t>
      </w:r>
      <w:r w:rsidR="00146130" w:rsidRPr="00631DE0">
        <w:rPr>
          <w:rFonts w:ascii="Times New Roman" w:eastAsia="Calibri" w:hAnsi="Times New Roman" w:cs="Times New Roman"/>
          <w:color w:val="000000" w:themeColor="text1"/>
          <w:sz w:val="24"/>
          <w:szCs w:val="24"/>
        </w:rPr>
        <w:t xml:space="preserve">business activities, compared to aspirational policies. </w:t>
      </w:r>
      <w:r w:rsidR="00502C11" w:rsidRPr="00631DE0">
        <w:rPr>
          <w:rFonts w:ascii="Times New Roman" w:eastAsia="Calibri" w:hAnsi="Times New Roman" w:cs="Times New Roman"/>
          <w:color w:val="000000" w:themeColor="text1"/>
          <w:sz w:val="24"/>
          <w:szCs w:val="24"/>
        </w:rPr>
        <w:t>Regarding NGOs commitment to environmental issues, an average, 0.69 of total samples, shows their commitment in year 2013 and 2023.</w:t>
      </w:r>
      <w:r w:rsidR="00146130" w:rsidRPr="00631DE0">
        <w:rPr>
          <w:rFonts w:ascii="Times New Roman" w:eastAsia="Calibri" w:hAnsi="Times New Roman" w:cs="Times New Roman"/>
          <w:color w:val="000000" w:themeColor="text1"/>
          <w:sz w:val="24"/>
          <w:szCs w:val="24"/>
        </w:rPr>
        <w:t xml:space="preserve"> Given the nature of NGOs, it may be surprising that </w:t>
      </w:r>
      <w:r w:rsidR="008541F6" w:rsidRPr="00631DE0">
        <w:rPr>
          <w:rFonts w:ascii="Times New Roman" w:eastAsia="Calibri" w:hAnsi="Times New Roman" w:cs="Times New Roman"/>
          <w:color w:val="000000" w:themeColor="text1"/>
          <w:sz w:val="24"/>
          <w:szCs w:val="24"/>
        </w:rPr>
        <w:t>31% of the sample do not disclose an accountability statement.</w:t>
      </w:r>
    </w:p>
    <w:p w14:paraId="34199CA3" w14:textId="77777777" w:rsidR="00161C7E" w:rsidRPr="00631DE0" w:rsidRDefault="00161C7E" w:rsidP="005D6876">
      <w:pPr>
        <w:suppressAutoHyphens/>
        <w:autoSpaceDN w:val="0"/>
        <w:spacing w:after="120" w:line="360" w:lineRule="auto"/>
        <w:ind w:firstLine="0"/>
        <w:textAlignment w:val="baseline"/>
        <w:rPr>
          <w:rFonts w:ascii="Times New Roman" w:eastAsia="Calibri" w:hAnsi="Times New Roman" w:cs="Times New Roman"/>
          <w:color w:val="000000" w:themeColor="text1"/>
          <w:sz w:val="24"/>
          <w:szCs w:val="24"/>
        </w:rPr>
      </w:pPr>
    </w:p>
    <w:p w14:paraId="2545EA0C" w14:textId="7B61AF32" w:rsidR="00647CA7" w:rsidRPr="00631DE0" w:rsidRDefault="004358B2" w:rsidP="00146467">
      <w:pPr>
        <w:spacing w:after="120" w:line="360" w:lineRule="auto"/>
        <w:ind w:firstLine="0"/>
        <w:jc w:val="center"/>
        <w:rPr>
          <w:rFonts w:ascii="Times New Roman" w:eastAsia="Times New Roman" w:hAnsi="Times New Roman" w:cs="Times New Roman"/>
          <w:b/>
          <w:bCs/>
          <w:color w:val="000000" w:themeColor="text1"/>
          <w:kern w:val="0"/>
          <w:sz w:val="24"/>
          <w:szCs w:val="24"/>
          <w:lang w:eastAsia="zh-CN"/>
          <w14:ligatures w14:val="none"/>
        </w:rPr>
      </w:pPr>
      <w:bookmarkStart w:id="13" w:name="_Hlk202187647"/>
      <w:r w:rsidRPr="00631DE0">
        <w:rPr>
          <w:rFonts w:ascii="Times New Roman" w:eastAsia="Times New Roman" w:hAnsi="Times New Roman" w:cs="Times New Roman"/>
          <w:b/>
          <w:bCs/>
          <w:color w:val="000000" w:themeColor="text1"/>
          <w:kern w:val="0"/>
          <w:sz w:val="24"/>
          <w:szCs w:val="24"/>
          <w:lang w:eastAsia="zh-CN"/>
          <w14:ligatures w14:val="none"/>
        </w:rPr>
        <w:t>[Table 2 goes about here]</w:t>
      </w:r>
      <w:bookmarkEnd w:id="12"/>
    </w:p>
    <w:bookmarkEnd w:id="13"/>
    <w:p w14:paraId="0AA4BACB" w14:textId="77777777" w:rsidR="004358B2" w:rsidRPr="00631DE0" w:rsidRDefault="004358B2" w:rsidP="00146467">
      <w:pPr>
        <w:spacing w:after="120" w:line="360" w:lineRule="auto"/>
        <w:ind w:firstLine="0"/>
        <w:jc w:val="center"/>
        <w:rPr>
          <w:rFonts w:ascii="Times New Roman" w:eastAsia="Times New Roman" w:hAnsi="Times New Roman" w:cs="Times New Roman"/>
          <w:b/>
          <w:bCs/>
          <w:color w:val="000000" w:themeColor="text1"/>
          <w:kern w:val="0"/>
          <w:sz w:val="24"/>
          <w:szCs w:val="24"/>
          <w:lang w:eastAsia="zh-CN"/>
          <w14:ligatures w14:val="none"/>
        </w:rPr>
      </w:pPr>
    </w:p>
    <w:p w14:paraId="58DA74B3" w14:textId="5D889B18" w:rsidR="0025494F" w:rsidRPr="00631DE0" w:rsidRDefault="0098433C" w:rsidP="00146467">
      <w:pPr>
        <w:suppressAutoHyphens/>
        <w:autoSpaceDN w:val="0"/>
        <w:spacing w:after="120" w:line="360" w:lineRule="auto"/>
        <w:ind w:firstLine="0"/>
        <w:jc w:val="left"/>
        <w:textAlignment w:val="baseline"/>
        <w:rPr>
          <w:rFonts w:ascii="Times New Roman" w:hAnsi="Times New Roman"/>
          <w:b/>
          <w:bCs/>
          <w:color w:val="000000" w:themeColor="text1"/>
          <w:sz w:val="24"/>
          <w:szCs w:val="24"/>
        </w:rPr>
      </w:pPr>
      <w:r w:rsidRPr="00631DE0">
        <w:rPr>
          <w:rFonts w:ascii="Times New Roman" w:hAnsi="Times New Roman"/>
          <w:b/>
          <w:bCs/>
          <w:color w:val="000000" w:themeColor="text1"/>
          <w:sz w:val="24"/>
          <w:szCs w:val="24"/>
        </w:rPr>
        <w:t xml:space="preserve">4.2. </w:t>
      </w:r>
      <w:r w:rsidR="00DC2E19" w:rsidRPr="00631DE0">
        <w:rPr>
          <w:rFonts w:ascii="Times New Roman" w:hAnsi="Times New Roman"/>
          <w:b/>
          <w:bCs/>
          <w:color w:val="000000" w:themeColor="text1"/>
          <w:sz w:val="24"/>
          <w:szCs w:val="24"/>
        </w:rPr>
        <w:t>Multivariate analysis</w:t>
      </w:r>
    </w:p>
    <w:p w14:paraId="3783C7E0" w14:textId="35ABA127" w:rsidR="00E26E60" w:rsidRPr="00631DE0" w:rsidRDefault="00D63017" w:rsidP="00161C7E">
      <w:pPr>
        <w:suppressAutoHyphens/>
        <w:autoSpaceDN w:val="0"/>
        <w:spacing w:after="120" w:line="360" w:lineRule="auto"/>
        <w:ind w:firstLine="0"/>
        <w:textAlignment w:val="baseline"/>
        <w:rPr>
          <w:rFonts w:ascii="Times New Roman" w:eastAsia="Yu Mincho" w:hAnsi="Times New Roman" w:cs="Times New Roman"/>
          <w:color w:val="000000" w:themeColor="text1"/>
          <w:sz w:val="24"/>
          <w:szCs w:val="24"/>
          <w:lang w:eastAsia="ja-JP"/>
        </w:rPr>
      </w:pPr>
      <w:bookmarkStart w:id="14" w:name="_Hlk202088894"/>
      <w:r w:rsidRPr="00631DE0">
        <w:rPr>
          <w:rFonts w:ascii="Times New Roman" w:eastAsia="Yu Mincho" w:hAnsi="Times New Roman" w:cs="Times New Roman"/>
          <w:color w:val="000000" w:themeColor="text1"/>
          <w:sz w:val="24"/>
          <w:szCs w:val="24"/>
          <w:lang w:eastAsia="ja-JP"/>
        </w:rPr>
        <w:t xml:space="preserve">Table </w:t>
      </w:r>
      <w:r w:rsidR="003F30AC" w:rsidRPr="00631DE0">
        <w:rPr>
          <w:rFonts w:ascii="Times New Roman" w:eastAsia="Yu Mincho" w:hAnsi="Times New Roman" w:cs="Times New Roman"/>
          <w:color w:val="000000" w:themeColor="text1"/>
          <w:sz w:val="24"/>
          <w:szCs w:val="24"/>
          <w:lang w:eastAsia="ja-JP"/>
        </w:rPr>
        <w:t>3</w:t>
      </w:r>
      <w:r w:rsidR="009D27C6" w:rsidRPr="00631DE0">
        <w:rPr>
          <w:rFonts w:ascii="Times New Roman" w:eastAsia="Yu Mincho" w:hAnsi="Times New Roman" w:cs="Times New Roman"/>
          <w:color w:val="000000" w:themeColor="text1"/>
          <w:sz w:val="24"/>
          <w:szCs w:val="24"/>
          <w:lang w:eastAsia="ja-JP"/>
        </w:rPr>
        <w:t xml:space="preserve"> </w:t>
      </w:r>
      <w:r w:rsidR="00012C3A" w:rsidRPr="00631DE0">
        <w:rPr>
          <w:rFonts w:ascii="Times New Roman" w:eastAsia="Yu Mincho" w:hAnsi="Times New Roman" w:cs="Times New Roman"/>
          <w:color w:val="000000" w:themeColor="text1"/>
          <w:sz w:val="24"/>
          <w:szCs w:val="24"/>
          <w:lang w:eastAsia="ja-JP"/>
        </w:rPr>
        <w:t>re</w:t>
      </w:r>
      <w:r w:rsidR="009D27C6" w:rsidRPr="00631DE0">
        <w:rPr>
          <w:rFonts w:ascii="Times New Roman" w:eastAsia="Yu Mincho" w:hAnsi="Times New Roman" w:cs="Times New Roman"/>
          <w:color w:val="000000" w:themeColor="text1"/>
          <w:sz w:val="24"/>
          <w:szCs w:val="24"/>
          <w:lang w:eastAsia="ja-JP"/>
        </w:rPr>
        <w:t xml:space="preserve">presents the TOTAL environmental disclosure comprising </w:t>
      </w:r>
      <w:r w:rsidR="003F30AC" w:rsidRPr="00631DE0">
        <w:rPr>
          <w:rFonts w:ascii="Times New Roman" w:eastAsia="Yu Mincho" w:hAnsi="Times New Roman" w:cs="Times New Roman"/>
          <w:color w:val="000000" w:themeColor="text1"/>
          <w:sz w:val="24"/>
          <w:szCs w:val="24"/>
          <w:lang w:eastAsia="ja-JP"/>
        </w:rPr>
        <w:t>environmental disclosure</w:t>
      </w:r>
      <w:r w:rsidR="009D27C6" w:rsidRPr="00631DE0">
        <w:rPr>
          <w:rFonts w:ascii="Times New Roman" w:eastAsia="Yu Mincho" w:hAnsi="Times New Roman" w:cs="Times New Roman"/>
          <w:color w:val="000000" w:themeColor="text1"/>
          <w:sz w:val="24"/>
          <w:szCs w:val="24"/>
          <w:lang w:eastAsia="ja-JP"/>
        </w:rPr>
        <w:t xml:space="preserve"> in 2013 and 2023</w:t>
      </w:r>
      <w:r w:rsidR="00E26E60" w:rsidRPr="00631DE0">
        <w:rPr>
          <w:rFonts w:ascii="Times New Roman" w:eastAsia="Yu Mincho" w:hAnsi="Times New Roman" w:cs="Times New Roman"/>
          <w:color w:val="000000" w:themeColor="text1"/>
          <w:sz w:val="24"/>
          <w:szCs w:val="24"/>
          <w:lang w:eastAsia="ja-JP"/>
        </w:rPr>
        <w:t xml:space="preserve">. </w:t>
      </w:r>
      <w:r w:rsidRPr="00631DE0">
        <w:rPr>
          <w:rFonts w:ascii="Times New Roman" w:eastAsia="Yu Mincho" w:hAnsi="Times New Roman" w:cs="Times New Roman"/>
          <w:color w:val="000000" w:themeColor="text1"/>
          <w:sz w:val="24"/>
          <w:szCs w:val="24"/>
          <w:lang w:eastAsia="ja-JP"/>
        </w:rPr>
        <w:t xml:space="preserve">The T-test values </w:t>
      </w:r>
      <w:r w:rsidR="003F30AC" w:rsidRPr="00631DE0">
        <w:rPr>
          <w:rFonts w:ascii="Times New Roman" w:eastAsia="Yu Mincho" w:hAnsi="Times New Roman" w:cs="Times New Roman"/>
          <w:color w:val="000000" w:themeColor="text1"/>
          <w:sz w:val="24"/>
          <w:szCs w:val="24"/>
          <w:lang w:eastAsia="ja-JP"/>
        </w:rPr>
        <w:t>reveal</w:t>
      </w:r>
      <w:r w:rsidRPr="00631DE0">
        <w:rPr>
          <w:rFonts w:ascii="Times New Roman" w:eastAsia="Yu Mincho" w:hAnsi="Times New Roman" w:cs="Times New Roman"/>
          <w:color w:val="000000" w:themeColor="text1"/>
          <w:sz w:val="24"/>
          <w:szCs w:val="24"/>
          <w:lang w:eastAsia="ja-JP"/>
        </w:rPr>
        <w:t xml:space="preserve"> the difference between means in each year</w:t>
      </w:r>
      <w:r w:rsidR="009D27C6" w:rsidRPr="00631DE0">
        <w:rPr>
          <w:rFonts w:ascii="Times New Roman" w:eastAsia="Yu Mincho" w:hAnsi="Times New Roman" w:cs="Times New Roman"/>
          <w:color w:val="000000" w:themeColor="text1"/>
          <w:sz w:val="24"/>
          <w:szCs w:val="24"/>
          <w:lang w:eastAsia="ja-JP"/>
        </w:rPr>
        <w:t>.</w:t>
      </w:r>
      <w:r w:rsidRPr="00631DE0">
        <w:rPr>
          <w:rFonts w:ascii="Times New Roman" w:eastAsia="Yu Mincho" w:hAnsi="Times New Roman" w:cs="Times New Roman"/>
          <w:color w:val="000000" w:themeColor="text1"/>
          <w:sz w:val="24"/>
          <w:szCs w:val="24"/>
          <w:lang w:eastAsia="ja-JP"/>
        </w:rPr>
        <w:t xml:space="preserve"> The main empirical results from</w:t>
      </w:r>
      <w:r w:rsidR="00012C3A" w:rsidRPr="00631DE0">
        <w:rPr>
          <w:rFonts w:ascii="Times New Roman" w:eastAsia="Yu Mincho" w:hAnsi="Times New Roman" w:cs="Times New Roman"/>
          <w:color w:val="000000" w:themeColor="text1"/>
          <w:sz w:val="24"/>
          <w:szCs w:val="24"/>
          <w:lang w:eastAsia="ja-JP"/>
        </w:rPr>
        <w:t xml:space="preserve"> the</w:t>
      </w:r>
      <w:r w:rsidRPr="00631DE0">
        <w:rPr>
          <w:rFonts w:ascii="Times New Roman" w:eastAsia="Yu Mincho" w:hAnsi="Times New Roman" w:cs="Times New Roman"/>
          <w:color w:val="000000" w:themeColor="text1"/>
          <w:sz w:val="24"/>
          <w:szCs w:val="24"/>
          <w:lang w:eastAsia="ja-JP"/>
        </w:rPr>
        <w:t xml:space="preserve"> Table 3, </w:t>
      </w:r>
      <w:bookmarkStart w:id="15" w:name="_Hlk202109200"/>
      <w:r w:rsidRPr="00631DE0">
        <w:rPr>
          <w:rFonts w:ascii="Times New Roman" w:eastAsia="Yu Mincho" w:hAnsi="Times New Roman" w:cs="Times New Roman"/>
          <w:color w:val="000000" w:themeColor="text1"/>
          <w:sz w:val="24"/>
          <w:szCs w:val="24"/>
          <w:lang w:eastAsia="ja-JP"/>
        </w:rPr>
        <w:t xml:space="preserve">is that NGOs disclose higher levels and quality of </w:t>
      </w:r>
      <w:r w:rsidRPr="00631DE0">
        <w:rPr>
          <w:rFonts w:ascii="Times New Roman" w:eastAsia="Yu Mincho" w:hAnsi="Times New Roman" w:cs="Times New Roman"/>
          <w:color w:val="000000" w:themeColor="text1"/>
          <w:sz w:val="24"/>
          <w:szCs w:val="24"/>
          <w:lang w:eastAsia="ja-JP"/>
        </w:rPr>
        <w:lastRenderedPageBreak/>
        <w:t>TOTAL environmental disclosures</w:t>
      </w:r>
      <w:r w:rsidR="00012C3A" w:rsidRPr="00631DE0">
        <w:rPr>
          <w:rFonts w:ascii="Times New Roman" w:eastAsia="Yu Mincho" w:hAnsi="Times New Roman" w:cs="Times New Roman"/>
          <w:color w:val="000000" w:themeColor="text1"/>
          <w:sz w:val="24"/>
          <w:szCs w:val="24"/>
          <w:lang w:eastAsia="ja-JP"/>
        </w:rPr>
        <w:t xml:space="preserve"> </w:t>
      </w:r>
      <w:r w:rsidR="003F30AC" w:rsidRPr="00631DE0">
        <w:rPr>
          <w:rFonts w:ascii="Times New Roman" w:eastAsia="Yu Mincho" w:hAnsi="Times New Roman" w:cs="Times New Roman"/>
          <w:color w:val="000000" w:themeColor="text1"/>
          <w:sz w:val="24"/>
          <w:szCs w:val="24"/>
          <w:lang w:eastAsia="ja-JP"/>
        </w:rPr>
        <w:t>in 2023</w:t>
      </w:r>
      <w:r w:rsidR="00012C3A" w:rsidRPr="00631DE0">
        <w:rPr>
          <w:rFonts w:ascii="Times New Roman" w:eastAsia="Yu Mincho" w:hAnsi="Times New Roman" w:cs="Times New Roman"/>
          <w:color w:val="000000" w:themeColor="text1"/>
          <w:sz w:val="24"/>
          <w:szCs w:val="24"/>
          <w:lang w:eastAsia="ja-JP"/>
        </w:rPr>
        <w:t xml:space="preserve"> (108.28)</w:t>
      </w:r>
      <w:r w:rsidR="003F30AC" w:rsidRPr="00631DE0">
        <w:rPr>
          <w:rFonts w:ascii="Times New Roman" w:eastAsia="Yu Mincho" w:hAnsi="Times New Roman" w:cs="Times New Roman"/>
          <w:color w:val="000000" w:themeColor="text1"/>
          <w:sz w:val="24"/>
          <w:szCs w:val="24"/>
          <w:lang w:eastAsia="ja-JP"/>
        </w:rPr>
        <w:t>, relative to 2013</w:t>
      </w:r>
      <w:r w:rsidR="004444F9" w:rsidRPr="00631DE0">
        <w:rPr>
          <w:rFonts w:ascii="Times New Roman" w:eastAsia="Yu Mincho" w:hAnsi="Times New Roman" w:cs="Times New Roman"/>
          <w:color w:val="000000" w:themeColor="text1"/>
          <w:sz w:val="24"/>
          <w:szCs w:val="24"/>
          <w:lang w:eastAsia="ja-JP"/>
        </w:rPr>
        <w:t xml:space="preserve"> (35.85)</w:t>
      </w:r>
      <w:r w:rsidR="003F30AC" w:rsidRPr="00631DE0">
        <w:rPr>
          <w:rFonts w:ascii="Times New Roman" w:eastAsia="Yu Mincho" w:hAnsi="Times New Roman" w:cs="Times New Roman"/>
          <w:color w:val="000000" w:themeColor="text1"/>
          <w:sz w:val="24"/>
          <w:szCs w:val="24"/>
          <w:lang w:eastAsia="ja-JP"/>
        </w:rPr>
        <w:t xml:space="preserve">. The result is statistically significant </w:t>
      </w:r>
      <w:r w:rsidRPr="00631DE0">
        <w:rPr>
          <w:rFonts w:ascii="Times New Roman" w:eastAsia="Yu Mincho" w:hAnsi="Times New Roman" w:cs="Times New Roman"/>
          <w:color w:val="000000" w:themeColor="text1"/>
          <w:sz w:val="24"/>
          <w:szCs w:val="24"/>
          <w:lang w:eastAsia="ja-JP"/>
        </w:rPr>
        <w:t>at</w:t>
      </w:r>
      <w:r w:rsidR="003F30AC" w:rsidRPr="00631DE0">
        <w:rPr>
          <w:rFonts w:ascii="Times New Roman" w:eastAsia="Yu Mincho" w:hAnsi="Times New Roman" w:cs="Times New Roman"/>
          <w:color w:val="000000" w:themeColor="text1"/>
          <w:sz w:val="24"/>
          <w:szCs w:val="24"/>
          <w:lang w:eastAsia="ja-JP"/>
        </w:rPr>
        <w:t xml:space="preserve"> 5% </w:t>
      </w:r>
      <w:r w:rsidRPr="00631DE0">
        <w:rPr>
          <w:rFonts w:ascii="Times New Roman" w:eastAsia="Yu Mincho" w:hAnsi="Times New Roman" w:cs="Times New Roman"/>
          <w:color w:val="000000" w:themeColor="text1"/>
          <w:sz w:val="24"/>
          <w:szCs w:val="24"/>
          <w:lang w:eastAsia="ja-JP"/>
        </w:rPr>
        <w:t>level</w:t>
      </w:r>
      <w:r w:rsidR="00E26E60" w:rsidRPr="00631DE0">
        <w:rPr>
          <w:rFonts w:ascii="Times New Roman" w:eastAsia="Yu Mincho" w:hAnsi="Times New Roman" w:cs="Times New Roman"/>
          <w:color w:val="000000" w:themeColor="text1"/>
          <w:sz w:val="24"/>
          <w:szCs w:val="24"/>
          <w:lang w:eastAsia="ja-JP"/>
        </w:rPr>
        <w:t xml:space="preserve"> (3.27**)</w:t>
      </w:r>
      <w:r w:rsidR="003F30AC" w:rsidRPr="00631DE0">
        <w:rPr>
          <w:rFonts w:ascii="Times New Roman" w:eastAsia="Yu Mincho" w:hAnsi="Times New Roman" w:cs="Times New Roman"/>
          <w:color w:val="000000" w:themeColor="text1"/>
          <w:sz w:val="24"/>
          <w:szCs w:val="24"/>
          <w:lang w:eastAsia="ja-JP"/>
        </w:rPr>
        <w:t xml:space="preserve">. </w:t>
      </w:r>
      <w:r w:rsidRPr="00631DE0">
        <w:rPr>
          <w:rFonts w:ascii="Times New Roman" w:eastAsia="Yu Mincho" w:hAnsi="Times New Roman" w:cs="Times New Roman"/>
          <w:color w:val="000000" w:themeColor="text1"/>
          <w:sz w:val="24"/>
          <w:szCs w:val="24"/>
          <w:lang w:eastAsia="ja-JP"/>
        </w:rPr>
        <w:t xml:space="preserve">This finding provides support for H1. </w:t>
      </w:r>
    </w:p>
    <w:p w14:paraId="4A1D0BC0" w14:textId="14521BD4" w:rsidR="00012C3A" w:rsidRPr="00631DE0" w:rsidRDefault="00012C3A" w:rsidP="00161C7E">
      <w:pPr>
        <w:suppressAutoHyphens/>
        <w:autoSpaceDN w:val="0"/>
        <w:spacing w:after="120" w:line="360" w:lineRule="auto"/>
        <w:ind w:firstLine="0"/>
        <w:textAlignment w:val="baseline"/>
        <w:rPr>
          <w:rFonts w:ascii="Times New Roman" w:eastAsia="Yu Mincho" w:hAnsi="Times New Roman" w:cs="Times New Roman"/>
          <w:color w:val="000000" w:themeColor="text1"/>
          <w:sz w:val="24"/>
          <w:szCs w:val="24"/>
          <w:lang w:eastAsia="ja-JP"/>
        </w:rPr>
      </w:pPr>
      <w:r w:rsidRPr="00631DE0">
        <w:rPr>
          <w:rFonts w:ascii="Times New Roman" w:eastAsia="Yu Mincho" w:hAnsi="Times New Roman" w:cs="Times New Roman"/>
          <w:color w:val="000000" w:themeColor="text1"/>
          <w:sz w:val="24"/>
          <w:szCs w:val="24"/>
          <w:lang w:eastAsia="ja-JP"/>
        </w:rPr>
        <w:t xml:space="preserve">Empirical findings in Table 3 delineate that NUM environmental disclosure increases </w:t>
      </w:r>
      <w:r w:rsidR="005D197F" w:rsidRPr="00631DE0">
        <w:rPr>
          <w:rFonts w:ascii="Times New Roman" w:eastAsia="Yu Mincho" w:hAnsi="Times New Roman" w:cs="Times New Roman"/>
          <w:color w:val="000000" w:themeColor="text1"/>
          <w:sz w:val="24"/>
          <w:szCs w:val="24"/>
          <w:lang w:eastAsia="ja-JP"/>
        </w:rPr>
        <w:t xml:space="preserve">to a higher degree, compared to </w:t>
      </w:r>
      <w:r w:rsidRPr="00631DE0">
        <w:rPr>
          <w:rFonts w:ascii="Times New Roman" w:eastAsia="Yu Mincho" w:hAnsi="Times New Roman" w:cs="Times New Roman"/>
          <w:color w:val="000000" w:themeColor="text1"/>
          <w:sz w:val="24"/>
          <w:szCs w:val="24"/>
          <w:lang w:eastAsia="ja-JP"/>
        </w:rPr>
        <w:t>than NAR. More specifically, the results of t-tests reveal the difference in means to be</w:t>
      </w:r>
      <w:r w:rsidR="004E21C6" w:rsidRPr="00631DE0">
        <w:rPr>
          <w:rFonts w:eastAsia="Yu Mincho"/>
          <w:color w:val="000000" w:themeColor="text1"/>
          <w:lang w:eastAsia="ja-JP"/>
        </w:rPr>
        <w:t xml:space="preserve"> </w:t>
      </w:r>
      <w:r w:rsidRPr="00631DE0">
        <w:rPr>
          <w:rFonts w:ascii="Times New Roman" w:eastAsia="Yu Mincho" w:hAnsi="Times New Roman" w:cs="Times New Roman"/>
          <w:color w:val="000000" w:themeColor="text1"/>
          <w:sz w:val="24"/>
          <w:szCs w:val="24"/>
          <w:lang w:eastAsia="ja-JP"/>
        </w:rPr>
        <w:t>statistically significant at 1 percent level</w:t>
      </w:r>
      <w:r w:rsidR="004E21C6" w:rsidRPr="00631DE0">
        <w:rPr>
          <w:rFonts w:ascii="Times New Roman" w:eastAsia="Yu Mincho" w:hAnsi="Times New Roman" w:cs="Times New Roman"/>
          <w:color w:val="000000" w:themeColor="text1"/>
          <w:sz w:val="24"/>
          <w:szCs w:val="24"/>
          <w:lang w:eastAsia="ja-JP"/>
        </w:rPr>
        <w:t xml:space="preserve"> (4.</w:t>
      </w:r>
      <w:r w:rsidR="005D197F" w:rsidRPr="00631DE0">
        <w:rPr>
          <w:rFonts w:ascii="Times New Roman" w:eastAsia="Yu Mincho" w:hAnsi="Times New Roman" w:cs="Times New Roman"/>
          <w:color w:val="000000" w:themeColor="text1"/>
          <w:sz w:val="24"/>
          <w:szCs w:val="24"/>
          <w:lang w:eastAsia="ja-JP"/>
        </w:rPr>
        <w:t>70***</w:t>
      </w:r>
      <w:r w:rsidR="004E21C6" w:rsidRPr="00631DE0">
        <w:rPr>
          <w:rFonts w:ascii="Times New Roman" w:eastAsia="Yu Mincho" w:hAnsi="Times New Roman" w:cs="Times New Roman"/>
          <w:color w:val="000000" w:themeColor="text1"/>
          <w:sz w:val="24"/>
          <w:szCs w:val="24"/>
          <w:lang w:eastAsia="ja-JP"/>
        </w:rPr>
        <w:t>)</w:t>
      </w:r>
      <w:r w:rsidR="00EF7B57" w:rsidRPr="00631DE0">
        <w:rPr>
          <w:rFonts w:ascii="Times New Roman" w:eastAsia="Yu Mincho" w:hAnsi="Times New Roman" w:cs="Times New Roman"/>
          <w:color w:val="000000" w:themeColor="text1"/>
          <w:sz w:val="24"/>
          <w:szCs w:val="24"/>
          <w:lang w:eastAsia="ja-JP"/>
        </w:rPr>
        <w:t xml:space="preserve"> for </w:t>
      </w:r>
      <w:r w:rsidR="00F256BC" w:rsidRPr="00631DE0">
        <w:rPr>
          <w:rFonts w:ascii="Times New Roman" w:eastAsia="Yu Mincho" w:hAnsi="Times New Roman" w:cs="Times New Roman"/>
          <w:color w:val="000000" w:themeColor="text1"/>
          <w:sz w:val="24"/>
          <w:szCs w:val="24"/>
          <w:lang w:eastAsia="ja-JP"/>
        </w:rPr>
        <w:t>NUM</w:t>
      </w:r>
      <w:r w:rsidRPr="00631DE0">
        <w:rPr>
          <w:rFonts w:ascii="Times New Roman" w:eastAsia="Yu Mincho" w:hAnsi="Times New Roman" w:cs="Times New Roman"/>
          <w:color w:val="000000" w:themeColor="text1"/>
          <w:sz w:val="24"/>
          <w:szCs w:val="24"/>
          <w:lang w:eastAsia="ja-JP"/>
        </w:rPr>
        <w:t xml:space="preserve">. </w:t>
      </w:r>
      <w:bookmarkEnd w:id="15"/>
      <w:r w:rsidR="005D197F" w:rsidRPr="00631DE0">
        <w:rPr>
          <w:rFonts w:ascii="Times New Roman" w:eastAsia="Yu Mincho" w:hAnsi="Times New Roman" w:cs="Times New Roman"/>
          <w:color w:val="000000" w:themeColor="text1"/>
          <w:sz w:val="24"/>
          <w:szCs w:val="24"/>
          <w:lang w:eastAsia="ja-JP"/>
        </w:rPr>
        <w:t xml:space="preserve"> The results are less significant for NAR (</w:t>
      </w:r>
      <w:r w:rsidR="0046781D" w:rsidRPr="00631DE0">
        <w:rPr>
          <w:rFonts w:ascii="Times New Roman" w:eastAsia="Yu Mincho" w:hAnsi="Times New Roman" w:cs="Times New Roman"/>
          <w:color w:val="000000" w:themeColor="text1"/>
          <w:sz w:val="24"/>
          <w:szCs w:val="24"/>
          <w:lang w:eastAsia="ja-JP"/>
        </w:rPr>
        <w:t xml:space="preserve">2.99**). </w:t>
      </w:r>
      <w:r w:rsidRPr="00631DE0">
        <w:rPr>
          <w:rFonts w:ascii="Times New Roman" w:eastAsia="Yu Mincho" w:hAnsi="Times New Roman" w:cs="Times New Roman"/>
          <w:color w:val="000000" w:themeColor="text1"/>
          <w:sz w:val="24"/>
          <w:szCs w:val="24"/>
          <w:lang w:eastAsia="ja-JP"/>
        </w:rPr>
        <w:t>Taken together, this result infers that NGOs have the expertise and knowledge required to disclose</w:t>
      </w:r>
      <w:r w:rsidR="0046781D" w:rsidRPr="00631DE0">
        <w:rPr>
          <w:rFonts w:ascii="Times New Roman" w:eastAsia="Yu Mincho" w:hAnsi="Times New Roman" w:cs="Times New Roman"/>
          <w:color w:val="000000" w:themeColor="text1"/>
          <w:sz w:val="24"/>
          <w:szCs w:val="24"/>
          <w:lang w:eastAsia="ja-JP"/>
        </w:rPr>
        <w:t xml:space="preserve"> increasing levels of </w:t>
      </w:r>
      <w:r w:rsidRPr="00631DE0">
        <w:rPr>
          <w:rFonts w:ascii="Times New Roman" w:eastAsia="Yu Mincho" w:hAnsi="Times New Roman" w:cs="Times New Roman"/>
          <w:color w:val="000000" w:themeColor="text1"/>
          <w:sz w:val="24"/>
          <w:szCs w:val="24"/>
          <w:lang w:eastAsia="ja-JP"/>
        </w:rPr>
        <w:t xml:space="preserve">comparable/verifiable environmental disclosures, hence meet the expectations of </w:t>
      </w:r>
      <w:r w:rsidR="001524EF" w:rsidRPr="00631DE0">
        <w:rPr>
          <w:rFonts w:ascii="Times New Roman" w:eastAsia="Yu Mincho" w:hAnsi="Times New Roman" w:cs="Times New Roman"/>
          <w:color w:val="000000" w:themeColor="text1"/>
          <w:sz w:val="24"/>
          <w:szCs w:val="24"/>
          <w:lang w:eastAsia="ja-JP"/>
        </w:rPr>
        <w:t xml:space="preserve">society. Thus, this finding </w:t>
      </w:r>
      <w:r w:rsidR="00E6354F" w:rsidRPr="00631DE0">
        <w:rPr>
          <w:rFonts w:ascii="Times New Roman" w:eastAsia="Yu Mincho" w:hAnsi="Times New Roman" w:cs="Times New Roman"/>
          <w:color w:val="000000" w:themeColor="text1"/>
          <w:sz w:val="24"/>
          <w:szCs w:val="24"/>
          <w:lang w:eastAsia="ja-JP"/>
        </w:rPr>
        <w:t xml:space="preserve">therefore </w:t>
      </w:r>
      <w:r w:rsidR="001524EF" w:rsidRPr="00631DE0">
        <w:rPr>
          <w:rFonts w:ascii="Times New Roman" w:eastAsia="Yu Mincho" w:hAnsi="Times New Roman" w:cs="Times New Roman"/>
          <w:color w:val="000000" w:themeColor="text1"/>
          <w:sz w:val="24"/>
          <w:szCs w:val="24"/>
          <w:lang w:eastAsia="ja-JP"/>
        </w:rPr>
        <w:t>supports our H2</w:t>
      </w:r>
      <w:r w:rsidR="00E6354F" w:rsidRPr="00631DE0">
        <w:rPr>
          <w:rFonts w:ascii="Times New Roman" w:eastAsia="Yu Mincho" w:hAnsi="Times New Roman" w:cs="Times New Roman"/>
          <w:color w:val="000000" w:themeColor="text1"/>
          <w:sz w:val="24"/>
          <w:szCs w:val="24"/>
          <w:lang w:eastAsia="ja-JP"/>
        </w:rPr>
        <w:t xml:space="preserve">. </w:t>
      </w:r>
    </w:p>
    <w:p w14:paraId="2C45E53A" w14:textId="2D025282" w:rsidR="00841305" w:rsidRPr="00631DE0" w:rsidRDefault="00D63017" w:rsidP="00161C7E">
      <w:pPr>
        <w:pStyle w:val="NormalWeb"/>
        <w:spacing w:after="120" w:line="360" w:lineRule="auto"/>
        <w:ind w:firstLine="0"/>
        <w:rPr>
          <w:rFonts w:eastAsia="Yu Mincho"/>
          <w:color w:val="000000" w:themeColor="text1"/>
          <w:lang w:eastAsia="ja-JP"/>
        </w:rPr>
      </w:pPr>
      <w:r w:rsidRPr="00631DE0">
        <w:rPr>
          <w:rFonts w:eastAsia="Yu Mincho"/>
          <w:color w:val="000000" w:themeColor="text1"/>
          <w:lang w:eastAsia="ja-JP"/>
        </w:rPr>
        <w:t xml:space="preserve">In respect to H3, empirical findings present a higher disclosure of quality and quantity of the environmental operational activities (OA) in comparison to policy and targets (P/T). The t-tests confirm </w:t>
      </w:r>
      <w:bookmarkStart w:id="16" w:name="_Hlk202106777"/>
      <w:r w:rsidRPr="00631DE0">
        <w:rPr>
          <w:rFonts w:eastAsia="Yu Mincho"/>
          <w:color w:val="000000" w:themeColor="text1"/>
          <w:lang w:eastAsia="ja-JP"/>
        </w:rPr>
        <w:t xml:space="preserve">the differences in means between two groups (2013 &amp; 2023) to be statistically significant at </w:t>
      </w:r>
      <w:r w:rsidR="00FC1834" w:rsidRPr="00631DE0">
        <w:rPr>
          <w:rFonts w:eastAsia="Yu Mincho"/>
          <w:color w:val="000000" w:themeColor="text1"/>
          <w:lang w:eastAsia="ja-JP"/>
        </w:rPr>
        <w:t>5</w:t>
      </w:r>
      <w:r w:rsidRPr="00631DE0">
        <w:rPr>
          <w:rFonts w:eastAsia="Yu Mincho"/>
          <w:color w:val="000000" w:themeColor="text1"/>
          <w:lang w:eastAsia="ja-JP"/>
        </w:rPr>
        <w:t xml:space="preserve"> percent and </w:t>
      </w:r>
      <w:r w:rsidR="00FC1834" w:rsidRPr="00631DE0">
        <w:rPr>
          <w:rFonts w:eastAsia="Yu Mincho"/>
          <w:color w:val="000000" w:themeColor="text1"/>
          <w:lang w:eastAsia="ja-JP"/>
        </w:rPr>
        <w:t>1</w:t>
      </w:r>
      <w:r w:rsidRPr="00631DE0">
        <w:rPr>
          <w:rFonts w:eastAsia="Yu Mincho"/>
          <w:color w:val="000000" w:themeColor="text1"/>
          <w:lang w:eastAsia="ja-JP"/>
        </w:rPr>
        <w:t xml:space="preserve"> percent for OA (</w:t>
      </w:r>
      <w:r w:rsidR="00FC1834" w:rsidRPr="00631DE0">
        <w:rPr>
          <w:rFonts w:eastAsia="Yu Mincho"/>
          <w:color w:val="000000" w:themeColor="text1"/>
          <w:lang w:eastAsia="ja-JP"/>
        </w:rPr>
        <w:t>2</w:t>
      </w:r>
      <w:r w:rsidRPr="00631DE0">
        <w:rPr>
          <w:rFonts w:eastAsia="Yu Mincho"/>
          <w:color w:val="000000" w:themeColor="text1"/>
          <w:lang w:eastAsia="ja-JP"/>
        </w:rPr>
        <w:t>.</w:t>
      </w:r>
      <w:r w:rsidR="00FC1834" w:rsidRPr="00631DE0">
        <w:rPr>
          <w:rFonts w:eastAsia="Yu Mincho"/>
          <w:color w:val="000000" w:themeColor="text1"/>
          <w:lang w:eastAsia="ja-JP"/>
        </w:rPr>
        <w:t>8</w:t>
      </w:r>
      <w:r w:rsidR="00CE621E" w:rsidRPr="00631DE0">
        <w:rPr>
          <w:rFonts w:eastAsia="Yu Mincho"/>
          <w:color w:val="000000" w:themeColor="text1"/>
          <w:lang w:eastAsia="ja-JP"/>
        </w:rPr>
        <w:t>6**</w:t>
      </w:r>
      <w:r w:rsidRPr="00631DE0">
        <w:rPr>
          <w:rFonts w:eastAsia="Yu Mincho"/>
          <w:color w:val="000000" w:themeColor="text1"/>
          <w:lang w:eastAsia="ja-JP"/>
        </w:rPr>
        <w:t>) and P/T (</w:t>
      </w:r>
      <w:r w:rsidR="00FC1834" w:rsidRPr="00631DE0">
        <w:rPr>
          <w:rFonts w:eastAsia="Yu Mincho"/>
          <w:color w:val="000000" w:themeColor="text1"/>
          <w:lang w:eastAsia="ja-JP"/>
        </w:rPr>
        <w:t>5.18</w:t>
      </w:r>
      <w:r w:rsidR="00CE621E" w:rsidRPr="00631DE0">
        <w:rPr>
          <w:rFonts w:eastAsia="Yu Mincho"/>
          <w:color w:val="000000" w:themeColor="text1"/>
          <w:lang w:eastAsia="ja-JP"/>
        </w:rPr>
        <w:t>***</w:t>
      </w:r>
      <w:r w:rsidRPr="00631DE0">
        <w:rPr>
          <w:rFonts w:eastAsia="Yu Mincho"/>
          <w:color w:val="000000" w:themeColor="text1"/>
          <w:lang w:eastAsia="ja-JP"/>
        </w:rPr>
        <w:t>), respectively</w:t>
      </w:r>
      <w:bookmarkEnd w:id="16"/>
      <w:r w:rsidRPr="00631DE0">
        <w:rPr>
          <w:rFonts w:eastAsia="Yu Mincho"/>
          <w:color w:val="000000" w:themeColor="text1"/>
          <w:lang w:eastAsia="ja-JP"/>
        </w:rPr>
        <w:t xml:space="preserve">. </w:t>
      </w:r>
      <w:r w:rsidR="00FC1834" w:rsidRPr="00631DE0">
        <w:rPr>
          <w:rFonts w:eastAsia="Yu Mincho"/>
          <w:color w:val="000000" w:themeColor="text1"/>
          <w:lang w:eastAsia="ja-JP"/>
        </w:rPr>
        <w:t>These findings</w:t>
      </w:r>
      <w:r w:rsidRPr="00631DE0">
        <w:rPr>
          <w:rFonts w:eastAsia="Yu Mincho"/>
          <w:color w:val="000000" w:themeColor="text1"/>
          <w:lang w:eastAsia="ja-JP"/>
        </w:rPr>
        <w:t xml:space="preserve"> </w:t>
      </w:r>
      <w:r w:rsidR="00DC79E6" w:rsidRPr="00631DE0">
        <w:rPr>
          <w:rFonts w:eastAsia="Yu Mincho"/>
          <w:color w:val="000000" w:themeColor="text1"/>
          <w:lang w:eastAsia="ja-JP"/>
        </w:rPr>
        <w:t>support</w:t>
      </w:r>
      <w:r w:rsidRPr="00631DE0">
        <w:rPr>
          <w:rFonts w:eastAsia="Yu Mincho"/>
          <w:color w:val="000000" w:themeColor="text1"/>
          <w:lang w:eastAsia="ja-JP"/>
        </w:rPr>
        <w:t xml:space="preserve"> H.3</w:t>
      </w:r>
      <w:r w:rsidR="00FC1834" w:rsidRPr="00631DE0">
        <w:rPr>
          <w:rFonts w:eastAsia="Yu Mincho"/>
          <w:color w:val="000000" w:themeColor="text1"/>
          <w:lang w:eastAsia="ja-JP"/>
        </w:rPr>
        <w:t xml:space="preserve"> that NGOs disclose higher volumes of</w:t>
      </w:r>
      <w:r w:rsidR="00DC79E6" w:rsidRPr="00631DE0">
        <w:rPr>
          <w:rFonts w:eastAsia="Yu Mincho"/>
          <w:color w:val="000000" w:themeColor="text1"/>
          <w:lang w:eastAsia="ja-JP"/>
        </w:rPr>
        <w:t xml:space="preserve"> the</w:t>
      </w:r>
      <w:r w:rsidR="00FC1834" w:rsidRPr="00631DE0">
        <w:rPr>
          <w:rFonts w:eastAsia="Yu Mincho"/>
          <w:color w:val="000000" w:themeColor="text1"/>
          <w:lang w:eastAsia="ja-JP"/>
        </w:rPr>
        <w:t xml:space="preserve"> environmental disclosures associated with actual business activities, as opposed to aspirational policy and targets.</w:t>
      </w:r>
      <w:bookmarkStart w:id="17" w:name="_Hlk199003720"/>
    </w:p>
    <w:p w14:paraId="17074B30" w14:textId="1AE1AAF5" w:rsidR="000C75EF" w:rsidRPr="00631DE0" w:rsidRDefault="000C75EF" w:rsidP="00161C7E">
      <w:pPr>
        <w:pStyle w:val="NormalWeb"/>
        <w:spacing w:after="120" w:line="360" w:lineRule="auto"/>
        <w:ind w:firstLine="0"/>
        <w:rPr>
          <w:rFonts w:eastAsia="Yu Mincho"/>
          <w:color w:val="000000" w:themeColor="text1"/>
          <w:lang w:eastAsia="ja-JP"/>
        </w:rPr>
      </w:pPr>
      <w:r w:rsidRPr="00631DE0">
        <w:rPr>
          <w:rFonts w:eastAsia="Yu Mincho"/>
          <w:color w:val="000000" w:themeColor="text1"/>
          <w:lang w:eastAsia="ja-JP"/>
        </w:rPr>
        <w:t>Overall, climate changes present the highest disclosure on NUM and NAR among the three categories</w:t>
      </w:r>
      <w:r w:rsidR="00325AC1" w:rsidRPr="00631DE0">
        <w:rPr>
          <w:rFonts w:eastAsia="Yu Mincho"/>
          <w:color w:val="000000" w:themeColor="text1"/>
          <w:lang w:eastAsia="ja-JP"/>
        </w:rPr>
        <w:t xml:space="preserve"> of disclosures</w:t>
      </w:r>
      <w:r w:rsidR="001F3256" w:rsidRPr="00631DE0">
        <w:rPr>
          <w:rFonts w:eastAsia="Yu Mincho"/>
          <w:color w:val="000000" w:themeColor="text1"/>
          <w:lang w:eastAsia="ja-JP"/>
        </w:rPr>
        <w:t>.</w:t>
      </w:r>
      <w:r w:rsidRPr="00631DE0">
        <w:rPr>
          <w:rFonts w:eastAsia="Yu Mincho"/>
          <w:color w:val="000000" w:themeColor="text1"/>
          <w:lang w:eastAsia="ja-JP"/>
        </w:rPr>
        <w:t xml:space="preserve"> The T-tests </w:t>
      </w:r>
      <w:r w:rsidR="001F3256" w:rsidRPr="00631DE0">
        <w:rPr>
          <w:rFonts w:eastAsia="Yu Mincho"/>
          <w:color w:val="000000" w:themeColor="text1"/>
          <w:lang w:eastAsia="ja-JP"/>
        </w:rPr>
        <w:t>depicts</w:t>
      </w:r>
      <w:r w:rsidRPr="00631DE0">
        <w:rPr>
          <w:rFonts w:eastAsia="Yu Mincho"/>
          <w:color w:val="000000" w:themeColor="text1"/>
          <w:lang w:eastAsia="ja-JP"/>
        </w:rPr>
        <w:t xml:space="preserve"> the differences in means between</w:t>
      </w:r>
      <w:r w:rsidR="001F3256" w:rsidRPr="00631DE0">
        <w:rPr>
          <w:rFonts w:eastAsia="Yu Mincho"/>
          <w:color w:val="000000" w:themeColor="text1"/>
          <w:lang w:eastAsia="ja-JP"/>
        </w:rPr>
        <w:t xml:space="preserve"> the</w:t>
      </w:r>
      <w:r w:rsidRPr="00631DE0">
        <w:rPr>
          <w:rFonts w:eastAsia="Yu Mincho"/>
          <w:color w:val="000000" w:themeColor="text1"/>
          <w:lang w:eastAsia="ja-JP"/>
        </w:rPr>
        <w:t xml:space="preserve"> two groups (2013 &amp; 2023) to be statistically significant at </w:t>
      </w:r>
      <w:r w:rsidR="001F3256" w:rsidRPr="00631DE0">
        <w:rPr>
          <w:rFonts w:eastAsia="Yu Mincho"/>
          <w:color w:val="000000" w:themeColor="text1"/>
          <w:lang w:eastAsia="ja-JP"/>
        </w:rPr>
        <w:t>1</w:t>
      </w:r>
      <w:r w:rsidRPr="00631DE0">
        <w:rPr>
          <w:rFonts w:eastAsia="Yu Mincho"/>
          <w:color w:val="000000" w:themeColor="text1"/>
          <w:lang w:eastAsia="ja-JP"/>
        </w:rPr>
        <w:t xml:space="preserve"> percent for</w:t>
      </w:r>
      <w:r w:rsidR="001F3256" w:rsidRPr="00631DE0">
        <w:rPr>
          <w:rFonts w:eastAsia="Yu Mincho"/>
          <w:color w:val="000000" w:themeColor="text1"/>
          <w:lang w:eastAsia="ja-JP"/>
        </w:rPr>
        <w:t xml:space="preserve"> the</w:t>
      </w:r>
      <w:r w:rsidRPr="00631DE0">
        <w:rPr>
          <w:rFonts w:eastAsia="Yu Mincho"/>
          <w:color w:val="000000" w:themeColor="text1"/>
          <w:lang w:eastAsia="ja-JP"/>
        </w:rPr>
        <w:t xml:space="preserve"> </w:t>
      </w:r>
      <w:r w:rsidR="001F3256" w:rsidRPr="00631DE0">
        <w:rPr>
          <w:rFonts w:eastAsia="Yu Mincho"/>
          <w:color w:val="000000" w:themeColor="text1"/>
          <w:lang w:eastAsia="ja-JP"/>
        </w:rPr>
        <w:t>NAR</w:t>
      </w:r>
      <w:r w:rsidRPr="00631DE0">
        <w:rPr>
          <w:rFonts w:eastAsia="Yu Mincho"/>
          <w:color w:val="000000" w:themeColor="text1"/>
          <w:lang w:eastAsia="ja-JP"/>
        </w:rPr>
        <w:t xml:space="preserve"> (</w:t>
      </w:r>
      <w:r w:rsidR="001F3256" w:rsidRPr="00631DE0">
        <w:rPr>
          <w:rFonts w:eastAsia="Yu Mincho"/>
          <w:color w:val="000000" w:themeColor="text1"/>
          <w:lang w:eastAsia="ja-JP"/>
        </w:rPr>
        <w:t>4.03</w:t>
      </w:r>
      <w:r w:rsidR="000B7795" w:rsidRPr="00631DE0">
        <w:rPr>
          <w:rFonts w:eastAsia="Yu Mincho"/>
          <w:color w:val="000000" w:themeColor="text1"/>
          <w:lang w:eastAsia="ja-JP"/>
        </w:rPr>
        <w:t>***</w:t>
      </w:r>
      <w:r w:rsidRPr="00631DE0">
        <w:rPr>
          <w:rFonts w:eastAsia="Yu Mincho"/>
          <w:color w:val="000000" w:themeColor="text1"/>
          <w:lang w:eastAsia="ja-JP"/>
        </w:rPr>
        <w:t>) and</w:t>
      </w:r>
      <w:r w:rsidR="001F3256" w:rsidRPr="00631DE0">
        <w:rPr>
          <w:rFonts w:eastAsia="Yu Mincho"/>
          <w:color w:val="000000" w:themeColor="text1"/>
          <w:lang w:eastAsia="ja-JP"/>
        </w:rPr>
        <w:t xml:space="preserve"> NUM (5.10</w:t>
      </w:r>
      <w:r w:rsidR="000B7795" w:rsidRPr="00631DE0">
        <w:rPr>
          <w:rFonts w:eastAsia="Yu Mincho"/>
          <w:color w:val="000000" w:themeColor="text1"/>
          <w:lang w:eastAsia="ja-JP"/>
        </w:rPr>
        <w:t>***</w:t>
      </w:r>
      <w:r w:rsidR="001F3256" w:rsidRPr="00631DE0">
        <w:rPr>
          <w:rFonts w:eastAsia="Yu Mincho"/>
          <w:color w:val="000000" w:themeColor="text1"/>
          <w:lang w:eastAsia="ja-JP"/>
        </w:rPr>
        <w:t xml:space="preserve">). </w:t>
      </w:r>
    </w:p>
    <w:p w14:paraId="4B44159A" w14:textId="069B4A24" w:rsidR="004358B2" w:rsidRPr="00631DE0" w:rsidRDefault="004358B2" w:rsidP="00146467">
      <w:pPr>
        <w:spacing w:after="120" w:line="360" w:lineRule="auto"/>
        <w:ind w:firstLine="0"/>
        <w:jc w:val="center"/>
        <w:rPr>
          <w:rFonts w:ascii="Times New Roman" w:eastAsia="Times New Roman" w:hAnsi="Times New Roman" w:cs="Times New Roman"/>
          <w:b/>
          <w:bCs/>
          <w:color w:val="000000" w:themeColor="text1"/>
          <w:kern w:val="0"/>
          <w:sz w:val="24"/>
          <w:szCs w:val="24"/>
          <w:lang w:eastAsia="zh-CN"/>
          <w14:ligatures w14:val="none"/>
        </w:rPr>
      </w:pPr>
      <w:bookmarkStart w:id="18" w:name="_Hlk202187913"/>
      <w:r w:rsidRPr="00631DE0">
        <w:rPr>
          <w:rFonts w:ascii="Times New Roman" w:eastAsia="Times New Roman" w:hAnsi="Times New Roman" w:cs="Times New Roman"/>
          <w:b/>
          <w:bCs/>
          <w:color w:val="000000" w:themeColor="text1"/>
          <w:kern w:val="0"/>
          <w:sz w:val="24"/>
          <w:szCs w:val="24"/>
          <w:lang w:eastAsia="zh-CN"/>
          <w14:ligatures w14:val="none"/>
        </w:rPr>
        <w:t>[Table 3 goes about here]</w:t>
      </w:r>
    </w:p>
    <w:bookmarkEnd w:id="14"/>
    <w:bookmarkEnd w:id="18"/>
    <w:p w14:paraId="09CC75B2" w14:textId="0B9DBFF9" w:rsidR="001F3256" w:rsidRPr="00631DE0" w:rsidRDefault="001F3256" w:rsidP="00146467">
      <w:pPr>
        <w:suppressAutoHyphens/>
        <w:autoSpaceDN w:val="0"/>
        <w:spacing w:after="120" w:line="360" w:lineRule="auto"/>
        <w:ind w:firstLine="0"/>
        <w:textAlignment w:val="baseline"/>
        <w:rPr>
          <w:rFonts w:ascii="Times New Roman" w:eastAsia="Calibri" w:hAnsi="Times New Roman" w:cs="Times New Roman"/>
          <w:color w:val="000000" w:themeColor="text1"/>
          <w:sz w:val="18"/>
          <w:szCs w:val="18"/>
        </w:rPr>
      </w:pPr>
      <w:r w:rsidRPr="00631DE0">
        <w:rPr>
          <w:rFonts w:ascii="Times New Roman" w:eastAsia="Calibri" w:hAnsi="Times New Roman" w:cs="Times New Roman"/>
          <w:color w:val="000000" w:themeColor="text1"/>
          <w:sz w:val="18"/>
          <w:szCs w:val="18"/>
        </w:rPr>
        <w:t xml:space="preserve"> </w:t>
      </w:r>
      <w:r w:rsidRPr="00631DE0">
        <w:rPr>
          <w:rFonts w:ascii="Times New Roman" w:eastAsia="Calibri" w:hAnsi="Times New Roman" w:cs="Times New Roman"/>
          <w:color w:val="000000" w:themeColor="text1"/>
          <w:sz w:val="18"/>
          <w:szCs w:val="18"/>
          <w:u w:val="single"/>
        </w:rPr>
        <w:t xml:space="preserve">                                                                    </w:t>
      </w:r>
    </w:p>
    <w:p w14:paraId="0C5476B4" w14:textId="0B3DB85F" w:rsidR="001D713C" w:rsidRPr="00631DE0" w:rsidRDefault="009D27C6" w:rsidP="00161C7E">
      <w:pPr>
        <w:suppressAutoHyphens/>
        <w:autoSpaceDN w:val="0"/>
        <w:spacing w:after="120" w:line="360" w:lineRule="auto"/>
        <w:ind w:firstLine="0"/>
        <w:textAlignment w:val="baseline"/>
        <w:rPr>
          <w:rFonts w:ascii="Times New Roman" w:eastAsia="Yu Mincho" w:hAnsi="Times New Roman" w:cs="Times New Roman"/>
          <w:color w:val="000000" w:themeColor="text1"/>
          <w:sz w:val="24"/>
          <w:szCs w:val="24"/>
          <w:lang w:eastAsia="ja-JP"/>
        </w:rPr>
      </w:pPr>
      <w:r w:rsidRPr="00631DE0">
        <w:rPr>
          <w:rFonts w:ascii="Times New Roman" w:eastAsia="Yu Mincho" w:hAnsi="Times New Roman" w:cs="Times New Roman"/>
          <w:color w:val="000000" w:themeColor="text1"/>
          <w:sz w:val="24"/>
          <w:szCs w:val="24"/>
          <w:lang w:eastAsia="ja-JP"/>
        </w:rPr>
        <w:t xml:space="preserve">In Table </w:t>
      </w:r>
      <w:r w:rsidR="001D713C" w:rsidRPr="00631DE0">
        <w:rPr>
          <w:rFonts w:ascii="Times New Roman" w:eastAsia="Yu Mincho" w:hAnsi="Times New Roman" w:cs="Times New Roman"/>
          <w:color w:val="000000" w:themeColor="text1"/>
          <w:sz w:val="24"/>
          <w:szCs w:val="24"/>
          <w:lang w:eastAsia="ja-JP"/>
        </w:rPr>
        <w:t>4</w:t>
      </w:r>
      <w:r w:rsidRPr="00631DE0">
        <w:rPr>
          <w:rFonts w:ascii="Times New Roman" w:eastAsia="Yu Mincho" w:hAnsi="Times New Roman" w:cs="Times New Roman"/>
          <w:color w:val="000000" w:themeColor="text1"/>
          <w:sz w:val="24"/>
          <w:szCs w:val="24"/>
          <w:lang w:eastAsia="ja-JP"/>
        </w:rPr>
        <w:t xml:space="preserve">, </w:t>
      </w:r>
      <w:r w:rsidR="001D713C" w:rsidRPr="00631DE0">
        <w:rPr>
          <w:rFonts w:ascii="Times New Roman" w:eastAsia="Yu Mincho" w:hAnsi="Times New Roman" w:cs="Times New Roman"/>
          <w:color w:val="000000" w:themeColor="text1"/>
          <w:sz w:val="24"/>
          <w:szCs w:val="24"/>
          <w:lang w:eastAsia="ja-JP"/>
        </w:rPr>
        <w:t xml:space="preserve">and 5, we separate total environmental disclosure into two; internal facing </w:t>
      </w:r>
      <w:r w:rsidR="00ED493B" w:rsidRPr="00631DE0">
        <w:rPr>
          <w:rFonts w:ascii="Times New Roman" w:eastAsia="Yu Mincho" w:hAnsi="Times New Roman" w:cs="Times New Roman"/>
          <w:color w:val="000000" w:themeColor="text1"/>
          <w:sz w:val="24"/>
          <w:szCs w:val="24"/>
          <w:lang w:eastAsia="ja-JP"/>
        </w:rPr>
        <w:t xml:space="preserve">(Table 4) </w:t>
      </w:r>
      <w:r w:rsidR="001D713C" w:rsidRPr="00631DE0">
        <w:rPr>
          <w:rFonts w:ascii="Times New Roman" w:eastAsia="Yu Mincho" w:hAnsi="Times New Roman" w:cs="Times New Roman"/>
          <w:color w:val="000000" w:themeColor="text1"/>
          <w:sz w:val="24"/>
          <w:szCs w:val="24"/>
          <w:lang w:eastAsia="ja-JP"/>
        </w:rPr>
        <w:t>environmental disclosure and external facing environmental disclosure</w:t>
      </w:r>
      <w:r w:rsidR="00ED493B" w:rsidRPr="00631DE0">
        <w:rPr>
          <w:rFonts w:ascii="Times New Roman" w:eastAsia="Yu Mincho" w:hAnsi="Times New Roman" w:cs="Times New Roman"/>
          <w:color w:val="000000" w:themeColor="text1"/>
          <w:sz w:val="24"/>
          <w:szCs w:val="24"/>
          <w:lang w:eastAsia="ja-JP"/>
        </w:rPr>
        <w:t>s (Table 5)</w:t>
      </w:r>
      <w:r w:rsidR="00961991" w:rsidRPr="00631DE0">
        <w:rPr>
          <w:rFonts w:ascii="Times New Roman" w:eastAsia="Yu Mincho" w:hAnsi="Times New Roman" w:cs="Times New Roman"/>
          <w:color w:val="000000" w:themeColor="text1"/>
          <w:sz w:val="24"/>
          <w:szCs w:val="24"/>
          <w:lang w:eastAsia="ja-JP"/>
        </w:rPr>
        <w:t>, respectively</w:t>
      </w:r>
      <w:r w:rsidR="001D713C" w:rsidRPr="00631DE0">
        <w:rPr>
          <w:rFonts w:ascii="Times New Roman" w:eastAsia="Yu Mincho" w:hAnsi="Times New Roman" w:cs="Times New Roman"/>
          <w:color w:val="000000" w:themeColor="text1"/>
          <w:sz w:val="24"/>
          <w:szCs w:val="24"/>
          <w:lang w:eastAsia="ja-JP"/>
        </w:rPr>
        <w:t xml:space="preserve">. </w:t>
      </w:r>
      <w:r w:rsidR="00A2451F" w:rsidRPr="00631DE0">
        <w:rPr>
          <w:rFonts w:ascii="Times New Roman" w:eastAsia="Yu Mincho" w:hAnsi="Times New Roman" w:cs="Times New Roman"/>
          <w:color w:val="000000" w:themeColor="text1"/>
          <w:sz w:val="24"/>
          <w:szCs w:val="24"/>
          <w:lang w:eastAsia="ja-JP"/>
        </w:rPr>
        <w:t>We based this division on GRI legislation.</w:t>
      </w:r>
    </w:p>
    <w:p w14:paraId="6973A485" w14:textId="333D8FAD" w:rsidR="00A2451F" w:rsidRPr="00631DE0" w:rsidRDefault="00963645" w:rsidP="00161C7E">
      <w:pPr>
        <w:suppressAutoHyphens/>
        <w:autoSpaceDN w:val="0"/>
        <w:spacing w:after="120" w:line="360" w:lineRule="auto"/>
        <w:ind w:firstLine="0"/>
        <w:textAlignment w:val="baseline"/>
        <w:rPr>
          <w:rFonts w:ascii="Times New Roman" w:eastAsia="Yu Mincho" w:hAnsi="Times New Roman" w:cs="Times New Roman"/>
          <w:color w:val="000000" w:themeColor="text1"/>
          <w:sz w:val="24"/>
          <w:szCs w:val="24"/>
          <w:lang w:eastAsia="ja-JP"/>
        </w:rPr>
      </w:pPr>
      <w:r w:rsidRPr="00631DE0">
        <w:rPr>
          <w:rFonts w:ascii="Times New Roman" w:eastAsia="Yu Mincho" w:hAnsi="Times New Roman" w:cs="Times New Roman"/>
          <w:color w:val="000000" w:themeColor="text1"/>
          <w:sz w:val="24"/>
          <w:szCs w:val="24"/>
          <w:lang w:eastAsia="ja-JP"/>
        </w:rPr>
        <w:t xml:space="preserve">Consistent with our main analysis (Table 3), </w:t>
      </w:r>
      <w:r w:rsidR="00961991" w:rsidRPr="00631DE0">
        <w:rPr>
          <w:rFonts w:ascii="Times New Roman" w:eastAsia="Yu Mincho" w:hAnsi="Times New Roman" w:cs="Times New Roman"/>
          <w:color w:val="000000" w:themeColor="text1"/>
          <w:sz w:val="24"/>
          <w:szCs w:val="24"/>
          <w:lang w:eastAsia="ja-JP"/>
        </w:rPr>
        <w:t xml:space="preserve">Table 4 </w:t>
      </w:r>
      <w:r w:rsidRPr="00631DE0">
        <w:rPr>
          <w:rFonts w:ascii="Times New Roman" w:eastAsia="Yu Mincho" w:hAnsi="Times New Roman" w:cs="Times New Roman"/>
          <w:color w:val="000000" w:themeColor="text1"/>
          <w:sz w:val="24"/>
          <w:szCs w:val="24"/>
          <w:lang w:eastAsia="ja-JP"/>
        </w:rPr>
        <w:t>shows</w:t>
      </w:r>
      <w:r w:rsidR="00961991" w:rsidRPr="00631DE0">
        <w:rPr>
          <w:rFonts w:ascii="Times New Roman" w:eastAsia="Yu Mincho" w:hAnsi="Times New Roman" w:cs="Times New Roman"/>
          <w:color w:val="000000" w:themeColor="text1"/>
          <w:sz w:val="24"/>
          <w:szCs w:val="24"/>
          <w:lang w:eastAsia="ja-JP"/>
        </w:rPr>
        <w:t xml:space="preserve"> that NGOs discloses higher levels and quality of environmental disclosures in 2023, relative to 2013</w:t>
      </w:r>
      <w:r w:rsidRPr="00631DE0">
        <w:rPr>
          <w:rFonts w:ascii="Times New Roman" w:eastAsia="Yu Mincho" w:hAnsi="Times New Roman" w:cs="Times New Roman"/>
          <w:color w:val="000000" w:themeColor="text1"/>
          <w:sz w:val="24"/>
          <w:szCs w:val="24"/>
          <w:lang w:eastAsia="ja-JP"/>
        </w:rPr>
        <w:t xml:space="preserve"> in NAR and NUM, respectively</w:t>
      </w:r>
      <w:r w:rsidR="00961991" w:rsidRPr="00631DE0">
        <w:rPr>
          <w:rFonts w:ascii="Times New Roman" w:eastAsia="Yu Mincho" w:hAnsi="Times New Roman" w:cs="Times New Roman"/>
          <w:color w:val="000000" w:themeColor="text1"/>
          <w:sz w:val="24"/>
          <w:szCs w:val="24"/>
          <w:lang w:eastAsia="ja-JP"/>
        </w:rPr>
        <w:t xml:space="preserve">. The result is statistically significant at </w:t>
      </w:r>
      <w:r w:rsidRPr="00631DE0">
        <w:rPr>
          <w:rFonts w:ascii="Times New Roman" w:eastAsia="Yu Mincho" w:hAnsi="Times New Roman" w:cs="Times New Roman"/>
          <w:color w:val="000000" w:themeColor="text1"/>
          <w:sz w:val="24"/>
          <w:szCs w:val="24"/>
          <w:lang w:eastAsia="ja-JP"/>
        </w:rPr>
        <w:t>1</w:t>
      </w:r>
      <w:r w:rsidR="00961991" w:rsidRPr="00631DE0">
        <w:rPr>
          <w:rFonts w:ascii="Times New Roman" w:eastAsia="Yu Mincho" w:hAnsi="Times New Roman" w:cs="Times New Roman"/>
          <w:color w:val="000000" w:themeColor="text1"/>
          <w:sz w:val="24"/>
          <w:szCs w:val="24"/>
          <w:lang w:eastAsia="ja-JP"/>
        </w:rPr>
        <w:t>%</w:t>
      </w:r>
      <w:r w:rsidR="00663F8A" w:rsidRPr="00631DE0">
        <w:rPr>
          <w:rFonts w:ascii="Times New Roman" w:eastAsia="Yu Mincho" w:hAnsi="Times New Roman" w:cs="Times New Roman"/>
          <w:color w:val="000000" w:themeColor="text1"/>
          <w:sz w:val="24"/>
          <w:szCs w:val="24"/>
          <w:lang w:eastAsia="ja-JP"/>
        </w:rPr>
        <w:t xml:space="preserve"> (3.36***)</w:t>
      </w:r>
      <w:r w:rsidR="00961991" w:rsidRPr="00631DE0">
        <w:rPr>
          <w:rFonts w:ascii="Times New Roman" w:eastAsia="Yu Mincho" w:hAnsi="Times New Roman" w:cs="Times New Roman"/>
          <w:color w:val="000000" w:themeColor="text1"/>
          <w:sz w:val="24"/>
          <w:szCs w:val="24"/>
          <w:lang w:eastAsia="ja-JP"/>
        </w:rPr>
        <w:t xml:space="preserve">. </w:t>
      </w:r>
      <w:r w:rsidRPr="00631DE0">
        <w:rPr>
          <w:rFonts w:ascii="Times New Roman" w:eastAsia="Yu Mincho" w:hAnsi="Times New Roman" w:cs="Times New Roman"/>
          <w:color w:val="000000" w:themeColor="text1"/>
          <w:sz w:val="24"/>
          <w:szCs w:val="24"/>
          <w:lang w:eastAsia="ja-JP"/>
        </w:rPr>
        <w:t>Also, e</w:t>
      </w:r>
      <w:r w:rsidR="00961991" w:rsidRPr="00631DE0">
        <w:rPr>
          <w:rFonts w:ascii="Times New Roman" w:eastAsia="Yu Mincho" w:hAnsi="Times New Roman" w:cs="Times New Roman"/>
          <w:color w:val="000000" w:themeColor="text1"/>
          <w:sz w:val="24"/>
          <w:szCs w:val="24"/>
          <w:lang w:eastAsia="ja-JP"/>
        </w:rPr>
        <w:t xml:space="preserve">mpirical findings in Table </w:t>
      </w:r>
      <w:r w:rsidRPr="00631DE0">
        <w:rPr>
          <w:rFonts w:ascii="Times New Roman" w:eastAsia="Yu Mincho" w:hAnsi="Times New Roman" w:cs="Times New Roman"/>
          <w:color w:val="000000" w:themeColor="text1"/>
          <w:sz w:val="24"/>
          <w:szCs w:val="24"/>
          <w:lang w:eastAsia="ja-JP"/>
        </w:rPr>
        <w:t>4</w:t>
      </w:r>
      <w:r w:rsidR="00961991" w:rsidRPr="00631DE0">
        <w:rPr>
          <w:rFonts w:ascii="Times New Roman" w:eastAsia="Yu Mincho" w:hAnsi="Times New Roman" w:cs="Times New Roman"/>
          <w:color w:val="000000" w:themeColor="text1"/>
          <w:sz w:val="24"/>
          <w:szCs w:val="24"/>
          <w:lang w:eastAsia="ja-JP"/>
        </w:rPr>
        <w:t xml:space="preserve"> delineate that NUM environmental disclosure increases more than NAR. More specifically, the results of t-tests reveal the difference in means to be</w:t>
      </w:r>
      <w:r w:rsidR="00961991" w:rsidRPr="00631DE0">
        <w:rPr>
          <w:rFonts w:eastAsia="Yu Mincho"/>
          <w:color w:val="000000" w:themeColor="text1"/>
          <w:lang w:eastAsia="ja-JP"/>
        </w:rPr>
        <w:t xml:space="preserve"> </w:t>
      </w:r>
      <w:r w:rsidR="00961991" w:rsidRPr="00631DE0">
        <w:rPr>
          <w:rFonts w:ascii="Times New Roman" w:eastAsia="Yu Mincho" w:hAnsi="Times New Roman" w:cs="Times New Roman"/>
          <w:color w:val="000000" w:themeColor="text1"/>
          <w:sz w:val="24"/>
          <w:szCs w:val="24"/>
          <w:lang w:eastAsia="ja-JP"/>
        </w:rPr>
        <w:t>statistically significant at 1 percent level (4.</w:t>
      </w:r>
      <w:r w:rsidR="003B2BF7" w:rsidRPr="00631DE0">
        <w:rPr>
          <w:rFonts w:ascii="Times New Roman" w:eastAsia="Yu Mincho" w:hAnsi="Times New Roman" w:cs="Times New Roman"/>
          <w:color w:val="000000" w:themeColor="text1"/>
          <w:sz w:val="24"/>
          <w:szCs w:val="24"/>
          <w:lang w:eastAsia="ja-JP"/>
        </w:rPr>
        <w:t>68***</w:t>
      </w:r>
      <w:r w:rsidR="00961991" w:rsidRPr="00631DE0">
        <w:rPr>
          <w:rFonts w:ascii="Times New Roman" w:eastAsia="Yu Mincho" w:hAnsi="Times New Roman" w:cs="Times New Roman"/>
          <w:color w:val="000000" w:themeColor="text1"/>
          <w:sz w:val="24"/>
          <w:szCs w:val="24"/>
          <w:lang w:eastAsia="ja-JP"/>
        </w:rPr>
        <w:t>)</w:t>
      </w:r>
      <w:r w:rsidRPr="00631DE0">
        <w:rPr>
          <w:rFonts w:ascii="Times New Roman" w:eastAsia="Yu Mincho" w:hAnsi="Times New Roman" w:cs="Times New Roman"/>
          <w:color w:val="000000" w:themeColor="text1"/>
          <w:sz w:val="24"/>
          <w:szCs w:val="24"/>
          <w:lang w:eastAsia="ja-JP"/>
        </w:rPr>
        <w:t xml:space="preserve"> and </w:t>
      </w:r>
      <w:r w:rsidR="003B2BF7" w:rsidRPr="00631DE0">
        <w:rPr>
          <w:rFonts w:ascii="Times New Roman" w:eastAsia="Yu Mincho" w:hAnsi="Times New Roman" w:cs="Times New Roman"/>
          <w:color w:val="000000" w:themeColor="text1"/>
          <w:sz w:val="24"/>
          <w:szCs w:val="24"/>
          <w:lang w:eastAsia="ja-JP"/>
        </w:rPr>
        <w:t>5 percent level for (</w:t>
      </w:r>
      <w:r w:rsidR="002151E6" w:rsidRPr="00631DE0">
        <w:rPr>
          <w:rFonts w:ascii="Times New Roman" w:eastAsia="Yu Mincho" w:hAnsi="Times New Roman" w:cs="Times New Roman"/>
          <w:color w:val="000000" w:themeColor="text1"/>
          <w:sz w:val="24"/>
          <w:szCs w:val="24"/>
          <w:lang w:eastAsia="ja-JP"/>
        </w:rPr>
        <w:t>3.03**)</w:t>
      </w:r>
      <w:r w:rsidR="00EF33C6" w:rsidRPr="00631DE0">
        <w:rPr>
          <w:rFonts w:ascii="Times New Roman" w:eastAsia="Yu Mincho" w:hAnsi="Times New Roman" w:cs="Times New Roman"/>
          <w:color w:val="000000" w:themeColor="text1"/>
          <w:sz w:val="24"/>
          <w:szCs w:val="24"/>
          <w:lang w:eastAsia="ja-JP"/>
        </w:rPr>
        <w:t xml:space="preserve"> for NUM and NAR, respectively</w:t>
      </w:r>
      <w:r w:rsidR="00961991" w:rsidRPr="00631DE0">
        <w:rPr>
          <w:rFonts w:ascii="Times New Roman" w:eastAsia="Yu Mincho" w:hAnsi="Times New Roman" w:cs="Times New Roman"/>
          <w:color w:val="000000" w:themeColor="text1"/>
          <w:sz w:val="24"/>
          <w:szCs w:val="24"/>
          <w:lang w:eastAsia="ja-JP"/>
        </w:rPr>
        <w:t>.</w:t>
      </w:r>
      <w:r w:rsidR="00EF33C6" w:rsidRPr="00631DE0">
        <w:rPr>
          <w:rFonts w:ascii="Times New Roman" w:eastAsia="Yu Mincho" w:hAnsi="Times New Roman" w:cs="Times New Roman"/>
          <w:color w:val="000000" w:themeColor="text1"/>
          <w:sz w:val="24"/>
          <w:szCs w:val="24"/>
          <w:lang w:eastAsia="ja-JP"/>
        </w:rPr>
        <w:t xml:space="preserve"> </w:t>
      </w:r>
    </w:p>
    <w:p w14:paraId="4A790F29" w14:textId="1B2DED54" w:rsidR="009D27C6" w:rsidRPr="00631DE0" w:rsidRDefault="00EF33C6" w:rsidP="00161C7E">
      <w:pPr>
        <w:suppressAutoHyphens/>
        <w:autoSpaceDN w:val="0"/>
        <w:spacing w:after="120" w:line="360" w:lineRule="auto"/>
        <w:ind w:firstLine="0"/>
        <w:textAlignment w:val="baseline"/>
        <w:rPr>
          <w:rFonts w:ascii="Times New Roman" w:eastAsia="Yu Mincho" w:hAnsi="Times New Roman" w:cs="Times New Roman"/>
          <w:color w:val="000000" w:themeColor="text1"/>
          <w:sz w:val="24"/>
          <w:szCs w:val="24"/>
          <w:lang w:eastAsia="ja-JP"/>
        </w:rPr>
      </w:pPr>
      <w:r w:rsidRPr="00631DE0">
        <w:rPr>
          <w:rFonts w:ascii="Times New Roman" w:eastAsia="Yu Mincho" w:hAnsi="Times New Roman" w:cs="Times New Roman"/>
          <w:color w:val="000000" w:themeColor="text1"/>
          <w:sz w:val="24"/>
          <w:szCs w:val="24"/>
          <w:lang w:eastAsia="ja-JP"/>
        </w:rPr>
        <w:lastRenderedPageBreak/>
        <w:t xml:space="preserve">The empirical findings also </w:t>
      </w:r>
      <w:r w:rsidR="002151E6" w:rsidRPr="00631DE0">
        <w:rPr>
          <w:rFonts w:ascii="Times New Roman" w:eastAsia="Yu Mincho" w:hAnsi="Times New Roman" w:cs="Times New Roman"/>
          <w:color w:val="000000" w:themeColor="text1"/>
          <w:sz w:val="24"/>
          <w:szCs w:val="24"/>
          <w:lang w:eastAsia="ja-JP"/>
        </w:rPr>
        <w:t>provide</w:t>
      </w:r>
      <w:r w:rsidRPr="00631DE0">
        <w:rPr>
          <w:rFonts w:ascii="Times New Roman" w:eastAsia="Yu Mincho" w:hAnsi="Times New Roman" w:cs="Times New Roman"/>
          <w:color w:val="000000" w:themeColor="text1"/>
          <w:sz w:val="24"/>
          <w:szCs w:val="24"/>
          <w:lang w:eastAsia="ja-JP"/>
        </w:rPr>
        <w:t xml:space="preserve"> that</w:t>
      </w:r>
      <w:r w:rsidR="00A2451F" w:rsidRPr="00631DE0">
        <w:rPr>
          <w:rFonts w:ascii="Times New Roman" w:eastAsia="Yu Mincho" w:hAnsi="Times New Roman" w:cs="Times New Roman"/>
          <w:color w:val="000000" w:themeColor="text1"/>
          <w:sz w:val="24"/>
          <w:szCs w:val="24"/>
          <w:lang w:eastAsia="ja-JP"/>
        </w:rPr>
        <w:t xml:space="preserve"> </w:t>
      </w:r>
      <w:r w:rsidRPr="00631DE0">
        <w:rPr>
          <w:rFonts w:ascii="Times New Roman" w:eastAsia="Yu Mincho" w:hAnsi="Times New Roman" w:cs="Times New Roman"/>
          <w:color w:val="000000" w:themeColor="text1"/>
          <w:sz w:val="24"/>
          <w:szCs w:val="24"/>
          <w:lang w:eastAsia="ja-JP"/>
        </w:rPr>
        <w:t xml:space="preserve">NGO </w:t>
      </w:r>
      <w:r w:rsidR="00A2451F" w:rsidRPr="00631DE0">
        <w:rPr>
          <w:rFonts w:ascii="Times New Roman" w:eastAsia="Yu Mincho" w:hAnsi="Times New Roman" w:cs="Times New Roman"/>
          <w:color w:val="000000" w:themeColor="text1"/>
          <w:sz w:val="24"/>
          <w:szCs w:val="24"/>
          <w:lang w:eastAsia="ja-JP"/>
        </w:rPr>
        <w:t>disclose</w:t>
      </w:r>
      <w:r w:rsidR="009D27C6" w:rsidRPr="00631DE0">
        <w:rPr>
          <w:rFonts w:ascii="Times New Roman" w:eastAsia="Yu Mincho" w:hAnsi="Times New Roman" w:cs="Times New Roman"/>
          <w:color w:val="000000" w:themeColor="text1"/>
          <w:sz w:val="24"/>
          <w:szCs w:val="24"/>
          <w:lang w:eastAsia="ja-JP"/>
        </w:rPr>
        <w:t xml:space="preserve"> a higher quality and quantity of the environmental operational activities (OA</w:t>
      </w:r>
      <w:r w:rsidR="002151E6" w:rsidRPr="00631DE0">
        <w:rPr>
          <w:rFonts w:ascii="Times New Roman" w:eastAsia="Yu Mincho" w:hAnsi="Times New Roman" w:cs="Times New Roman"/>
          <w:color w:val="000000" w:themeColor="text1"/>
          <w:sz w:val="24"/>
          <w:szCs w:val="24"/>
          <w:lang w:eastAsia="ja-JP"/>
        </w:rPr>
        <w:t xml:space="preserve">, </w:t>
      </w:r>
      <w:r w:rsidR="00885853" w:rsidRPr="00631DE0">
        <w:rPr>
          <w:rFonts w:ascii="Times New Roman" w:eastAsia="Yu Mincho" w:hAnsi="Times New Roman" w:cs="Times New Roman"/>
          <w:color w:val="000000" w:themeColor="text1"/>
          <w:sz w:val="24"/>
          <w:szCs w:val="24"/>
          <w:lang w:eastAsia="ja-JP"/>
        </w:rPr>
        <w:t>5.18</w:t>
      </w:r>
      <w:r w:rsidR="008C5F88" w:rsidRPr="00631DE0">
        <w:rPr>
          <w:rFonts w:ascii="Times New Roman" w:eastAsia="Yu Mincho" w:hAnsi="Times New Roman" w:cs="Times New Roman"/>
          <w:color w:val="000000" w:themeColor="text1"/>
          <w:sz w:val="24"/>
          <w:szCs w:val="24"/>
          <w:lang w:eastAsia="ja-JP"/>
        </w:rPr>
        <w:t>**</w:t>
      </w:r>
      <w:r w:rsidR="009D27C6" w:rsidRPr="00631DE0">
        <w:rPr>
          <w:rFonts w:ascii="Times New Roman" w:eastAsia="Yu Mincho" w:hAnsi="Times New Roman" w:cs="Times New Roman"/>
          <w:color w:val="000000" w:themeColor="text1"/>
          <w:sz w:val="24"/>
          <w:szCs w:val="24"/>
          <w:lang w:eastAsia="ja-JP"/>
        </w:rPr>
        <w:t>) in comparison to policy and targets (P/T</w:t>
      </w:r>
      <w:r w:rsidR="006E5C8B" w:rsidRPr="00631DE0">
        <w:rPr>
          <w:rFonts w:ascii="Times New Roman" w:eastAsia="Yu Mincho" w:hAnsi="Times New Roman" w:cs="Times New Roman"/>
          <w:color w:val="000000" w:themeColor="text1"/>
          <w:sz w:val="24"/>
          <w:szCs w:val="24"/>
          <w:lang w:eastAsia="ja-JP"/>
        </w:rPr>
        <w:t xml:space="preserve">, </w:t>
      </w:r>
      <w:r w:rsidR="00885853" w:rsidRPr="00631DE0">
        <w:rPr>
          <w:rFonts w:ascii="Times New Roman" w:eastAsia="Yu Mincho" w:hAnsi="Times New Roman" w:cs="Times New Roman"/>
          <w:color w:val="000000" w:themeColor="text1"/>
          <w:sz w:val="24"/>
          <w:szCs w:val="24"/>
          <w:lang w:eastAsia="ja-JP"/>
        </w:rPr>
        <w:t>2.89</w:t>
      </w:r>
      <w:r w:rsidR="009D27C6" w:rsidRPr="00631DE0">
        <w:rPr>
          <w:rFonts w:ascii="Times New Roman" w:eastAsia="Yu Mincho" w:hAnsi="Times New Roman" w:cs="Times New Roman"/>
          <w:color w:val="000000" w:themeColor="text1"/>
          <w:sz w:val="24"/>
          <w:szCs w:val="24"/>
          <w:lang w:eastAsia="ja-JP"/>
        </w:rPr>
        <w:t xml:space="preserve">). The t-tests confirm the differences in means between </w:t>
      </w:r>
      <w:r w:rsidR="00BE577C" w:rsidRPr="00631DE0">
        <w:rPr>
          <w:rFonts w:ascii="Times New Roman" w:eastAsia="Yu Mincho" w:hAnsi="Times New Roman" w:cs="Times New Roman"/>
          <w:color w:val="000000" w:themeColor="text1"/>
          <w:sz w:val="24"/>
          <w:szCs w:val="24"/>
          <w:lang w:eastAsia="ja-JP"/>
        </w:rPr>
        <w:t xml:space="preserve">the </w:t>
      </w:r>
      <w:r w:rsidR="009D27C6" w:rsidRPr="00631DE0">
        <w:rPr>
          <w:rFonts w:ascii="Times New Roman" w:eastAsia="Yu Mincho" w:hAnsi="Times New Roman" w:cs="Times New Roman"/>
          <w:color w:val="000000" w:themeColor="text1"/>
          <w:sz w:val="24"/>
          <w:szCs w:val="24"/>
          <w:lang w:eastAsia="ja-JP"/>
        </w:rPr>
        <w:t>two groups (2013 &amp; 2023)</w:t>
      </w:r>
      <w:r w:rsidR="00BE577C" w:rsidRPr="00631DE0">
        <w:rPr>
          <w:rFonts w:ascii="Times New Roman" w:eastAsia="Yu Mincho" w:hAnsi="Times New Roman" w:cs="Times New Roman"/>
          <w:color w:val="000000" w:themeColor="text1"/>
          <w:sz w:val="24"/>
          <w:szCs w:val="24"/>
          <w:lang w:eastAsia="ja-JP"/>
        </w:rPr>
        <w:t xml:space="preserve"> of</w:t>
      </w:r>
      <w:r w:rsidRPr="00631DE0">
        <w:rPr>
          <w:rFonts w:ascii="Times New Roman" w:eastAsia="Yu Mincho" w:hAnsi="Times New Roman" w:cs="Times New Roman"/>
          <w:color w:val="000000" w:themeColor="text1"/>
          <w:sz w:val="24"/>
          <w:szCs w:val="24"/>
          <w:lang w:eastAsia="ja-JP"/>
        </w:rPr>
        <w:t xml:space="preserve"> ENVMGT</w:t>
      </w:r>
      <w:r w:rsidR="00BE577C" w:rsidRPr="00631DE0">
        <w:rPr>
          <w:rFonts w:ascii="Times New Roman" w:eastAsia="Yu Mincho" w:hAnsi="Times New Roman" w:cs="Times New Roman"/>
          <w:color w:val="000000" w:themeColor="text1"/>
          <w:sz w:val="24"/>
          <w:szCs w:val="24"/>
          <w:lang w:eastAsia="ja-JP"/>
        </w:rPr>
        <w:t xml:space="preserve"> and </w:t>
      </w:r>
      <w:r w:rsidRPr="00631DE0">
        <w:rPr>
          <w:rFonts w:ascii="Times New Roman" w:eastAsia="Yu Mincho" w:hAnsi="Times New Roman" w:cs="Times New Roman"/>
          <w:color w:val="000000" w:themeColor="text1"/>
          <w:sz w:val="24"/>
          <w:szCs w:val="24"/>
          <w:lang w:eastAsia="ja-JP"/>
        </w:rPr>
        <w:t>CC</w:t>
      </w:r>
      <w:r w:rsidR="00BE577C" w:rsidRPr="00631DE0">
        <w:rPr>
          <w:rFonts w:ascii="Times New Roman" w:eastAsia="Yu Mincho" w:hAnsi="Times New Roman" w:cs="Times New Roman"/>
          <w:color w:val="000000" w:themeColor="text1"/>
          <w:sz w:val="24"/>
          <w:szCs w:val="24"/>
          <w:lang w:eastAsia="ja-JP"/>
        </w:rPr>
        <w:t xml:space="preserve"> disclosure</w:t>
      </w:r>
      <w:r w:rsidR="009D27C6" w:rsidRPr="00631DE0">
        <w:rPr>
          <w:rFonts w:ascii="Times New Roman" w:eastAsia="Yu Mincho" w:hAnsi="Times New Roman" w:cs="Times New Roman"/>
          <w:color w:val="000000" w:themeColor="text1"/>
          <w:sz w:val="24"/>
          <w:szCs w:val="24"/>
          <w:lang w:eastAsia="ja-JP"/>
        </w:rPr>
        <w:t xml:space="preserve"> to be statistically significant at 1 percent</w:t>
      </w:r>
      <w:r w:rsidR="00BE577C" w:rsidRPr="00631DE0">
        <w:rPr>
          <w:rFonts w:ascii="Times New Roman" w:eastAsia="Yu Mincho" w:hAnsi="Times New Roman" w:cs="Times New Roman"/>
          <w:color w:val="000000" w:themeColor="text1"/>
          <w:sz w:val="24"/>
          <w:szCs w:val="24"/>
          <w:lang w:eastAsia="ja-JP"/>
        </w:rPr>
        <w:t xml:space="preserve">, while ECO shows insignificant results. Besides, the findings support H.3 </w:t>
      </w:r>
      <w:r w:rsidR="00273B7A" w:rsidRPr="00631DE0">
        <w:rPr>
          <w:rFonts w:ascii="Times New Roman" w:eastAsia="Yu Mincho" w:hAnsi="Times New Roman" w:cs="Times New Roman"/>
          <w:color w:val="000000" w:themeColor="text1"/>
          <w:sz w:val="24"/>
          <w:szCs w:val="24"/>
          <w:lang w:eastAsia="ja-JP"/>
        </w:rPr>
        <w:t>that NGOs discloses</w:t>
      </w:r>
      <w:r w:rsidR="00BE577C" w:rsidRPr="00631DE0">
        <w:rPr>
          <w:rFonts w:ascii="Times New Roman" w:eastAsia="Yu Mincho" w:hAnsi="Times New Roman" w:cs="Times New Roman"/>
          <w:color w:val="000000" w:themeColor="text1"/>
          <w:sz w:val="24"/>
          <w:szCs w:val="24"/>
          <w:lang w:eastAsia="ja-JP"/>
        </w:rPr>
        <w:t xml:space="preserve"> </w:t>
      </w:r>
      <w:r w:rsidR="009D27C6" w:rsidRPr="00631DE0">
        <w:rPr>
          <w:rFonts w:ascii="Times New Roman" w:eastAsia="Yu Mincho" w:hAnsi="Times New Roman" w:cs="Times New Roman"/>
          <w:color w:val="000000" w:themeColor="text1"/>
          <w:sz w:val="24"/>
          <w:szCs w:val="24"/>
          <w:lang w:eastAsia="ja-JP"/>
        </w:rPr>
        <w:t>higher volumes of environmental disclosures associated with</w:t>
      </w:r>
      <w:r w:rsidR="00325AC1" w:rsidRPr="00631DE0">
        <w:rPr>
          <w:rFonts w:ascii="Times New Roman" w:eastAsia="Yu Mincho" w:hAnsi="Times New Roman" w:cs="Times New Roman"/>
          <w:color w:val="000000" w:themeColor="text1"/>
          <w:sz w:val="24"/>
          <w:szCs w:val="24"/>
          <w:lang w:eastAsia="ja-JP"/>
        </w:rPr>
        <w:t xml:space="preserve"> the</w:t>
      </w:r>
      <w:r w:rsidR="009D27C6" w:rsidRPr="00631DE0">
        <w:rPr>
          <w:rFonts w:ascii="Times New Roman" w:eastAsia="Yu Mincho" w:hAnsi="Times New Roman" w:cs="Times New Roman"/>
          <w:color w:val="000000" w:themeColor="text1"/>
          <w:sz w:val="24"/>
          <w:szCs w:val="24"/>
          <w:lang w:eastAsia="ja-JP"/>
        </w:rPr>
        <w:t xml:space="preserve"> ‘actual’ business activities, as opposed to ‘aspirational’ policy and targets</w:t>
      </w:r>
      <w:r w:rsidR="001114C8" w:rsidRPr="00631DE0">
        <w:rPr>
          <w:rFonts w:ascii="Times New Roman" w:eastAsia="Yu Mincho" w:hAnsi="Times New Roman" w:cs="Times New Roman"/>
          <w:color w:val="000000" w:themeColor="text1"/>
          <w:sz w:val="24"/>
          <w:szCs w:val="24"/>
          <w:lang w:eastAsia="ja-JP"/>
        </w:rPr>
        <w:t>.</w:t>
      </w:r>
      <w:r w:rsidR="0025494F" w:rsidRPr="00631DE0">
        <w:rPr>
          <w:rFonts w:ascii="Times New Roman" w:eastAsia="Yu Mincho" w:hAnsi="Times New Roman" w:cs="Times New Roman"/>
          <w:color w:val="000000" w:themeColor="text1"/>
          <w:sz w:val="24"/>
          <w:szCs w:val="24"/>
          <w:lang w:eastAsia="ja-JP"/>
        </w:rPr>
        <w:t xml:space="preserve">    </w:t>
      </w:r>
    </w:p>
    <w:p w14:paraId="27083B45" w14:textId="5540031A" w:rsidR="004358B2" w:rsidRPr="00631DE0" w:rsidRDefault="004358B2" w:rsidP="00146467">
      <w:pPr>
        <w:spacing w:after="120" w:line="360" w:lineRule="auto"/>
        <w:ind w:firstLine="0"/>
        <w:jc w:val="center"/>
        <w:rPr>
          <w:rFonts w:ascii="Times New Roman" w:eastAsia="Times New Roman" w:hAnsi="Times New Roman" w:cs="Times New Roman"/>
          <w:b/>
          <w:bCs/>
          <w:color w:val="000000" w:themeColor="text1"/>
          <w:kern w:val="0"/>
          <w:sz w:val="24"/>
          <w:szCs w:val="24"/>
          <w:lang w:eastAsia="zh-CN"/>
          <w14:ligatures w14:val="none"/>
        </w:rPr>
      </w:pPr>
      <w:bookmarkStart w:id="19" w:name="_Hlk202107298"/>
      <w:r w:rsidRPr="00631DE0">
        <w:rPr>
          <w:rFonts w:ascii="Times New Roman" w:eastAsia="Times New Roman" w:hAnsi="Times New Roman" w:cs="Times New Roman"/>
          <w:b/>
          <w:bCs/>
          <w:color w:val="000000" w:themeColor="text1"/>
          <w:kern w:val="0"/>
          <w:sz w:val="24"/>
          <w:szCs w:val="24"/>
          <w:lang w:eastAsia="zh-CN"/>
          <w14:ligatures w14:val="none"/>
        </w:rPr>
        <w:t>[Table 4 goes about here]</w:t>
      </w:r>
    </w:p>
    <w:bookmarkEnd w:id="19"/>
    <w:p w14:paraId="578F9467" w14:textId="77777777" w:rsidR="009A3B5A" w:rsidRPr="00631DE0" w:rsidRDefault="009A3B5A" w:rsidP="00146467">
      <w:pPr>
        <w:suppressAutoHyphens/>
        <w:autoSpaceDN w:val="0"/>
        <w:spacing w:after="120" w:line="360" w:lineRule="auto"/>
        <w:ind w:firstLine="0"/>
        <w:textAlignment w:val="baseline"/>
        <w:rPr>
          <w:rFonts w:ascii="Times New Roman" w:eastAsia="Yu Mincho" w:hAnsi="Times New Roman" w:cs="Times New Roman"/>
          <w:color w:val="000000" w:themeColor="text1"/>
          <w:sz w:val="24"/>
          <w:szCs w:val="24"/>
          <w:lang w:eastAsia="ja-JP"/>
        </w:rPr>
      </w:pPr>
    </w:p>
    <w:p w14:paraId="02B0702C" w14:textId="0772A3D0" w:rsidR="00D63017" w:rsidRPr="00631DE0" w:rsidRDefault="00D63017" w:rsidP="00161C7E">
      <w:pPr>
        <w:suppressAutoHyphens/>
        <w:autoSpaceDN w:val="0"/>
        <w:spacing w:after="120" w:line="360" w:lineRule="auto"/>
        <w:ind w:firstLine="0"/>
        <w:textAlignment w:val="baseline"/>
        <w:rPr>
          <w:rFonts w:ascii="Times New Roman" w:eastAsia="Yu Mincho" w:hAnsi="Times New Roman" w:cs="Times New Roman"/>
          <w:color w:val="000000" w:themeColor="text1"/>
          <w:sz w:val="24"/>
          <w:szCs w:val="24"/>
          <w:lang w:eastAsia="ja-JP"/>
        </w:rPr>
      </w:pPr>
      <w:r w:rsidRPr="00631DE0">
        <w:rPr>
          <w:rFonts w:ascii="Times New Roman" w:eastAsia="Yu Mincho" w:hAnsi="Times New Roman" w:cs="Times New Roman"/>
          <w:color w:val="000000" w:themeColor="text1"/>
          <w:sz w:val="24"/>
          <w:szCs w:val="24"/>
          <w:lang w:eastAsia="ja-JP"/>
        </w:rPr>
        <w:t xml:space="preserve">Second, </w:t>
      </w:r>
      <w:r w:rsidR="00EE3344" w:rsidRPr="00631DE0">
        <w:rPr>
          <w:rFonts w:ascii="Times New Roman" w:eastAsia="Yu Mincho" w:hAnsi="Times New Roman" w:cs="Times New Roman"/>
          <w:color w:val="000000" w:themeColor="text1"/>
          <w:sz w:val="24"/>
          <w:szCs w:val="24"/>
          <w:lang w:eastAsia="ja-JP"/>
        </w:rPr>
        <w:t>we show</w:t>
      </w:r>
      <w:r w:rsidR="00DC79E6" w:rsidRPr="00631DE0">
        <w:rPr>
          <w:rFonts w:ascii="Times New Roman" w:eastAsia="Yu Mincho" w:hAnsi="Times New Roman" w:cs="Times New Roman"/>
          <w:color w:val="000000" w:themeColor="text1"/>
          <w:sz w:val="24"/>
          <w:szCs w:val="24"/>
          <w:lang w:eastAsia="ja-JP"/>
        </w:rPr>
        <w:t xml:space="preserve"> the</w:t>
      </w:r>
      <w:r w:rsidR="00EE3344" w:rsidRPr="00631DE0">
        <w:rPr>
          <w:rFonts w:ascii="Times New Roman" w:eastAsia="Yu Mincho" w:hAnsi="Times New Roman" w:cs="Times New Roman"/>
          <w:color w:val="000000" w:themeColor="text1"/>
          <w:sz w:val="24"/>
          <w:szCs w:val="24"/>
          <w:lang w:eastAsia="ja-JP"/>
        </w:rPr>
        <w:t xml:space="preserve"> external facing (the societal) environmental disclosure. T</w:t>
      </w:r>
      <w:r w:rsidRPr="00631DE0">
        <w:rPr>
          <w:rFonts w:ascii="Times New Roman" w:eastAsia="Yu Mincho" w:hAnsi="Times New Roman" w:cs="Times New Roman"/>
          <w:color w:val="000000" w:themeColor="text1"/>
          <w:sz w:val="24"/>
          <w:szCs w:val="24"/>
          <w:lang w:eastAsia="ja-JP"/>
        </w:rPr>
        <w:t xml:space="preserve">able 5 </w:t>
      </w:r>
      <w:r w:rsidR="00EE3344" w:rsidRPr="00631DE0">
        <w:rPr>
          <w:rFonts w:ascii="Times New Roman" w:eastAsia="Yu Mincho" w:hAnsi="Times New Roman" w:cs="Times New Roman"/>
          <w:color w:val="000000" w:themeColor="text1"/>
          <w:sz w:val="24"/>
          <w:szCs w:val="24"/>
          <w:lang w:eastAsia="ja-JP"/>
        </w:rPr>
        <w:t>depicts</w:t>
      </w:r>
      <w:r w:rsidRPr="00631DE0">
        <w:rPr>
          <w:rFonts w:ascii="Times New Roman" w:eastAsia="Yu Mincho" w:hAnsi="Times New Roman" w:cs="Times New Roman"/>
          <w:color w:val="000000" w:themeColor="text1"/>
          <w:sz w:val="24"/>
          <w:szCs w:val="24"/>
          <w:lang w:eastAsia="ja-JP"/>
        </w:rPr>
        <w:t xml:space="preserve"> empirical results of mean difference of the t-tests of the </w:t>
      </w:r>
      <w:r w:rsidR="00EE3344" w:rsidRPr="00631DE0">
        <w:rPr>
          <w:rFonts w:ascii="Times New Roman" w:eastAsia="Yu Mincho" w:hAnsi="Times New Roman" w:cs="Times New Roman"/>
          <w:color w:val="000000" w:themeColor="text1"/>
          <w:sz w:val="24"/>
          <w:szCs w:val="24"/>
          <w:lang w:eastAsia="ja-JP"/>
        </w:rPr>
        <w:t>external facing environmental disclosure</w:t>
      </w:r>
      <w:r w:rsidRPr="00631DE0">
        <w:rPr>
          <w:rFonts w:ascii="Times New Roman" w:eastAsia="Yu Mincho" w:hAnsi="Times New Roman" w:cs="Times New Roman"/>
          <w:color w:val="000000" w:themeColor="text1"/>
          <w:sz w:val="24"/>
          <w:szCs w:val="24"/>
          <w:lang w:eastAsia="ja-JP"/>
        </w:rPr>
        <w:t xml:space="preserve"> in the context of </w:t>
      </w:r>
      <w:r w:rsidR="00EE3344" w:rsidRPr="00631DE0">
        <w:rPr>
          <w:rFonts w:ascii="Times New Roman" w:eastAsia="Yu Mincho" w:hAnsi="Times New Roman" w:cs="Times New Roman"/>
          <w:color w:val="000000" w:themeColor="text1"/>
          <w:sz w:val="24"/>
          <w:szCs w:val="24"/>
          <w:lang w:eastAsia="ja-JP"/>
        </w:rPr>
        <w:t>ENVMGT</w:t>
      </w:r>
      <w:r w:rsidRPr="00631DE0">
        <w:rPr>
          <w:rFonts w:ascii="Times New Roman" w:eastAsia="Yu Mincho" w:hAnsi="Times New Roman" w:cs="Times New Roman"/>
          <w:color w:val="000000" w:themeColor="text1"/>
          <w:sz w:val="24"/>
          <w:szCs w:val="24"/>
          <w:lang w:eastAsia="ja-JP"/>
        </w:rPr>
        <w:t xml:space="preserve">, </w:t>
      </w:r>
      <w:r w:rsidR="00EE3344" w:rsidRPr="00631DE0">
        <w:rPr>
          <w:rFonts w:ascii="Times New Roman" w:eastAsia="Yu Mincho" w:hAnsi="Times New Roman" w:cs="Times New Roman"/>
          <w:color w:val="000000" w:themeColor="text1"/>
          <w:sz w:val="24"/>
          <w:szCs w:val="24"/>
          <w:lang w:eastAsia="ja-JP"/>
        </w:rPr>
        <w:t>CC</w:t>
      </w:r>
      <w:r w:rsidRPr="00631DE0">
        <w:rPr>
          <w:rFonts w:ascii="Times New Roman" w:eastAsia="Yu Mincho" w:hAnsi="Times New Roman" w:cs="Times New Roman"/>
          <w:color w:val="000000" w:themeColor="text1"/>
          <w:sz w:val="24"/>
          <w:szCs w:val="24"/>
          <w:lang w:eastAsia="ja-JP"/>
        </w:rPr>
        <w:t xml:space="preserve"> and </w:t>
      </w:r>
      <w:r w:rsidR="00EE3344" w:rsidRPr="00631DE0">
        <w:rPr>
          <w:rFonts w:ascii="Times New Roman" w:eastAsia="Yu Mincho" w:hAnsi="Times New Roman" w:cs="Times New Roman"/>
          <w:color w:val="000000" w:themeColor="text1"/>
          <w:sz w:val="24"/>
          <w:szCs w:val="24"/>
          <w:lang w:eastAsia="ja-JP"/>
        </w:rPr>
        <w:t>ECO</w:t>
      </w:r>
      <w:r w:rsidRPr="00631DE0">
        <w:rPr>
          <w:rFonts w:ascii="Times New Roman" w:eastAsia="Yu Mincho" w:hAnsi="Times New Roman" w:cs="Times New Roman"/>
          <w:color w:val="000000" w:themeColor="text1"/>
          <w:sz w:val="24"/>
          <w:szCs w:val="24"/>
          <w:lang w:eastAsia="ja-JP"/>
        </w:rPr>
        <w:t>. The results</w:t>
      </w:r>
      <w:r w:rsidR="00DC79E6" w:rsidRPr="00631DE0">
        <w:rPr>
          <w:rFonts w:ascii="Times New Roman" w:eastAsia="Yu Mincho" w:hAnsi="Times New Roman" w:cs="Times New Roman"/>
          <w:color w:val="000000" w:themeColor="text1"/>
          <w:sz w:val="24"/>
          <w:szCs w:val="24"/>
          <w:lang w:eastAsia="ja-JP"/>
        </w:rPr>
        <w:t xml:space="preserve"> shows</w:t>
      </w:r>
      <w:r w:rsidRPr="00631DE0">
        <w:rPr>
          <w:rFonts w:ascii="Times New Roman" w:eastAsia="Yu Mincho" w:hAnsi="Times New Roman" w:cs="Times New Roman"/>
          <w:color w:val="000000" w:themeColor="text1"/>
          <w:sz w:val="24"/>
          <w:szCs w:val="24"/>
          <w:lang w:eastAsia="ja-JP"/>
        </w:rPr>
        <w:t xml:space="preserve"> </w:t>
      </w:r>
      <w:r w:rsidR="00BD5A88" w:rsidRPr="00631DE0">
        <w:rPr>
          <w:rFonts w:ascii="Times New Roman" w:eastAsia="Yu Mincho" w:hAnsi="Times New Roman" w:cs="Times New Roman"/>
          <w:color w:val="000000" w:themeColor="text1"/>
          <w:sz w:val="24"/>
          <w:szCs w:val="24"/>
          <w:lang w:eastAsia="ja-JP"/>
        </w:rPr>
        <w:t>that the disclosures of</w:t>
      </w:r>
      <w:r w:rsidRPr="00631DE0">
        <w:rPr>
          <w:rFonts w:ascii="Times New Roman" w:eastAsia="Yu Mincho" w:hAnsi="Times New Roman" w:cs="Times New Roman"/>
          <w:color w:val="000000" w:themeColor="text1"/>
          <w:sz w:val="24"/>
          <w:szCs w:val="24"/>
          <w:lang w:eastAsia="ja-JP"/>
        </w:rPr>
        <w:t xml:space="preserve"> NUM (</w:t>
      </w:r>
      <w:r w:rsidR="003172E9" w:rsidRPr="00631DE0">
        <w:rPr>
          <w:rFonts w:ascii="Times New Roman" w:eastAsia="Yu Mincho" w:hAnsi="Times New Roman" w:cs="Times New Roman"/>
          <w:color w:val="000000" w:themeColor="text1"/>
          <w:sz w:val="24"/>
          <w:szCs w:val="24"/>
          <w:lang w:eastAsia="ja-JP"/>
        </w:rPr>
        <w:t>1.86**</w:t>
      </w:r>
      <w:r w:rsidRPr="00631DE0">
        <w:rPr>
          <w:rFonts w:ascii="Times New Roman" w:eastAsia="Yu Mincho" w:hAnsi="Times New Roman" w:cs="Times New Roman"/>
          <w:color w:val="000000" w:themeColor="text1"/>
          <w:sz w:val="24"/>
          <w:szCs w:val="24"/>
          <w:lang w:eastAsia="ja-JP"/>
        </w:rPr>
        <w:t>), NAR (</w:t>
      </w:r>
      <w:r w:rsidR="003172E9" w:rsidRPr="00631DE0">
        <w:rPr>
          <w:rFonts w:ascii="Times New Roman" w:eastAsia="Yu Mincho" w:hAnsi="Times New Roman" w:cs="Times New Roman"/>
          <w:color w:val="000000" w:themeColor="text1"/>
          <w:sz w:val="24"/>
          <w:szCs w:val="24"/>
          <w:lang w:eastAsia="ja-JP"/>
        </w:rPr>
        <w:t>2.09**</w:t>
      </w:r>
      <w:r w:rsidRPr="00631DE0">
        <w:rPr>
          <w:rFonts w:ascii="Times New Roman" w:eastAsia="Yu Mincho" w:hAnsi="Times New Roman" w:cs="Times New Roman"/>
          <w:color w:val="000000" w:themeColor="text1"/>
          <w:sz w:val="24"/>
          <w:szCs w:val="24"/>
          <w:lang w:eastAsia="ja-JP"/>
        </w:rPr>
        <w:t>)</w:t>
      </w:r>
      <w:r w:rsidR="00EE3344" w:rsidRPr="00631DE0">
        <w:rPr>
          <w:rFonts w:ascii="Times New Roman" w:eastAsia="Yu Mincho" w:hAnsi="Times New Roman" w:cs="Times New Roman"/>
          <w:color w:val="000000" w:themeColor="text1"/>
          <w:sz w:val="24"/>
          <w:szCs w:val="24"/>
          <w:lang w:eastAsia="ja-JP"/>
        </w:rPr>
        <w:t xml:space="preserve"> </w:t>
      </w:r>
      <w:r w:rsidR="00BD5A88" w:rsidRPr="00631DE0">
        <w:rPr>
          <w:rFonts w:ascii="Times New Roman" w:eastAsia="Yu Mincho" w:hAnsi="Times New Roman" w:cs="Times New Roman"/>
          <w:color w:val="000000" w:themeColor="text1"/>
          <w:sz w:val="24"/>
          <w:szCs w:val="24"/>
          <w:lang w:eastAsia="ja-JP"/>
        </w:rPr>
        <w:t>are both statistically significant at the 5% level</w:t>
      </w:r>
      <w:r w:rsidRPr="00631DE0">
        <w:rPr>
          <w:rFonts w:ascii="Times New Roman" w:eastAsia="Yu Mincho" w:hAnsi="Times New Roman" w:cs="Times New Roman"/>
          <w:color w:val="000000" w:themeColor="text1"/>
          <w:sz w:val="24"/>
          <w:szCs w:val="24"/>
          <w:lang w:eastAsia="ja-JP"/>
        </w:rPr>
        <w:t>. T-tests indicate a statistically significant difference in means for</w:t>
      </w:r>
      <w:r w:rsidR="00DC79E6" w:rsidRPr="00631DE0">
        <w:rPr>
          <w:rFonts w:ascii="Times New Roman" w:eastAsia="Yu Mincho" w:hAnsi="Times New Roman" w:cs="Times New Roman"/>
          <w:color w:val="000000" w:themeColor="text1"/>
          <w:sz w:val="24"/>
          <w:szCs w:val="24"/>
          <w:lang w:eastAsia="ja-JP"/>
        </w:rPr>
        <w:t xml:space="preserve"> the</w:t>
      </w:r>
      <w:r w:rsidRPr="00631DE0">
        <w:rPr>
          <w:rFonts w:ascii="Times New Roman" w:eastAsia="Yu Mincho" w:hAnsi="Times New Roman" w:cs="Times New Roman"/>
          <w:color w:val="000000" w:themeColor="text1"/>
          <w:sz w:val="24"/>
          <w:szCs w:val="24"/>
          <w:lang w:eastAsia="ja-JP"/>
        </w:rPr>
        <w:t xml:space="preserve"> NUM (1.91**), NAR (2.</w:t>
      </w:r>
      <w:r w:rsidR="00EE3344" w:rsidRPr="00631DE0">
        <w:rPr>
          <w:rFonts w:ascii="Times New Roman" w:eastAsia="Yu Mincho" w:hAnsi="Times New Roman" w:cs="Times New Roman"/>
          <w:color w:val="000000" w:themeColor="text1"/>
          <w:sz w:val="24"/>
          <w:szCs w:val="24"/>
          <w:lang w:eastAsia="ja-JP"/>
        </w:rPr>
        <w:t>90</w:t>
      </w:r>
      <w:r w:rsidRPr="00631DE0">
        <w:rPr>
          <w:rFonts w:ascii="Times New Roman" w:eastAsia="Yu Mincho" w:hAnsi="Times New Roman" w:cs="Times New Roman"/>
          <w:color w:val="000000" w:themeColor="text1"/>
          <w:sz w:val="24"/>
          <w:szCs w:val="24"/>
          <w:lang w:eastAsia="ja-JP"/>
        </w:rPr>
        <w:t>**)</w:t>
      </w:r>
      <w:r w:rsidR="00DC79E6" w:rsidRPr="00631DE0">
        <w:rPr>
          <w:rFonts w:ascii="Times New Roman" w:eastAsia="Yu Mincho" w:hAnsi="Times New Roman" w:cs="Times New Roman"/>
          <w:color w:val="000000" w:themeColor="text1"/>
          <w:sz w:val="24"/>
          <w:szCs w:val="24"/>
          <w:lang w:eastAsia="ja-JP"/>
        </w:rPr>
        <w:t xml:space="preserve">. </w:t>
      </w:r>
      <w:r w:rsidR="004A57F6" w:rsidRPr="00631DE0">
        <w:rPr>
          <w:rFonts w:ascii="Times New Roman" w:eastAsia="Yu Mincho" w:hAnsi="Times New Roman" w:cs="Times New Roman"/>
          <w:color w:val="000000" w:themeColor="text1"/>
          <w:sz w:val="24"/>
          <w:szCs w:val="24"/>
          <w:lang w:eastAsia="ja-JP"/>
        </w:rPr>
        <w:t xml:space="preserve">Similar to </w:t>
      </w:r>
      <w:r w:rsidR="00DC79E6" w:rsidRPr="00631DE0">
        <w:rPr>
          <w:rFonts w:ascii="Times New Roman" w:eastAsia="Yu Mincho" w:hAnsi="Times New Roman" w:cs="Times New Roman"/>
          <w:color w:val="000000" w:themeColor="text1"/>
          <w:sz w:val="24"/>
          <w:szCs w:val="24"/>
          <w:lang w:eastAsia="ja-JP"/>
        </w:rPr>
        <w:t xml:space="preserve">the </w:t>
      </w:r>
      <w:r w:rsidR="004A57F6" w:rsidRPr="00631DE0">
        <w:rPr>
          <w:rFonts w:ascii="Times New Roman" w:eastAsia="Yu Mincho" w:hAnsi="Times New Roman" w:cs="Times New Roman"/>
          <w:color w:val="000000" w:themeColor="text1"/>
          <w:sz w:val="24"/>
          <w:szCs w:val="24"/>
          <w:lang w:eastAsia="ja-JP"/>
        </w:rPr>
        <w:t>TOTAL and internal facing environmental disclosure, climate change</w:t>
      </w:r>
      <w:r w:rsidR="00DC79E6" w:rsidRPr="00631DE0">
        <w:rPr>
          <w:rFonts w:ascii="Times New Roman" w:eastAsia="Yu Mincho" w:hAnsi="Times New Roman" w:cs="Times New Roman"/>
          <w:color w:val="000000" w:themeColor="text1"/>
          <w:sz w:val="24"/>
          <w:szCs w:val="24"/>
          <w:lang w:eastAsia="ja-JP"/>
        </w:rPr>
        <w:t>s</w:t>
      </w:r>
      <w:r w:rsidR="004A57F6" w:rsidRPr="00631DE0">
        <w:rPr>
          <w:rFonts w:ascii="Times New Roman" w:eastAsia="Yu Mincho" w:hAnsi="Times New Roman" w:cs="Times New Roman"/>
          <w:color w:val="000000" w:themeColor="text1"/>
          <w:sz w:val="24"/>
          <w:szCs w:val="24"/>
          <w:lang w:eastAsia="ja-JP"/>
        </w:rPr>
        <w:t xml:space="preserve"> </w:t>
      </w:r>
      <w:r w:rsidR="00DC79E6" w:rsidRPr="00631DE0">
        <w:rPr>
          <w:rFonts w:ascii="Times New Roman" w:eastAsia="Yu Mincho" w:hAnsi="Times New Roman" w:cs="Times New Roman"/>
          <w:color w:val="000000" w:themeColor="text1"/>
          <w:sz w:val="24"/>
          <w:szCs w:val="24"/>
          <w:lang w:eastAsia="ja-JP"/>
        </w:rPr>
        <w:t>present</w:t>
      </w:r>
      <w:r w:rsidR="004A57F6" w:rsidRPr="00631DE0">
        <w:rPr>
          <w:rFonts w:ascii="Times New Roman" w:eastAsia="Yu Mincho" w:hAnsi="Times New Roman" w:cs="Times New Roman"/>
          <w:color w:val="000000" w:themeColor="text1"/>
          <w:sz w:val="24"/>
          <w:szCs w:val="24"/>
          <w:lang w:eastAsia="ja-JP"/>
        </w:rPr>
        <w:t xml:space="preserve"> the highest disclosure among the environmental categories. Overall, the findings, support our previous analysis</w:t>
      </w:r>
      <w:r w:rsidR="001114C8" w:rsidRPr="00631DE0">
        <w:rPr>
          <w:rFonts w:ascii="Times New Roman" w:eastAsia="Yu Mincho" w:hAnsi="Times New Roman" w:cs="Times New Roman"/>
          <w:color w:val="000000" w:themeColor="text1"/>
          <w:sz w:val="24"/>
          <w:szCs w:val="24"/>
          <w:lang w:eastAsia="ja-JP"/>
        </w:rPr>
        <w:t>.</w:t>
      </w:r>
    </w:p>
    <w:p w14:paraId="6779FD78" w14:textId="77777777" w:rsidR="004358B2" w:rsidRPr="00631DE0" w:rsidRDefault="004358B2" w:rsidP="00146467">
      <w:pPr>
        <w:suppressAutoHyphens/>
        <w:autoSpaceDN w:val="0"/>
        <w:spacing w:after="120" w:line="360" w:lineRule="auto"/>
        <w:textAlignment w:val="baseline"/>
        <w:rPr>
          <w:rFonts w:ascii="Times New Roman" w:eastAsia="Calibri" w:hAnsi="Times New Roman" w:cs="Times New Roman"/>
          <w:color w:val="000000" w:themeColor="text1"/>
          <w:sz w:val="24"/>
          <w:szCs w:val="24"/>
        </w:rPr>
      </w:pPr>
    </w:p>
    <w:p w14:paraId="4DFDD01E" w14:textId="6DC1FB66" w:rsidR="004358B2" w:rsidRPr="00631DE0" w:rsidRDefault="004358B2" w:rsidP="00146467">
      <w:pPr>
        <w:spacing w:after="120" w:line="360" w:lineRule="auto"/>
        <w:ind w:firstLine="0"/>
        <w:jc w:val="center"/>
        <w:rPr>
          <w:rFonts w:ascii="Times New Roman" w:eastAsia="Times New Roman" w:hAnsi="Times New Roman" w:cs="Times New Roman"/>
          <w:b/>
          <w:bCs/>
          <w:color w:val="000000" w:themeColor="text1"/>
          <w:kern w:val="0"/>
          <w:sz w:val="24"/>
          <w:szCs w:val="24"/>
          <w:lang w:eastAsia="zh-CN"/>
          <w14:ligatures w14:val="none"/>
        </w:rPr>
      </w:pPr>
      <w:r w:rsidRPr="00631DE0">
        <w:rPr>
          <w:rFonts w:ascii="Times New Roman" w:eastAsia="Times New Roman" w:hAnsi="Times New Roman" w:cs="Times New Roman"/>
          <w:b/>
          <w:bCs/>
          <w:color w:val="000000" w:themeColor="text1"/>
          <w:kern w:val="0"/>
          <w:sz w:val="24"/>
          <w:szCs w:val="24"/>
          <w:lang w:eastAsia="zh-CN"/>
          <w14:ligatures w14:val="none"/>
        </w:rPr>
        <w:t>[Table 5 goes about here]</w:t>
      </w:r>
    </w:p>
    <w:p w14:paraId="295F0FD8" w14:textId="77777777" w:rsidR="0083363E" w:rsidRPr="00631DE0" w:rsidRDefault="0083363E" w:rsidP="00146467">
      <w:pPr>
        <w:suppressAutoHyphens/>
        <w:autoSpaceDN w:val="0"/>
        <w:spacing w:after="120" w:line="360" w:lineRule="auto"/>
        <w:ind w:firstLine="0"/>
        <w:textAlignment w:val="baseline"/>
        <w:rPr>
          <w:rFonts w:ascii="Times New Roman" w:eastAsia="Yu Mincho" w:hAnsi="Times New Roman" w:cs="Times New Roman"/>
          <w:color w:val="000000" w:themeColor="text1"/>
          <w:sz w:val="24"/>
          <w:szCs w:val="24"/>
          <w:lang w:eastAsia="ja-JP"/>
        </w:rPr>
      </w:pPr>
    </w:p>
    <w:p w14:paraId="35624BD9" w14:textId="77777777" w:rsidR="00D63017" w:rsidRPr="00631DE0" w:rsidRDefault="00D63017" w:rsidP="00146467">
      <w:pPr>
        <w:suppressAutoHyphens/>
        <w:autoSpaceDN w:val="0"/>
        <w:spacing w:after="120" w:line="360" w:lineRule="auto"/>
        <w:ind w:firstLine="0"/>
        <w:textAlignment w:val="baseline"/>
        <w:rPr>
          <w:color w:val="000000" w:themeColor="text1"/>
          <w:lang w:eastAsia="ja-JP"/>
        </w:rPr>
      </w:pPr>
    </w:p>
    <w:p w14:paraId="1ED21B77" w14:textId="098C791B" w:rsidR="00642386" w:rsidRPr="00631DE0" w:rsidRDefault="00AA6CC7" w:rsidP="00161C7E">
      <w:pPr>
        <w:suppressAutoHyphens/>
        <w:autoSpaceDN w:val="0"/>
        <w:spacing w:after="120" w:line="360" w:lineRule="auto"/>
        <w:ind w:firstLine="0"/>
        <w:textAlignment w:val="baseline"/>
        <w:rPr>
          <w:rFonts w:ascii="Times New Roman" w:eastAsia="Yu Mincho" w:hAnsi="Times New Roman" w:cs="Times New Roman"/>
          <w:color w:val="000000" w:themeColor="text1"/>
          <w:sz w:val="24"/>
          <w:szCs w:val="24"/>
          <w:lang w:eastAsia="ja-JP"/>
        </w:rPr>
      </w:pPr>
      <w:r w:rsidRPr="00631DE0">
        <w:rPr>
          <w:rFonts w:ascii="Times New Roman" w:eastAsia="Yu Mincho" w:hAnsi="Times New Roman" w:cs="Times New Roman"/>
          <w:b/>
          <w:bCs/>
          <w:color w:val="000000" w:themeColor="text1"/>
          <w:sz w:val="24"/>
          <w:szCs w:val="24"/>
          <w:lang w:eastAsia="ja-JP"/>
        </w:rPr>
        <w:t>4.3 Additional Analysis</w:t>
      </w:r>
    </w:p>
    <w:p w14:paraId="70EBCD5D" w14:textId="46E3CE03" w:rsidR="00D56986" w:rsidRPr="00631DE0" w:rsidRDefault="00642386" w:rsidP="00161C7E">
      <w:pPr>
        <w:suppressAutoHyphens/>
        <w:autoSpaceDN w:val="0"/>
        <w:spacing w:after="120" w:line="360" w:lineRule="auto"/>
        <w:ind w:firstLine="0"/>
        <w:textAlignment w:val="baseline"/>
        <w:rPr>
          <w:rFonts w:ascii="Times New Roman" w:eastAsia="Yu Mincho" w:hAnsi="Times New Roman" w:cs="Times New Roman"/>
          <w:color w:val="000000" w:themeColor="text1"/>
          <w:sz w:val="24"/>
          <w:szCs w:val="24"/>
          <w:lang w:eastAsia="ja-JP"/>
        </w:rPr>
      </w:pPr>
      <w:bookmarkStart w:id="20" w:name="_Hlk199440534"/>
      <w:r w:rsidRPr="00631DE0">
        <w:rPr>
          <w:rFonts w:ascii="Times New Roman" w:eastAsia="Yu Mincho" w:hAnsi="Times New Roman" w:cs="Times New Roman"/>
          <w:color w:val="000000" w:themeColor="text1"/>
          <w:sz w:val="24"/>
          <w:szCs w:val="24"/>
          <w:lang w:eastAsia="ja-JP"/>
        </w:rPr>
        <w:t xml:space="preserve">As previously, management may have different incentives of engaging </w:t>
      </w:r>
      <w:r w:rsidR="005A2922" w:rsidRPr="00631DE0">
        <w:rPr>
          <w:rFonts w:ascii="Times New Roman" w:eastAsia="Yu Mincho" w:hAnsi="Times New Roman" w:cs="Times New Roman"/>
          <w:color w:val="000000" w:themeColor="text1"/>
          <w:sz w:val="24"/>
          <w:szCs w:val="24"/>
          <w:lang w:eastAsia="ja-JP"/>
        </w:rPr>
        <w:t>in producing</w:t>
      </w:r>
      <w:r w:rsidRPr="00631DE0">
        <w:rPr>
          <w:rFonts w:ascii="Times New Roman" w:eastAsia="Yu Mincho" w:hAnsi="Times New Roman" w:cs="Times New Roman"/>
          <w:color w:val="000000" w:themeColor="text1"/>
          <w:sz w:val="24"/>
          <w:szCs w:val="24"/>
          <w:lang w:eastAsia="ja-JP"/>
        </w:rPr>
        <w:t xml:space="preserve"> environmental disclosure</w:t>
      </w:r>
      <w:r w:rsidR="005A2922" w:rsidRPr="00631DE0">
        <w:rPr>
          <w:rFonts w:ascii="Times New Roman" w:eastAsia="Yu Mincho" w:hAnsi="Times New Roman" w:cs="Times New Roman"/>
          <w:color w:val="000000" w:themeColor="text1"/>
          <w:sz w:val="24"/>
          <w:szCs w:val="24"/>
          <w:lang w:eastAsia="ja-JP"/>
        </w:rPr>
        <w:t>s</w:t>
      </w:r>
      <w:r w:rsidRPr="00631DE0">
        <w:rPr>
          <w:rFonts w:ascii="Times New Roman" w:eastAsia="Yu Mincho" w:hAnsi="Times New Roman" w:cs="Times New Roman"/>
          <w:color w:val="000000" w:themeColor="text1"/>
          <w:sz w:val="24"/>
          <w:szCs w:val="24"/>
          <w:lang w:eastAsia="ja-JP"/>
        </w:rPr>
        <w:t xml:space="preserve"> </w:t>
      </w:r>
      <w:r w:rsidR="00F95B5F" w:rsidRPr="00631DE0">
        <w:rPr>
          <w:rFonts w:ascii="Times New Roman" w:eastAsia="Yu Mincho" w:hAnsi="Times New Roman" w:cs="Times New Roman"/>
          <w:color w:val="000000" w:themeColor="text1"/>
          <w:sz w:val="24"/>
          <w:szCs w:val="24"/>
          <w:lang w:eastAsia="ja-JP"/>
        </w:rPr>
        <w:t>regarding</w:t>
      </w:r>
      <w:r w:rsidR="005A0588" w:rsidRPr="00631DE0">
        <w:rPr>
          <w:rFonts w:ascii="Times New Roman" w:eastAsia="Yu Mincho" w:hAnsi="Times New Roman" w:cs="Times New Roman"/>
          <w:color w:val="000000" w:themeColor="text1"/>
          <w:sz w:val="24"/>
          <w:szCs w:val="24"/>
          <w:lang w:eastAsia="ja-JP"/>
        </w:rPr>
        <w:t>,</w:t>
      </w:r>
      <w:r w:rsidR="00DC79E6" w:rsidRPr="00631DE0">
        <w:rPr>
          <w:rFonts w:ascii="Times New Roman" w:eastAsia="Yu Mincho" w:hAnsi="Times New Roman" w:cs="Times New Roman"/>
          <w:color w:val="000000" w:themeColor="text1"/>
          <w:sz w:val="24"/>
          <w:szCs w:val="24"/>
          <w:lang w:eastAsia="ja-JP"/>
        </w:rPr>
        <w:t xml:space="preserve"> the</w:t>
      </w:r>
      <w:r w:rsidR="005A0588" w:rsidRPr="00631DE0">
        <w:rPr>
          <w:rFonts w:ascii="Times New Roman" w:eastAsia="Yu Mincho" w:hAnsi="Times New Roman" w:cs="Times New Roman"/>
          <w:color w:val="000000" w:themeColor="text1"/>
          <w:sz w:val="24"/>
          <w:szCs w:val="24"/>
          <w:lang w:eastAsia="ja-JP"/>
        </w:rPr>
        <w:t xml:space="preserve"> </w:t>
      </w:r>
      <w:r w:rsidRPr="00631DE0">
        <w:rPr>
          <w:rFonts w:ascii="Times New Roman" w:eastAsia="Yu Mincho" w:hAnsi="Times New Roman" w:cs="Times New Roman"/>
          <w:color w:val="000000" w:themeColor="text1"/>
          <w:sz w:val="24"/>
          <w:szCs w:val="24"/>
          <w:lang w:eastAsia="ja-JP"/>
        </w:rPr>
        <w:t xml:space="preserve">internal facing and external facing environmental performance. To this end, we are motivated to investigate whether internal facing and external facing environmental </w:t>
      </w:r>
      <w:r w:rsidR="00F95B5F" w:rsidRPr="00631DE0">
        <w:rPr>
          <w:rFonts w:ascii="Times New Roman" w:eastAsia="Yu Mincho" w:hAnsi="Times New Roman" w:cs="Times New Roman"/>
          <w:color w:val="000000" w:themeColor="text1"/>
          <w:sz w:val="24"/>
          <w:szCs w:val="24"/>
          <w:lang w:eastAsia="ja-JP"/>
        </w:rPr>
        <w:t>disclosure increases at the same or different rate in year 2023.</w:t>
      </w:r>
      <w:r w:rsidR="004C3EC9" w:rsidRPr="00631DE0">
        <w:rPr>
          <w:rFonts w:ascii="Times New Roman" w:eastAsia="Yu Mincho" w:hAnsi="Times New Roman" w:cs="Times New Roman"/>
          <w:color w:val="000000" w:themeColor="text1"/>
          <w:sz w:val="24"/>
          <w:szCs w:val="24"/>
          <w:lang w:eastAsia="ja-JP"/>
        </w:rPr>
        <w:t xml:space="preserve"> </w:t>
      </w:r>
      <w:r w:rsidR="00012C3A" w:rsidRPr="00631DE0">
        <w:rPr>
          <w:rFonts w:ascii="Times New Roman" w:eastAsia="Yu Mincho" w:hAnsi="Times New Roman" w:cs="Times New Roman"/>
          <w:color w:val="000000" w:themeColor="text1"/>
          <w:sz w:val="24"/>
          <w:szCs w:val="24"/>
          <w:lang w:eastAsia="ja-JP"/>
        </w:rPr>
        <w:t xml:space="preserve">Empirical findings in Table </w:t>
      </w:r>
      <w:r w:rsidR="00F95B5F" w:rsidRPr="00631DE0">
        <w:rPr>
          <w:rFonts w:ascii="Times New Roman" w:eastAsia="Yu Mincho" w:hAnsi="Times New Roman" w:cs="Times New Roman"/>
          <w:color w:val="000000" w:themeColor="text1"/>
          <w:sz w:val="24"/>
          <w:szCs w:val="24"/>
          <w:lang w:eastAsia="ja-JP"/>
        </w:rPr>
        <w:t>6</w:t>
      </w:r>
      <w:r w:rsidR="00012C3A" w:rsidRPr="00631DE0">
        <w:rPr>
          <w:rFonts w:ascii="Times New Roman" w:eastAsia="Yu Mincho" w:hAnsi="Times New Roman" w:cs="Times New Roman"/>
          <w:color w:val="000000" w:themeColor="text1"/>
          <w:sz w:val="24"/>
          <w:szCs w:val="24"/>
          <w:lang w:eastAsia="ja-JP"/>
        </w:rPr>
        <w:t xml:space="preserve"> </w:t>
      </w:r>
      <w:r w:rsidR="00F95B5F" w:rsidRPr="00631DE0">
        <w:rPr>
          <w:rFonts w:ascii="Times New Roman" w:eastAsia="Yu Mincho" w:hAnsi="Times New Roman" w:cs="Times New Roman"/>
          <w:color w:val="000000" w:themeColor="text1"/>
          <w:sz w:val="24"/>
          <w:szCs w:val="24"/>
          <w:lang w:eastAsia="ja-JP"/>
        </w:rPr>
        <w:t>shows the</w:t>
      </w:r>
      <w:r w:rsidR="00591F99" w:rsidRPr="00631DE0">
        <w:rPr>
          <w:rFonts w:ascii="Times New Roman" w:eastAsia="Yu Mincho" w:hAnsi="Times New Roman" w:cs="Times New Roman"/>
          <w:color w:val="000000" w:themeColor="text1"/>
          <w:sz w:val="24"/>
          <w:szCs w:val="24"/>
          <w:lang w:eastAsia="ja-JP"/>
        </w:rPr>
        <w:t xml:space="preserve"> results of the mean difference of T-tests </w:t>
      </w:r>
      <w:r w:rsidR="00F95B5F" w:rsidRPr="00631DE0">
        <w:rPr>
          <w:rFonts w:ascii="Times New Roman" w:eastAsia="Yu Mincho" w:hAnsi="Times New Roman" w:cs="Times New Roman"/>
          <w:color w:val="000000" w:themeColor="text1"/>
          <w:sz w:val="24"/>
          <w:szCs w:val="24"/>
          <w:lang w:eastAsia="ja-JP"/>
        </w:rPr>
        <w:t xml:space="preserve">of external facing </w:t>
      </w:r>
      <w:r w:rsidR="00591F99" w:rsidRPr="00631DE0">
        <w:rPr>
          <w:rFonts w:ascii="Times New Roman" w:eastAsia="Yu Mincho" w:hAnsi="Times New Roman" w:cs="Times New Roman"/>
          <w:color w:val="000000" w:themeColor="text1"/>
          <w:sz w:val="24"/>
          <w:szCs w:val="24"/>
          <w:lang w:eastAsia="ja-JP"/>
        </w:rPr>
        <w:t xml:space="preserve">and </w:t>
      </w:r>
      <w:r w:rsidR="00F95B5F" w:rsidRPr="00631DE0">
        <w:rPr>
          <w:rFonts w:ascii="Times New Roman" w:eastAsia="Yu Mincho" w:hAnsi="Times New Roman" w:cs="Times New Roman"/>
          <w:color w:val="000000" w:themeColor="text1"/>
          <w:sz w:val="24"/>
          <w:szCs w:val="24"/>
          <w:lang w:eastAsia="ja-JP"/>
        </w:rPr>
        <w:t>internal facing environment</w:t>
      </w:r>
      <w:r w:rsidR="00591F99" w:rsidRPr="00631DE0">
        <w:rPr>
          <w:rFonts w:ascii="Times New Roman" w:eastAsia="Yu Mincho" w:hAnsi="Times New Roman" w:cs="Times New Roman"/>
          <w:color w:val="000000" w:themeColor="text1"/>
          <w:sz w:val="24"/>
          <w:szCs w:val="24"/>
          <w:lang w:eastAsia="ja-JP"/>
        </w:rPr>
        <w:t xml:space="preserve"> in year 2023</w:t>
      </w:r>
      <w:r w:rsidR="00BF5E8C" w:rsidRPr="00631DE0">
        <w:rPr>
          <w:rFonts w:ascii="Times New Roman" w:eastAsia="Yu Mincho" w:hAnsi="Times New Roman" w:cs="Times New Roman"/>
          <w:color w:val="000000" w:themeColor="text1"/>
          <w:sz w:val="24"/>
          <w:szCs w:val="24"/>
          <w:lang w:eastAsia="ja-JP"/>
        </w:rPr>
        <w:t xml:space="preserve"> for </w:t>
      </w:r>
      <w:r w:rsidR="00AC0B9E" w:rsidRPr="00631DE0">
        <w:rPr>
          <w:rFonts w:ascii="Times New Roman" w:eastAsia="Yu Mincho" w:hAnsi="Times New Roman" w:cs="Times New Roman"/>
          <w:color w:val="000000" w:themeColor="text1"/>
          <w:sz w:val="24"/>
          <w:szCs w:val="24"/>
          <w:lang w:eastAsia="ja-JP"/>
        </w:rPr>
        <w:t>ENV</w:t>
      </w:r>
      <w:r w:rsidR="00D230AC" w:rsidRPr="00631DE0">
        <w:rPr>
          <w:rFonts w:ascii="Times New Roman" w:eastAsia="Yu Mincho" w:hAnsi="Times New Roman" w:cs="Times New Roman"/>
          <w:color w:val="000000" w:themeColor="text1"/>
          <w:sz w:val="24"/>
          <w:szCs w:val="24"/>
          <w:lang w:eastAsia="ja-JP"/>
        </w:rPr>
        <w:t xml:space="preserve">MGT, CC and ECO. </w:t>
      </w:r>
      <w:r w:rsidR="00591F99" w:rsidRPr="00631DE0">
        <w:rPr>
          <w:rFonts w:ascii="Times New Roman" w:eastAsia="Yu Mincho" w:hAnsi="Times New Roman" w:cs="Times New Roman"/>
          <w:color w:val="000000" w:themeColor="text1"/>
          <w:sz w:val="24"/>
          <w:szCs w:val="24"/>
          <w:lang w:eastAsia="ja-JP"/>
        </w:rPr>
        <w:t xml:space="preserve">The results </w:t>
      </w:r>
      <w:r w:rsidR="00F95B5F" w:rsidRPr="00631DE0">
        <w:rPr>
          <w:rFonts w:ascii="Times New Roman" w:eastAsia="Yu Mincho" w:hAnsi="Times New Roman" w:cs="Times New Roman"/>
          <w:color w:val="000000" w:themeColor="text1"/>
          <w:sz w:val="24"/>
          <w:szCs w:val="24"/>
          <w:lang w:eastAsia="ja-JP"/>
        </w:rPr>
        <w:t>delineate</w:t>
      </w:r>
      <w:r w:rsidR="00591F99" w:rsidRPr="00631DE0">
        <w:rPr>
          <w:rFonts w:ascii="Times New Roman" w:eastAsia="Yu Mincho" w:hAnsi="Times New Roman" w:cs="Times New Roman"/>
          <w:color w:val="000000" w:themeColor="text1"/>
          <w:sz w:val="24"/>
          <w:szCs w:val="24"/>
          <w:lang w:eastAsia="ja-JP"/>
        </w:rPr>
        <w:t xml:space="preserve"> a higher </w:t>
      </w:r>
      <w:r w:rsidR="00F95B5F" w:rsidRPr="00631DE0">
        <w:rPr>
          <w:rFonts w:ascii="Times New Roman" w:eastAsia="Yu Mincho" w:hAnsi="Times New Roman" w:cs="Times New Roman"/>
          <w:color w:val="000000" w:themeColor="text1"/>
          <w:sz w:val="24"/>
          <w:szCs w:val="24"/>
          <w:lang w:eastAsia="ja-JP"/>
        </w:rPr>
        <w:t>internal facing environmental disclosure</w:t>
      </w:r>
      <w:r w:rsidR="009A25E1" w:rsidRPr="00631DE0">
        <w:rPr>
          <w:rFonts w:ascii="Times New Roman" w:eastAsia="Yu Mincho" w:hAnsi="Times New Roman" w:cs="Times New Roman"/>
          <w:color w:val="000000" w:themeColor="text1"/>
          <w:sz w:val="24"/>
          <w:szCs w:val="24"/>
          <w:lang w:eastAsia="ja-JP"/>
        </w:rPr>
        <w:t xml:space="preserve"> </w:t>
      </w:r>
      <w:r w:rsidR="00F95B5F" w:rsidRPr="00631DE0">
        <w:rPr>
          <w:rFonts w:ascii="Times New Roman" w:eastAsia="Yu Mincho" w:hAnsi="Times New Roman" w:cs="Times New Roman"/>
          <w:color w:val="000000" w:themeColor="text1"/>
          <w:sz w:val="24"/>
          <w:szCs w:val="24"/>
          <w:lang w:eastAsia="ja-JP"/>
        </w:rPr>
        <w:t xml:space="preserve">in year 2023, relative to external facing, </w:t>
      </w:r>
      <w:r w:rsidR="0075340F" w:rsidRPr="00631DE0">
        <w:rPr>
          <w:rFonts w:ascii="Times New Roman" w:eastAsia="Yu Mincho" w:hAnsi="Times New Roman" w:cs="Times New Roman"/>
          <w:color w:val="000000" w:themeColor="text1"/>
          <w:sz w:val="24"/>
          <w:szCs w:val="24"/>
          <w:lang w:eastAsia="ja-JP"/>
        </w:rPr>
        <w:t xml:space="preserve">for all types of environmental disclosures </w:t>
      </w:r>
      <w:bookmarkStart w:id="21" w:name="_Hlk202023995"/>
      <w:r w:rsidR="00D230AC" w:rsidRPr="00631DE0">
        <w:rPr>
          <w:rFonts w:ascii="Times New Roman" w:eastAsia="Yu Mincho" w:hAnsi="Times New Roman" w:cs="Times New Roman"/>
          <w:color w:val="000000" w:themeColor="text1"/>
          <w:sz w:val="24"/>
          <w:szCs w:val="24"/>
          <w:lang w:eastAsia="ja-JP"/>
        </w:rPr>
        <w:t xml:space="preserve">for all types of </w:t>
      </w:r>
      <w:r w:rsidR="00923FC9" w:rsidRPr="00631DE0">
        <w:rPr>
          <w:rFonts w:ascii="Times New Roman" w:eastAsia="Yu Mincho" w:hAnsi="Times New Roman" w:cs="Times New Roman"/>
          <w:color w:val="000000" w:themeColor="text1"/>
          <w:sz w:val="24"/>
          <w:szCs w:val="24"/>
          <w:lang w:eastAsia="ja-JP"/>
        </w:rPr>
        <w:t xml:space="preserve">disclosures </w:t>
      </w:r>
      <w:r w:rsidR="005F3951" w:rsidRPr="00631DE0">
        <w:rPr>
          <w:rFonts w:ascii="Times New Roman" w:eastAsia="Yu Mincho" w:hAnsi="Times New Roman" w:cs="Times New Roman"/>
          <w:color w:val="000000" w:themeColor="text1"/>
          <w:sz w:val="24"/>
          <w:szCs w:val="24"/>
          <w:lang w:eastAsia="ja-JP"/>
        </w:rPr>
        <w:t>as it pertains to NUM, NAR, P/T and OA.</w:t>
      </w:r>
    </w:p>
    <w:p w14:paraId="05292FDE" w14:textId="59D6CCB5" w:rsidR="005F3951" w:rsidRPr="00631DE0" w:rsidRDefault="005F3951" w:rsidP="00161C7E">
      <w:pPr>
        <w:suppressAutoHyphens/>
        <w:autoSpaceDN w:val="0"/>
        <w:spacing w:after="120" w:line="360" w:lineRule="auto"/>
        <w:ind w:firstLine="0"/>
        <w:textAlignment w:val="baseline"/>
        <w:rPr>
          <w:rFonts w:ascii="Times New Roman" w:eastAsia="Yu Mincho" w:hAnsi="Times New Roman" w:cs="Times New Roman"/>
          <w:color w:val="000000" w:themeColor="text1"/>
          <w:sz w:val="24"/>
          <w:szCs w:val="24"/>
          <w:lang w:eastAsia="ja-JP"/>
        </w:rPr>
      </w:pPr>
      <w:r w:rsidRPr="00631DE0">
        <w:rPr>
          <w:rFonts w:ascii="Times New Roman" w:eastAsia="Yu Mincho" w:hAnsi="Times New Roman" w:cs="Times New Roman"/>
          <w:color w:val="000000" w:themeColor="text1"/>
          <w:sz w:val="24"/>
          <w:szCs w:val="24"/>
          <w:lang w:eastAsia="ja-JP"/>
        </w:rPr>
        <w:lastRenderedPageBreak/>
        <w:t xml:space="preserve">In Table </w:t>
      </w:r>
      <w:r w:rsidR="000B0A36" w:rsidRPr="00631DE0">
        <w:rPr>
          <w:rFonts w:ascii="Times New Roman" w:eastAsia="Yu Mincho" w:hAnsi="Times New Roman" w:cs="Times New Roman"/>
          <w:color w:val="000000" w:themeColor="text1"/>
          <w:sz w:val="24"/>
          <w:szCs w:val="24"/>
          <w:lang w:eastAsia="ja-JP"/>
        </w:rPr>
        <w:t xml:space="preserve">6(b), we repeat the analysis, but divide disclosures into TOTAL, and conduct T tests of </w:t>
      </w:r>
      <w:r w:rsidR="00D34D8B" w:rsidRPr="00631DE0">
        <w:rPr>
          <w:rFonts w:ascii="Times New Roman" w:eastAsia="Yu Mincho" w:hAnsi="Times New Roman" w:cs="Times New Roman"/>
          <w:color w:val="000000" w:themeColor="text1"/>
          <w:sz w:val="24"/>
          <w:szCs w:val="24"/>
          <w:lang w:eastAsia="ja-JP"/>
        </w:rPr>
        <w:t>each category. Empirical results again provide statistically significant results</w:t>
      </w:r>
      <w:r w:rsidR="00F3350E" w:rsidRPr="00631DE0">
        <w:rPr>
          <w:rFonts w:ascii="Times New Roman" w:eastAsia="Yu Mincho" w:hAnsi="Times New Roman" w:cs="Times New Roman"/>
          <w:color w:val="000000" w:themeColor="text1"/>
          <w:sz w:val="24"/>
          <w:szCs w:val="24"/>
          <w:lang w:eastAsia="ja-JP"/>
        </w:rPr>
        <w:t xml:space="preserve"> that regardless of the type of environmental disclosure provided, a higher volume of </w:t>
      </w:r>
      <w:r w:rsidR="00447C1A" w:rsidRPr="00631DE0">
        <w:rPr>
          <w:rFonts w:ascii="Times New Roman" w:eastAsia="Yu Mincho" w:hAnsi="Times New Roman" w:cs="Times New Roman"/>
          <w:color w:val="000000" w:themeColor="text1"/>
          <w:sz w:val="24"/>
          <w:szCs w:val="24"/>
          <w:lang w:eastAsia="ja-JP"/>
        </w:rPr>
        <w:t xml:space="preserve">internal </w:t>
      </w:r>
      <w:r w:rsidR="00F3350E" w:rsidRPr="00631DE0">
        <w:rPr>
          <w:rFonts w:ascii="Times New Roman" w:eastAsia="Yu Mincho" w:hAnsi="Times New Roman" w:cs="Times New Roman"/>
          <w:color w:val="000000" w:themeColor="text1"/>
          <w:sz w:val="24"/>
          <w:szCs w:val="24"/>
          <w:lang w:eastAsia="ja-JP"/>
        </w:rPr>
        <w:t xml:space="preserve">NAR, NUM, P/T and OA </w:t>
      </w:r>
      <w:r w:rsidR="00447C1A" w:rsidRPr="00631DE0">
        <w:rPr>
          <w:rFonts w:ascii="Times New Roman" w:eastAsia="Yu Mincho" w:hAnsi="Times New Roman" w:cs="Times New Roman"/>
          <w:color w:val="000000" w:themeColor="text1"/>
          <w:sz w:val="24"/>
          <w:szCs w:val="24"/>
          <w:lang w:eastAsia="ja-JP"/>
        </w:rPr>
        <w:t>environmental information is disclosed, as compared to externally facing information.</w:t>
      </w:r>
    </w:p>
    <w:p w14:paraId="3B346AA1" w14:textId="77777777" w:rsidR="00161C7E" w:rsidRPr="00631DE0" w:rsidRDefault="00161C7E" w:rsidP="00161C7E">
      <w:pPr>
        <w:suppressAutoHyphens/>
        <w:autoSpaceDN w:val="0"/>
        <w:spacing w:after="120" w:line="360" w:lineRule="auto"/>
        <w:ind w:firstLine="0"/>
        <w:textAlignment w:val="baseline"/>
        <w:rPr>
          <w:rFonts w:ascii="Times New Roman" w:eastAsia="Yu Mincho" w:hAnsi="Times New Roman" w:cs="Times New Roman"/>
          <w:color w:val="000000" w:themeColor="text1"/>
          <w:sz w:val="24"/>
          <w:szCs w:val="24"/>
          <w:lang w:eastAsia="ja-JP"/>
        </w:rPr>
      </w:pPr>
    </w:p>
    <w:p w14:paraId="222A183F" w14:textId="44FA7EF3" w:rsidR="00D81F0F" w:rsidRPr="00631DE0" w:rsidRDefault="004358B2" w:rsidP="00146467">
      <w:pPr>
        <w:spacing w:after="120" w:line="360" w:lineRule="auto"/>
        <w:ind w:firstLine="0"/>
        <w:jc w:val="center"/>
        <w:rPr>
          <w:rFonts w:ascii="Times New Roman" w:eastAsia="Times New Roman" w:hAnsi="Times New Roman" w:cs="Times New Roman"/>
          <w:b/>
          <w:bCs/>
          <w:color w:val="000000" w:themeColor="text1"/>
          <w:kern w:val="0"/>
          <w:sz w:val="24"/>
          <w:szCs w:val="24"/>
          <w:lang w:eastAsia="zh-CN"/>
          <w14:ligatures w14:val="none"/>
        </w:rPr>
      </w:pPr>
      <w:r w:rsidRPr="00631DE0">
        <w:rPr>
          <w:rFonts w:ascii="Times New Roman" w:eastAsia="Times New Roman" w:hAnsi="Times New Roman" w:cs="Times New Roman"/>
          <w:b/>
          <w:bCs/>
          <w:color w:val="000000" w:themeColor="text1"/>
          <w:kern w:val="0"/>
          <w:sz w:val="24"/>
          <w:szCs w:val="24"/>
          <w:lang w:eastAsia="zh-CN"/>
          <w14:ligatures w14:val="none"/>
        </w:rPr>
        <w:t>[Table 6(a) and 6(b) goes about here]</w:t>
      </w:r>
      <w:bookmarkEnd w:id="21"/>
    </w:p>
    <w:bookmarkEnd w:id="20"/>
    <w:p w14:paraId="749B7AF9" w14:textId="77777777" w:rsidR="00E61993" w:rsidRPr="00631DE0" w:rsidRDefault="00E61993" w:rsidP="00146467">
      <w:pPr>
        <w:suppressAutoHyphens/>
        <w:autoSpaceDN w:val="0"/>
        <w:spacing w:after="120" w:line="360" w:lineRule="auto"/>
        <w:textAlignment w:val="baseline"/>
        <w:rPr>
          <w:rFonts w:ascii="Times New Roman" w:eastAsia="Yu Mincho" w:hAnsi="Times New Roman" w:cs="Times New Roman"/>
          <w:color w:val="000000" w:themeColor="text1"/>
          <w:sz w:val="24"/>
          <w:szCs w:val="24"/>
          <w:lang w:eastAsia="ja-JP"/>
        </w:rPr>
      </w:pPr>
    </w:p>
    <w:p w14:paraId="3DD49A9A" w14:textId="7A3D2109" w:rsidR="00E61993" w:rsidRPr="00631DE0" w:rsidRDefault="00461674" w:rsidP="00161C7E">
      <w:pPr>
        <w:suppressAutoHyphens/>
        <w:autoSpaceDN w:val="0"/>
        <w:spacing w:after="120" w:line="360" w:lineRule="auto"/>
        <w:ind w:firstLine="0"/>
        <w:textAlignment w:val="baseline"/>
        <w:rPr>
          <w:rFonts w:ascii="Times New Roman" w:eastAsia="Yu Mincho" w:hAnsi="Times New Roman" w:cs="Times New Roman"/>
          <w:color w:val="000000" w:themeColor="text1"/>
          <w:sz w:val="24"/>
          <w:szCs w:val="24"/>
          <w:lang w:eastAsia="ja-JP"/>
        </w:rPr>
      </w:pPr>
      <w:r>
        <w:rPr>
          <w:rFonts w:ascii="Times New Roman" w:eastAsia="Yu Mincho" w:hAnsi="Times New Roman" w:cs="Times New Roman"/>
          <w:color w:val="000000" w:themeColor="text1"/>
          <w:sz w:val="24"/>
          <w:szCs w:val="24"/>
          <w:lang w:eastAsia="ja-JP"/>
        </w:rPr>
        <w:t>Next</w:t>
      </w:r>
      <w:r w:rsidR="00E61993" w:rsidRPr="00631DE0">
        <w:rPr>
          <w:rFonts w:ascii="Times New Roman" w:eastAsia="Yu Mincho" w:hAnsi="Times New Roman" w:cs="Times New Roman"/>
          <w:color w:val="000000" w:themeColor="text1"/>
          <w:sz w:val="24"/>
          <w:szCs w:val="24"/>
          <w:lang w:eastAsia="ja-JP"/>
        </w:rPr>
        <w:t xml:space="preserve">, we conduct correlation analysis to discover whether there is an association between environmental disclosure propensity and firm level governance determinants. Table 7 depict a strong positive nexus between environmental disclosures (internal facing and external facing), and (ENVBDC)- environmental board sub-committees (0.57*), (WCEO)women CEO (0.40*), ISO 14001 EMS certification (0.66*) and NGOs that are signatory to the UN Global Compact (0.37*). This result supports assertion that environmental disclosures are associated with good sustainability practice (Gerged, 2021; Giannarakis </w:t>
      </w:r>
      <w:r w:rsidR="00E61993" w:rsidRPr="00631DE0">
        <w:rPr>
          <w:rFonts w:ascii="Times New Roman" w:eastAsia="Yu Mincho" w:hAnsi="Times New Roman" w:cs="Times New Roman"/>
          <w:i/>
          <w:iCs/>
          <w:color w:val="000000" w:themeColor="text1"/>
          <w:sz w:val="24"/>
          <w:szCs w:val="24"/>
          <w:lang w:eastAsia="ja-JP"/>
        </w:rPr>
        <w:t>et al</w:t>
      </w:r>
      <w:r w:rsidR="00E61993" w:rsidRPr="00631DE0">
        <w:rPr>
          <w:rFonts w:ascii="Times New Roman" w:eastAsia="Yu Mincho" w:hAnsi="Times New Roman" w:cs="Times New Roman"/>
          <w:color w:val="000000" w:themeColor="text1"/>
          <w:sz w:val="24"/>
          <w:szCs w:val="24"/>
          <w:lang w:eastAsia="ja-JP"/>
        </w:rPr>
        <w:t>., 2020).</w:t>
      </w:r>
    </w:p>
    <w:p w14:paraId="4FAD8FCD" w14:textId="77777777" w:rsidR="00161C7E" w:rsidRPr="00631DE0" w:rsidRDefault="00161C7E" w:rsidP="00161C7E">
      <w:pPr>
        <w:suppressAutoHyphens/>
        <w:autoSpaceDN w:val="0"/>
        <w:spacing w:after="120" w:line="360" w:lineRule="auto"/>
        <w:ind w:firstLine="0"/>
        <w:textAlignment w:val="baseline"/>
        <w:rPr>
          <w:rFonts w:ascii="Times New Roman" w:eastAsia="Yu Mincho" w:hAnsi="Times New Roman" w:cs="Times New Roman"/>
          <w:color w:val="000000" w:themeColor="text1"/>
          <w:sz w:val="24"/>
          <w:szCs w:val="24"/>
          <w:lang w:eastAsia="ja-JP"/>
        </w:rPr>
      </w:pPr>
    </w:p>
    <w:p w14:paraId="021BEEEE" w14:textId="15E31890" w:rsidR="004358B2" w:rsidRPr="00631DE0" w:rsidRDefault="004358B2" w:rsidP="00161C7E">
      <w:pPr>
        <w:spacing w:after="120" w:line="360" w:lineRule="auto"/>
        <w:ind w:firstLine="0"/>
        <w:jc w:val="center"/>
        <w:rPr>
          <w:rFonts w:ascii="Times New Roman" w:eastAsia="Times New Roman" w:hAnsi="Times New Roman" w:cs="Times New Roman"/>
          <w:b/>
          <w:bCs/>
          <w:color w:val="000000" w:themeColor="text1"/>
          <w:kern w:val="0"/>
          <w:sz w:val="24"/>
          <w:szCs w:val="24"/>
          <w:lang w:eastAsia="zh-CN"/>
          <w14:ligatures w14:val="none"/>
        </w:rPr>
      </w:pPr>
      <w:r w:rsidRPr="00631DE0">
        <w:rPr>
          <w:rFonts w:ascii="Times New Roman" w:eastAsia="Times New Roman" w:hAnsi="Times New Roman" w:cs="Times New Roman"/>
          <w:b/>
          <w:bCs/>
          <w:color w:val="000000" w:themeColor="text1"/>
          <w:kern w:val="0"/>
          <w:sz w:val="24"/>
          <w:szCs w:val="24"/>
          <w:lang w:eastAsia="zh-CN"/>
          <w14:ligatures w14:val="none"/>
        </w:rPr>
        <w:t>[Table 7 goes about here]</w:t>
      </w:r>
    </w:p>
    <w:bookmarkEnd w:id="17"/>
    <w:p w14:paraId="75D991CF" w14:textId="0E065FD6" w:rsidR="00161C7E" w:rsidRPr="00646F61" w:rsidRDefault="00E430E8" w:rsidP="00161C7E">
      <w:pPr>
        <w:suppressAutoHyphens/>
        <w:autoSpaceDN w:val="0"/>
        <w:spacing w:after="120" w:line="360" w:lineRule="auto"/>
        <w:ind w:firstLine="0"/>
        <w:textAlignment w:val="baseline"/>
        <w:rPr>
          <w:rFonts w:ascii="Times New Roman" w:hAnsi="Times New Roman"/>
          <w:b/>
          <w:bCs/>
          <w:color w:val="FF0000"/>
          <w:sz w:val="24"/>
          <w:szCs w:val="24"/>
        </w:rPr>
      </w:pPr>
      <w:r w:rsidRPr="00646F61">
        <w:rPr>
          <w:rFonts w:ascii="Times New Roman" w:hAnsi="Times New Roman"/>
          <w:b/>
          <w:bCs/>
          <w:color w:val="FF0000"/>
          <w:sz w:val="24"/>
          <w:szCs w:val="24"/>
        </w:rPr>
        <w:t xml:space="preserve">4.4 </w:t>
      </w:r>
      <w:r w:rsidR="00D61643">
        <w:rPr>
          <w:rFonts w:ascii="Times New Roman" w:hAnsi="Times New Roman"/>
          <w:b/>
          <w:bCs/>
          <w:color w:val="FF0000"/>
          <w:sz w:val="24"/>
          <w:szCs w:val="24"/>
        </w:rPr>
        <w:t>Y</w:t>
      </w:r>
      <w:r w:rsidR="00D01837" w:rsidRPr="00646F61">
        <w:rPr>
          <w:rFonts w:ascii="Times New Roman" w:hAnsi="Times New Roman"/>
          <w:b/>
          <w:bCs/>
          <w:color w:val="FF0000"/>
          <w:sz w:val="24"/>
          <w:szCs w:val="24"/>
        </w:rPr>
        <w:t>ear-on-year analysis</w:t>
      </w:r>
      <w:r w:rsidR="00594E20" w:rsidRPr="00646F61">
        <w:rPr>
          <w:rFonts w:ascii="Times New Roman" w:hAnsi="Times New Roman"/>
          <w:b/>
          <w:bCs/>
          <w:color w:val="FF0000"/>
          <w:sz w:val="24"/>
          <w:szCs w:val="24"/>
        </w:rPr>
        <w:t xml:space="preserve"> using automated text mining</w:t>
      </w:r>
    </w:p>
    <w:p w14:paraId="0F8B804B" w14:textId="2134B9FE" w:rsidR="00594E20" w:rsidRPr="00646F61" w:rsidRDefault="00594E20" w:rsidP="00A268CC">
      <w:pPr>
        <w:suppressAutoHyphens/>
        <w:autoSpaceDN w:val="0"/>
        <w:spacing w:after="120" w:line="360" w:lineRule="auto"/>
        <w:ind w:firstLine="0"/>
        <w:textAlignment w:val="baseline"/>
        <w:rPr>
          <w:rFonts w:ascii="Times New Roman" w:eastAsia="Calibri" w:hAnsi="Times New Roman" w:cs="Times New Roman"/>
          <w:color w:val="FF0000"/>
          <w:sz w:val="24"/>
          <w:szCs w:val="24"/>
        </w:rPr>
      </w:pPr>
      <w:r w:rsidRPr="00646F61">
        <w:rPr>
          <w:rFonts w:ascii="Times New Roman" w:hAnsi="Times New Roman"/>
          <w:color w:val="FF0000"/>
          <w:sz w:val="24"/>
          <w:szCs w:val="24"/>
        </w:rPr>
        <w:t>In the main analysis, data is hand collected from a sample of 35 NGOs, over a two-year period (70 annual reports). The reason for adopting this approach, is because manually reading every TU which includes an environmental disclosure occurrence, can provide a basis to distinguish between</w:t>
      </w:r>
      <w:r w:rsidRPr="00646F61">
        <w:rPr>
          <w:rFonts w:ascii="Times New Roman" w:eastAsia="Times New Roman" w:hAnsi="Times New Roman" w:cs="Times New Roman"/>
          <w:color w:val="FF0000"/>
          <w:kern w:val="0"/>
          <w:sz w:val="24"/>
          <w:szCs w:val="24"/>
          <w:lang w:eastAsia="en-GB"/>
          <w14:ligatures w14:val="none"/>
        </w:rPr>
        <w:t xml:space="preserve"> P/T/OA, and Internal Facing/External facing disclosures. Moreover, a distinction could be made to include an occurrence, based on the best judgement of the author. However, identifying evolving reporting patterns could be challenging when only two annual reports are used. Thus, as an additional analysis, the authors conduct an in-depth qualitative analysis over a span of 1</w:t>
      </w:r>
      <w:r w:rsidR="00802CDC">
        <w:rPr>
          <w:rFonts w:ascii="Times New Roman" w:eastAsia="Times New Roman" w:hAnsi="Times New Roman" w:cs="Times New Roman"/>
          <w:color w:val="FF0000"/>
          <w:kern w:val="0"/>
          <w:sz w:val="24"/>
          <w:szCs w:val="24"/>
          <w:lang w:eastAsia="en-GB"/>
          <w14:ligatures w14:val="none"/>
        </w:rPr>
        <w:t>0</w:t>
      </w:r>
      <w:r w:rsidRPr="00646F61">
        <w:rPr>
          <w:rFonts w:ascii="Times New Roman" w:eastAsia="Times New Roman" w:hAnsi="Times New Roman" w:cs="Times New Roman"/>
          <w:color w:val="FF0000"/>
          <w:kern w:val="0"/>
          <w:sz w:val="24"/>
          <w:szCs w:val="24"/>
          <w:lang w:eastAsia="en-GB"/>
          <w14:ligatures w14:val="none"/>
        </w:rPr>
        <w:t xml:space="preserve"> years to better explore the evolving nature of reporting patterns. Whilst manually collecting data would provide valuable insights, </w:t>
      </w:r>
      <w:r w:rsidR="00757621">
        <w:rPr>
          <w:rFonts w:ascii="Times New Roman" w:eastAsia="Times New Roman" w:hAnsi="Times New Roman" w:cs="Times New Roman"/>
          <w:color w:val="FF0000"/>
          <w:kern w:val="0"/>
          <w:sz w:val="24"/>
          <w:szCs w:val="24"/>
          <w:lang w:eastAsia="en-GB"/>
          <w14:ligatures w14:val="none"/>
        </w:rPr>
        <w:t xml:space="preserve">this would take significant time commitment </w:t>
      </w:r>
      <w:r w:rsidRPr="00646F61">
        <w:rPr>
          <w:rFonts w:ascii="Times New Roman" w:eastAsia="Times New Roman" w:hAnsi="Times New Roman" w:cs="Times New Roman"/>
          <w:color w:val="FF0000"/>
          <w:kern w:val="0"/>
          <w:sz w:val="24"/>
          <w:szCs w:val="24"/>
          <w:lang w:eastAsia="en-GB"/>
          <w14:ligatures w14:val="none"/>
        </w:rPr>
        <w:t xml:space="preserve">to </w:t>
      </w:r>
      <w:r w:rsidR="00D65424">
        <w:rPr>
          <w:rFonts w:ascii="Times New Roman" w:eastAsia="Times New Roman" w:hAnsi="Times New Roman" w:cs="Times New Roman"/>
          <w:color w:val="FF0000"/>
          <w:kern w:val="0"/>
          <w:sz w:val="24"/>
          <w:szCs w:val="24"/>
          <w:lang w:eastAsia="en-GB"/>
          <w14:ligatures w14:val="none"/>
        </w:rPr>
        <w:t>perform</w:t>
      </w:r>
      <w:r w:rsidR="00757621" w:rsidRPr="00646F61">
        <w:rPr>
          <w:rFonts w:ascii="Times New Roman" w:eastAsia="Times New Roman" w:hAnsi="Times New Roman" w:cs="Times New Roman"/>
          <w:color w:val="FF0000"/>
          <w:kern w:val="0"/>
          <w:sz w:val="24"/>
          <w:szCs w:val="24"/>
          <w:lang w:eastAsia="en-GB"/>
          <w14:ligatures w14:val="none"/>
        </w:rPr>
        <w:t xml:space="preserve"> </w:t>
      </w:r>
      <w:r w:rsidR="00353C5F">
        <w:rPr>
          <w:rFonts w:ascii="Times New Roman" w:eastAsia="Times New Roman" w:hAnsi="Times New Roman" w:cs="Times New Roman"/>
          <w:color w:val="FF0000"/>
          <w:kern w:val="0"/>
          <w:sz w:val="24"/>
          <w:szCs w:val="24"/>
          <w:lang w:eastAsia="en-GB"/>
          <w14:ligatures w14:val="none"/>
        </w:rPr>
        <w:t>(</w:t>
      </w:r>
      <w:r w:rsidRPr="00646F61">
        <w:rPr>
          <w:rFonts w:ascii="Times New Roman" w:eastAsia="Times New Roman" w:hAnsi="Times New Roman" w:cs="Times New Roman"/>
          <w:color w:val="FF0000"/>
          <w:kern w:val="0"/>
          <w:sz w:val="24"/>
          <w:szCs w:val="24"/>
          <w:lang w:eastAsia="en-GB"/>
          <w14:ligatures w14:val="none"/>
        </w:rPr>
        <w:t>385 annual reports</w:t>
      </w:r>
      <w:r w:rsidR="00353C5F">
        <w:rPr>
          <w:rFonts w:ascii="Times New Roman" w:eastAsia="Times New Roman" w:hAnsi="Times New Roman" w:cs="Times New Roman"/>
          <w:color w:val="FF0000"/>
          <w:kern w:val="0"/>
          <w:sz w:val="24"/>
          <w:szCs w:val="24"/>
          <w:lang w:eastAsia="en-GB"/>
          <w14:ligatures w14:val="none"/>
        </w:rPr>
        <w:t>)</w:t>
      </w:r>
      <w:r w:rsidRPr="00646F61">
        <w:rPr>
          <w:rFonts w:ascii="Times New Roman" w:eastAsia="Times New Roman" w:hAnsi="Times New Roman" w:cs="Times New Roman"/>
          <w:color w:val="FF0000"/>
          <w:kern w:val="0"/>
          <w:sz w:val="24"/>
          <w:szCs w:val="24"/>
          <w:lang w:eastAsia="en-GB"/>
          <w14:ligatures w14:val="none"/>
        </w:rPr>
        <w:t>. This research bottleneck is recognised as a limiting constraint when conducting manual content analysis (</w:t>
      </w:r>
      <w:r w:rsidRPr="00646F61">
        <w:rPr>
          <w:rFonts w:ascii="Cambria" w:hAnsi="Cambria" w:cstheme="minorHAnsi"/>
          <w:color w:val="FF0000"/>
          <w:sz w:val="24"/>
          <w:szCs w:val="24"/>
        </w:rPr>
        <w:t>Michelon et al., 2015</w:t>
      </w:r>
      <w:r w:rsidRPr="00646F61">
        <w:rPr>
          <w:rFonts w:ascii="Times New Roman" w:eastAsia="Times New Roman" w:hAnsi="Times New Roman" w:cs="Times New Roman"/>
          <w:color w:val="FF0000"/>
          <w:kern w:val="0"/>
          <w:sz w:val="24"/>
          <w:szCs w:val="24"/>
          <w:lang w:eastAsia="en-GB"/>
          <w14:ligatures w14:val="none"/>
        </w:rPr>
        <w:t xml:space="preserve">). </w:t>
      </w:r>
      <w:r w:rsidRPr="00646F61">
        <w:rPr>
          <w:rFonts w:ascii="Cambria" w:hAnsi="Cambria" w:cstheme="minorHAnsi"/>
          <w:color w:val="FF0000"/>
          <w:sz w:val="24"/>
          <w:szCs w:val="24"/>
        </w:rPr>
        <w:t xml:space="preserve">Loughran and McDonald (2016) </w:t>
      </w:r>
      <w:r w:rsidRPr="00646F61">
        <w:rPr>
          <w:rFonts w:ascii="Times New Roman" w:eastAsia="Times New Roman" w:hAnsi="Times New Roman" w:cs="Times New Roman"/>
          <w:color w:val="FF0000"/>
          <w:kern w:val="0"/>
          <w:sz w:val="24"/>
          <w:szCs w:val="24"/>
          <w:lang w:eastAsia="en-GB"/>
          <w14:ligatures w14:val="none"/>
        </w:rPr>
        <w:t xml:space="preserve">accept that automated content analysis can be a viable solution. However, as Lim and Mali (2022) explain, automated text mining provides reduced granularity, when compared with a researcher reading a text. Moreover, they argue that whilst using automated text mining can </w:t>
      </w:r>
      <w:r w:rsidRPr="00646F61">
        <w:rPr>
          <w:rFonts w:ascii="Times New Roman" w:eastAsia="Times New Roman" w:hAnsi="Times New Roman" w:cs="Times New Roman"/>
          <w:color w:val="FF0000"/>
          <w:kern w:val="0"/>
          <w:sz w:val="24"/>
          <w:szCs w:val="24"/>
          <w:lang w:eastAsia="en-GB"/>
          <w14:ligatures w14:val="none"/>
        </w:rPr>
        <w:lastRenderedPageBreak/>
        <w:t xml:space="preserve">save time, it is not a substitute for an author reading the document. </w:t>
      </w:r>
      <w:r w:rsidR="002D735C">
        <w:rPr>
          <w:rFonts w:ascii="Times New Roman" w:eastAsia="Times New Roman" w:hAnsi="Times New Roman" w:cs="Times New Roman"/>
          <w:color w:val="FF0000"/>
          <w:kern w:val="0"/>
          <w:sz w:val="24"/>
          <w:szCs w:val="24"/>
          <w:lang w:eastAsia="en-GB"/>
          <w14:ligatures w14:val="none"/>
        </w:rPr>
        <w:t>In view</w:t>
      </w:r>
      <w:r w:rsidR="002D735C" w:rsidRPr="00646F61">
        <w:rPr>
          <w:rFonts w:ascii="Times New Roman" w:eastAsia="Times New Roman" w:hAnsi="Times New Roman" w:cs="Times New Roman"/>
          <w:color w:val="FF0000"/>
          <w:kern w:val="0"/>
          <w:sz w:val="24"/>
          <w:szCs w:val="24"/>
          <w:lang w:eastAsia="en-GB"/>
          <w14:ligatures w14:val="none"/>
        </w:rPr>
        <w:t xml:space="preserve"> </w:t>
      </w:r>
      <w:r w:rsidRPr="00646F61">
        <w:rPr>
          <w:rFonts w:ascii="Times New Roman" w:eastAsia="Times New Roman" w:hAnsi="Times New Roman" w:cs="Times New Roman"/>
          <w:color w:val="FF0000"/>
          <w:kern w:val="0"/>
          <w:sz w:val="24"/>
          <w:szCs w:val="24"/>
          <w:lang w:eastAsia="en-GB"/>
          <w14:ligatures w14:val="none"/>
        </w:rPr>
        <w:t>of these c</w:t>
      </w:r>
      <w:r w:rsidR="002D735C">
        <w:rPr>
          <w:rFonts w:ascii="Times New Roman" w:eastAsia="Times New Roman" w:hAnsi="Times New Roman" w:cs="Times New Roman"/>
          <w:color w:val="FF0000"/>
          <w:kern w:val="0"/>
          <w:sz w:val="24"/>
          <w:szCs w:val="24"/>
          <w:lang w:eastAsia="en-GB"/>
          <w14:ligatures w14:val="none"/>
        </w:rPr>
        <w:t>onsiderations</w:t>
      </w:r>
      <w:r w:rsidRPr="00646F61">
        <w:rPr>
          <w:rFonts w:ascii="Times New Roman" w:eastAsia="Times New Roman" w:hAnsi="Times New Roman" w:cs="Times New Roman"/>
          <w:color w:val="FF0000"/>
          <w:kern w:val="0"/>
          <w:sz w:val="24"/>
          <w:szCs w:val="24"/>
          <w:lang w:eastAsia="en-GB"/>
          <w14:ligatures w14:val="none"/>
        </w:rPr>
        <w:t xml:space="preserve">, we </w:t>
      </w:r>
      <w:r w:rsidR="002D735C">
        <w:rPr>
          <w:rFonts w:ascii="Times New Roman" w:eastAsia="Times New Roman" w:hAnsi="Times New Roman" w:cs="Times New Roman"/>
          <w:color w:val="FF0000"/>
          <w:kern w:val="0"/>
          <w:sz w:val="24"/>
          <w:szCs w:val="24"/>
          <w:lang w:eastAsia="en-GB"/>
          <w14:ligatures w14:val="none"/>
        </w:rPr>
        <w:t xml:space="preserve">employed the </w:t>
      </w:r>
      <w:r w:rsidRPr="00646F61">
        <w:rPr>
          <w:rFonts w:ascii="Times New Roman" w:eastAsia="Times New Roman" w:hAnsi="Times New Roman" w:cs="Times New Roman"/>
          <w:color w:val="FF0000"/>
          <w:kern w:val="0"/>
          <w:sz w:val="24"/>
          <w:szCs w:val="24"/>
          <w:lang w:eastAsia="en-GB"/>
          <w14:ligatures w14:val="none"/>
        </w:rPr>
        <w:t xml:space="preserve">Python </w:t>
      </w:r>
      <w:r w:rsidR="002D735C" w:rsidRPr="002D735C">
        <w:rPr>
          <w:rFonts w:ascii="Times New Roman" w:eastAsia="Times New Roman" w:hAnsi="Times New Roman" w:cs="Times New Roman"/>
          <w:color w:val="FF0000"/>
          <w:kern w:val="0"/>
          <w:sz w:val="24"/>
          <w:szCs w:val="24"/>
          <w:lang w:eastAsia="en-GB"/>
          <w14:ligatures w14:val="none"/>
        </w:rPr>
        <w:t xml:space="preserve">programming language </w:t>
      </w:r>
      <w:r w:rsidRPr="00646F61">
        <w:rPr>
          <w:rFonts w:ascii="Times New Roman" w:eastAsia="Times New Roman" w:hAnsi="Times New Roman" w:cs="Times New Roman"/>
          <w:color w:val="FF0000"/>
          <w:kern w:val="0"/>
          <w:sz w:val="24"/>
          <w:szCs w:val="24"/>
          <w:lang w:eastAsia="en-GB"/>
          <w14:ligatures w14:val="none"/>
        </w:rPr>
        <w:t>to re-conduct the main analysis (</w:t>
      </w:r>
      <w:r w:rsidRPr="00646F61">
        <w:rPr>
          <w:rFonts w:ascii="Times New Roman" w:eastAsia="Calibri" w:hAnsi="Times New Roman" w:cs="Times New Roman"/>
          <w:color w:val="FF0000"/>
          <w:sz w:val="24"/>
          <w:szCs w:val="24"/>
        </w:rPr>
        <w:t>TOTAL, NAR, NUM) using text mining. The sample consists of 1</w:t>
      </w:r>
      <w:r w:rsidR="00802CDC">
        <w:rPr>
          <w:rFonts w:ascii="Times New Roman" w:eastAsia="Calibri" w:hAnsi="Times New Roman" w:cs="Times New Roman"/>
          <w:color w:val="FF0000"/>
          <w:sz w:val="24"/>
          <w:szCs w:val="24"/>
        </w:rPr>
        <w:t>0</w:t>
      </w:r>
      <w:r w:rsidRPr="00646F61">
        <w:rPr>
          <w:rFonts w:ascii="Times New Roman" w:eastAsia="Calibri" w:hAnsi="Times New Roman" w:cs="Times New Roman"/>
          <w:color w:val="FF0000"/>
          <w:sz w:val="24"/>
          <w:szCs w:val="24"/>
        </w:rPr>
        <w:t xml:space="preserve"> years of NGO annual reports (35) from 2013 to 2023 (total of 385). The keyword tags are the same as those included in Table 1. However, because we use automated text mining, we are unable to provide results from P/T, OA, and Internal Facing/External facing disclosures. Furthermore, to avoid false positives, an occurrence is only recognised if a precise keyword match occurs. In comparison, using a manual approach, an author read every TU which contained any of the keywords listed in Table 1. Thus, if any keyword was deemed to be representative of an environmental disclosure by an author, it was included as an occurrence in the manual analysis.</w:t>
      </w:r>
    </w:p>
    <w:p w14:paraId="75C5895F" w14:textId="7ED01392" w:rsidR="00594E20" w:rsidRPr="00646F61" w:rsidRDefault="00594E20" w:rsidP="00A268CC">
      <w:pPr>
        <w:suppressAutoHyphens/>
        <w:autoSpaceDN w:val="0"/>
        <w:spacing w:after="120" w:line="360" w:lineRule="auto"/>
        <w:ind w:firstLine="0"/>
        <w:textAlignment w:val="baseline"/>
        <w:rPr>
          <w:rFonts w:ascii="Times New Roman" w:eastAsia="Calibri" w:hAnsi="Times New Roman" w:cs="Times New Roman"/>
          <w:color w:val="FF0000"/>
          <w:sz w:val="24"/>
          <w:szCs w:val="24"/>
        </w:rPr>
      </w:pPr>
      <w:r w:rsidRPr="00646F61">
        <w:rPr>
          <w:rFonts w:ascii="Times New Roman" w:eastAsia="Calibri" w:hAnsi="Times New Roman" w:cs="Times New Roman"/>
          <w:color w:val="FF0000"/>
          <w:sz w:val="24"/>
          <w:szCs w:val="24"/>
        </w:rPr>
        <w:t xml:space="preserve">Results are delineated in Table 8. Using text mining, TOT disclosures amount to 318 in 2013, and 1,290 in 2023. Whilst this result is substantially lower compared to the manual analysis, 1,244 (2013) and 3,795 (2023), the increase for both is relatively similar, 405% (1,290/318) for the text mining analysis, and 305% for the manual analysis. This result can be expected, given the constraint to only include exact matches in the automated text mining approach, to avoid false positives. Table 8 reveals that using automated text mining, it has taken at minimum 8-9 years for there to be a highly statistically significant (0.05&lt;**) increase in environmental disclosure availability on the annual reports of NGOs. The results therefore suggest that whilst NGOs can have an incentive to enhance the availability of environmental disclosures on annual reports, this process has taken time. </w:t>
      </w:r>
    </w:p>
    <w:p w14:paraId="3688F806" w14:textId="1529A791" w:rsidR="00D01837" w:rsidRDefault="00594E20" w:rsidP="00594E20">
      <w:pPr>
        <w:spacing w:after="120" w:line="360" w:lineRule="auto"/>
        <w:ind w:firstLine="0"/>
        <w:jc w:val="center"/>
        <w:rPr>
          <w:rFonts w:ascii="Times New Roman" w:eastAsia="Times New Roman" w:hAnsi="Times New Roman" w:cs="Times New Roman"/>
          <w:b/>
          <w:bCs/>
          <w:color w:val="000000" w:themeColor="text1"/>
          <w:kern w:val="0"/>
          <w:sz w:val="24"/>
          <w:szCs w:val="24"/>
          <w:lang w:eastAsia="zh-CN"/>
          <w14:ligatures w14:val="none"/>
        </w:rPr>
      </w:pPr>
      <w:r w:rsidRPr="00631DE0">
        <w:rPr>
          <w:rFonts w:ascii="Times New Roman" w:eastAsia="Times New Roman" w:hAnsi="Times New Roman" w:cs="Times New Roman"/>
          <w:b/>
          <w:bCs/>
          <w:color w:val="000000" w:themeColor="text1"/>
          <w:kern w:val="0"/>
          <w:sz w:val="24"/>
          <w:szCs w:val="24"/>
          <w:lang w:eastAsia="zh-CN"/>
          <w14:ligatures w14:val="none"/>
        </w:rPr>
        <w:t xml:space="preserve">[Table </w:t>
      </w:r>
      <w:r>
        <w:rPr>
          <w:rFonts w:ascii="Times New Roman" w:eastAsia="Times New Roman" w:hAnsi="Times New Roman" w:cs="Times New Roman"/>
          <w:b/>
          <w:bCs/>
          <w:color w:val="000000" w:themeColor="text1"/>
          <w:kern w:val="0"/>
          <w:sz w:val="24"/>
          <w:szCs w:val="24"/>
          <w:lang w:eastAsia="zh-CN"/>
          <w14:ligatures w14:val="none"/>
        </w:rPr>
        <w:t>8</w:t>
      </w:r>
      <w:r w:rsidRPr="00631DE0">
        <w:rPr>
          <w:rFonts w:ascii="Times New Roman" w:eastAsia="Times New Roman" w:hAnsi="Times New Roman" w:cs="Times New Roman"/>
          <w:b/>
          <w:bCs/>
          <w:color w:val="000000" w:themeColor="text1"/>
          <w:kern w:val="0"/>
          <w:sz w:val="24"/>
          <w:szCs w:val="24"/>
          <w:lang w:eastAsia="zh-CN"/>
          <w14:ligatures w14:val="none"/>
        </w:rPr>
        <w:t xml:space="preserve"> goes about here]</w:t>
      </w:r>
    </w:p>
    <w:p w14:paraId="09B1214D" w14:textId="77777777" w:rsidR="00594E20" w:rsidRPr="00594E20" w:rsidRDefault="00594E20" w:rsidP="00594E20">
      <w:pPr>
        <w:spacing w:after="120" w:line="360" w:lineRule="auto"/>
        <w:ind w:firstLine="0"/>
        <w:jc w:val="center"/>
        <w:rPr>
          <w:rFonts w:ascii="Times New Roman" w:eastAsia="Times New Roman" w:hAnsi="Times New Roman" w:cs="Times New Roman"/>
          <w:b/>
          <w:bCs/>
          <w:color w:val="000000" w:themeColor="text1"/>
          <w:kern w:val="0"/>
          <w:sz w:val="24"/>
          <w:szCs w:val="24"/>
          <w:lang w:eastAsia="zh-CN"/>
          <w14:ligatures w14:val="none"/>
        </w:rPr>
      </w:pPr>
    </w:p>
    <w:p w14:paraId="42E19E37" w14:textId="2327C27E" w:rsidR="0056687D" w:rsidRPr="00631DE0" w:rsidRDefault="0071142F" w:rsidP="00161C7E">
      <w:pPr>
        <w:suppressAutoHyphens/>
        <w:autoSpaceDN w:val="0"/>
        <w:spacing w:after="120" w:line="360" w:lineRule="auto"/>
        <w:ind w:firstLine="0"/>
        <w:textAlignment w:val="baseline"/>
        <w:rPr>
          <w:rFonts w:ascii="Times New Roman" w:hAnsi="Times New Roman"/>
          <w:b/>
          <w:bCs/>
          <w:color w:val="000000" w:themeColor="text1"/>
          <w:sz w:val="24"/>
          <w:szCs w:val="24"/>
        </w:rPr>
      </w:pPr>
      <w:r w:rsidRPr="00631DE0">
        <w:rPr>
          <w:rFonts w:ascii="Times New Roman" w:hAnsi="Times New Roman"/>
          <w:b/>
          <w:bCs/>
          <w:color w:val="000000" w:themeColor="text1"/>
          <w:sz w:val="24"/>
          <w:szCs w:val="24"/>
        </w:rPr>
        <w:t xml:space="preserve">5. </w:t>
      </w:r>
      <w:bookmarkEnd w:id="10"/>
      <w:r w:rsidR="004C0685" w:rsidRPr="00631DE0">
        <w:rPr>
          <w:rFonts w:ascii="Times New Roman" w:hAnsi="Times New Roman"/>
          <w:b/>
          <w:bCs/>
          <w:color w:val="000000" w:themeColor="text1"/>
          <w:sz w:val="24"/>
          <w:szCs w:val="24"/>
        </w:rPr>
        <w:t>Summary of findings, contributions and Recommendations</w:t>
      </w:r>
    </w:p>
    <w:p w14:paraId="08FCB66F" w14:textId="7FEBA056" w:rsidR="005B7243" w:rsidRPr="00631DE0" w:rsidRDefault="0056687D" w:rsidP="00146467">
      <w:pPr>
        <w:spacing w:after="120" w:line="360" w:lineRule="auto"/>
        <w:ind w:firstLine="0"/>
        <w:rPr>
          <w:rFonts w:ascii="Times New Roman" w:eastAsia="Aptos" w:hAnsi="Times New Roman" w:cs="Times New Roman"/>
          <w:color w:val="000000" w:themeColor="text1"/>
          <w:sz w:val="24"/>
          <w:szCs w:val="24"/>
        </w:rPr>
      </w:pPr>
      <w:r w:rsidRPr="00631DE0">
        <w:rPr>
          <w:rFonts w:ascii="Times New Roman" w:eastAsia="Aptos" w:hAnsi="Times New Roman" w:cs="Times New Roman"/>
          <w:color w:val="000000" w:themeColor="text1"/>
          <w:sz w:val="24"/>
          <w:szCs w:val="24"/>
        </w:rPr>
        <w:t xml:space="preserve">The study makes several significant </w:t>
      </w:r>
      <w:r w:rsidR="004C0685" w:rsidRPr="00631DE0">
        <w:rPr>
          <w:rFonts w:ascii="Times New Roman" w:eastAsia="Aptos" w:hAnsi="Times New Roman" w:cs="Times New Roman"/>
          <w:color w:val="000000" w:themeColor="text1"/>
          <w:sz w:val="24"/>
          <w:szCs w:val="24"/>
        </w:rPr>
        <w:t>contributions</w:t>
      </w:r>
      <w:r w:rsidRPr="00631DE0">
        <w:rPr>
          <w:rFonts w:ascii="Times New Roman" w:eastAsia="Aptos" w:hAnsi="Times New Roman" w:cs="Times New Roman"/>
          <w:color w:val="000000" w:themeColor="text1"/>
          <w:sz w:val="24"/>
          <w:szCs w:val="24"/>
        </w:rPr>
        <w:t xml:space="preserve"> to the environmental accounting literature</w:t>
      </w:r>
      <w:r w:rsidR="004C0685" w:rsidRPr="00631DE0">
        <w:rPr>
          <w:rFonts w:ascii="Times New Roman" w:eastAsia="Aptos" w:hAnsi="Times New Roman" w:cs="Times New Roman"/>
          <w:color w:val="000000" w:themeColor="text1"/>
          <w:sz w:val="24"/>
          <w:szCs w:val="24"/>
        </w:rPr>
        <w:t xml:space="preserve"> and sustainability policy</w:t>
      </w:r>
      <w:r w:rsidRPr="00631DE0">
        <w:rPr>
          <w:rFonts w:ascii="Times New Roman" w:eastAsia="Aptos" w:hAnsi="Times New Roman" w:cs="Times New Roman"/>
          <w:color w:val="000000" w:themeColor="text1"/>
          <w:sz w:val="24"/>
          <w:szCs w:val="24"/>
        </w:rPr>
        <w:t xml:space="preserve">. First, drawing on legitimacy theory, prior research has found that publicly listed firms tend to increase volume of environmental disclosures over time (Haque &amp; Ntim, 2018). </w:t>
      </w:r>
      <w:r w:rsidR="00DB36B5">
        <w:rPr>
          <w:rFonts w:ascii="Times New Roman" w:eastAsia="Aptos" w:hAnsi="Times New Roman" w:cs="Times New Roman"/>
          <w:color w:val="000000" w:themeColor="text1"/>
          <w:sz w:val="24"/>
          <w:szCs w:val="24"/>
        </w:rPr>
        <w:t xml:space="preserve">Moreover, the study reports that using 2013 as a benchmark, it has taken 8-9 years for NGOs to provide a statistically significantly higher availability of NAR/NUM/TOTAL environmental disclosures. </w:t>
      </w:r>
      <w:r w:rsidR="00981D52">
        <w:rPr>
          <w:rFonts w:ascii="Times New Roman" w:eastAsia="Aptos" w:hAnsi="Times New Roman" w:cs="Times New Roman"/>
          <w:color w:val="000000" w:themeColor="text1"/>
          <w:sz w:val="24"/>
          <w:szCs w:val="24"/>
        </w:rPr>
        <w:t>R</w:t>
      </w:r>
      <w:r w:rsidRPr="00631DE0">
        <w:rPr>
          <w:rFonts w:ascii="Times New Roman" w:eastAsia="Aptos" w:hAnsi="Times New Roman" w:cs="Times New Roman"/>
          <w:color w:val="000000" w:themeColor="text1"/>
          <w:sz w:val="24"/>
          <w:szCs w:val="24"/>
        </w:rPr>
        <w:t>elatively few studies have examine</w:t>
      </w:r>
      <w:r w:rsidR="00420933" w:rsidRPr="00631DE0">
        <w:rPr>
          <w:rFonts w:ascii="Times New Roman" w:eastAsia="Aptos" w:hAnsi="Times New Roman" w:cs="Times New Roman"/>
          <w:color w:val="000000" w:themeColor="text1"/>
          <w:sz w:val="24"/>
          <w:szCs w:val="24"/>
        </w:rPr>
        <w:t>d</w:t>
      </w:r>
      <w:r w:rsidRPr="00631DE0">
        <w:rPr>
          <w:rFonts w:ascii="Times New Roman" w:eastAsia="Aptos" w:hAnsi="Times New Roman" w:cs="Times New Roman"/>
          <w:color w:val="000000" w:themeColor="text1"/>
          <w:sz w:val="24"/>
          <w:szCs w:val="24"/>
        </w:rPr>
        <w:t xml:space="preserve"> environmental </w:t>
      </w:r>
      <w:r w:rsidR="005B7243" w:rsidRPr="00631DE0">
        <w:rPr>
          <w:rFonts w:ascii="Times New Roman" w:eastAsia="Aptos" w:hAnsi="Times New Roman" w:cs="Times New Roman"/>
          <w:color w:val="000000" w:themeColor="text1"/>
          <w:sz w:val="24"/>
          <w:szCs w:val="24"/>
        </w:rPr>
        <w:t>disclosure</w:t>
      </w:r>
      <w:r w:rsidRPr="00631DE0">
        <w:rPr>
          <w:rFonts w:ascii="Times New Roman" w:eastAsia="Aptos" w:hAnsi="Times New Roman" w:cs="Times New Roman"/>
          <w:color w:val="000000" w:themeColor="text1"/>
          <w:sz w:val="24"/>
          <w:szCs w:val="24"/>
        </w:rPr>
        <w:t xml:space="preserve"> practices within non-governmental organizations (NGOs), creating academic uncertainty regarding whether NGOs possess the financial resources and technical expertise necessary to produce high-quality </w:t>
      </w:r>
      <w:r w:rsidR="005B7243" w:rsidRPr="00631DE0">
        <w:rPr>
          <w:rFonts w:ascii="Times New Roman" w:eastAsia="Aptos" w:hAnsi="Times New Roman" w:cs="Times New Roman"/>
          <w:color w:val="000000" w:themeColor="text1"/>
          <w:sz w:val="24"/>
          <w:szCs w:val="24"/>
        </w:rPr>
        <w:t>environmental reporting</w:t>
      </w:r>
      <w:r w:rsidRPr="00631DE0">
        <w:rPr>
          <w:rFonts w:ascii="Times New Roman" w:eastAsia="Aptos" w:hAnsi="Times New Roman" w:cs="Times New Roman"/>
          <w:color w:val="000000" w:themeColor="text1"/>
          <w:sz w:val="24"/>
          <w:szCs w:val="24"/>
        </w:rPr>
        <w:t xml:space="preserve"> (Asogwa, 2023; Haque &amp; Irvine, 2018).</w:t>
      </w:r>
      <w:r w:rsidR="005B7243" w:rsidRPr="00631DE0">
        <w:rPr>
          <w:rFonts w:ascii="Times New Roman" w:eastAsia="Aptos" w:hAnsi="Times New Roman" w:cs="Times New Roman"/>
          <w:color w:val="000000" w:themeColor="text1"/>
          <w:sz w:val="24"/>
          <w:szCs w:val="24"/>
        </w:rPr>
        <w:t xml:space="preserve"> In this </w:t>
      </w:r>
      <w:r w:rsidR="005B7243" w:rsidRPr="00631DE0">
        <w:rPr>
          <w:rFonts w:ascii="Times New Roman" w:eastAsia="Aptos" w:hAnsi="Times New Roman" w:cs="Times New Roman"/>
          <w:color w:val="000000" w:themeColor="text1"/>
          <w:sz w:val="24"/>
          <w:szCs w:val="24"/>
        </w:rPr>
        <w:lastRenderedPageBreak/>
        <w:t>regard, o</w:t>
      </w:r>
      <w:r w:rsidRPr="00631DE0">
        <w:rPr>
          <w:rFonts w:ascii="Times New Roman" w:eastAsia="Aptos" w:hAnsi="Times New Roman" w:cs="Times New Roman"/>
          <w:color w:val="000000" w:themeColor="text1"/>
          <w:sz w:val="24"/>
          <w:szCs w:val="24"/>
        </w:rPr>
        <w:t xml:space="preserve">ur findings provide empirical support indicating that </w:t>
      </w:r>
      <w:r w:rsidR="00981D52">
        <w:rPr>
          <w:rFonts w:ascii="Times New Roman" w:eastAsia="Aptos" w:hAnsi="Times New Roman" w:cs="Times New Roman"/>
          <w:color w:val="000000" w:themeColor="text1"/>
          <w:sz w:val="24"/>
          <w:szCs w:val="24"/>
        </w:rPr>
        <w:t xml:space="preserve">given a sufficient time period, </w:t>
      </w:r>
      <w:r w:rsidRPr="00631DE0">
        <w:rPr>
          <w:rFonts w:ascii="Times New Roman" w:eastAsia="Aptos" w:hAnsi="Times New Roman" w:cs="Times New Roman"/>
          <w:color w:val="000000" w:themeColor="text1"/>
          <w:sz w:val="24"/>
          <w:szCs w:val="24"/>
        </w:rPr>
        <w:t xml:space="preserve">NGOs </w:t>
      </w:r>
      <w:r w:rsidR="00981D52">
        <w:rPr>
          <w:rFonts w:ascii="Times New Roman" w:eastAsia="Aptos" w:hAnsi="Times New Roman" w:cs="Times New Roman"/>
          <w:color w:val="000000" w:themeColor="text1"/>
          <w:sz w:val="24"/>
          <w:szCs w:val="24"/>
        </w:rPr>
        <w:t xml:space="preserve">in the UK </w:t>
      </w:r>
      <w:r w:rsidRPr="00631DE0">
        <w:rPr>
          <w:rFonts w:ascii="Times New Roman" w:eastAsia="Aptos" w:hAnsi="Times New Roman" w:cs="Times New Roman"/>
          <w:color w:val="000000" w:themeColor="text1"/>
          <w:sz w:val="24"/>
          <w:szCs w:val="24"/>
        </w:rPr>
        <w:t xml:space="preserve">disclose </w:t>
      </w:r>
      <w:r w:rsidR="00981D52" w:rsidRPr="00631DE0">
        <w:rPr>
          <w:rFonts w:ascii="Times New Roman" w:eastAsia="Aptos" w:hAnsi="Times New Roman" w:cs="Times New Roman"/>
          <w:color w:val="000000" w:themeColor="text1"/>
          <w:sz w:val="24"/>
          <w:szCs w:val="24"/>
        </w:rPr>
        <w:t>s</w:t>
      </w:r>
      <w:r w:rsidR="00981D52">
        <w:rPr>
          <w:rFonts w:ascii="Times New Roman" w:eastAsia="Aptos" w:hAnsi="Times New Roman" w:cs="Times New Roman"/>
          <w:color w:val="000000" w:themeColor="text1"/>
          <w:sz w:val="24"/>
          <w:szCs w:val="24"/>
        </w:rPr>
        <w:t>tatistically significant higher</w:t>
      </w:r>
      <w:r w:rsidR="00981D52" w:rsidRPr="00631DE0">
        <w:rPr>
          <w:rFonts w:ascii="Times New Roman" w:eastAsia="Aptos" w:hAnsi="Times New Roman" w:cs="Times New Roman"/>
          <w:color w:val="000000" w:themeColor="text1"/>
          <w:sz w:val="24"/>
          <w:szCs w:val="24"/>
        </w:rPr>
        <w:t xml:space="preserve"> </w:t>
      </w:r>
      <w:r w:rsidRPr="00631DE0">
        <w:rPr>
          <w:rFonts w:ascii="Times New Roman" w:eastAsia="Aptos" w:hAnsi="Times New Roman" w:cs="Times New Roman"/>
          <w:color w:val="000000" w:themeColor="text1"/>
          <w:sz w:val="24"/>
          <w:szCs w:val="24"/>
        </w:rPr>
        <w:t xml:space="preserve">volumes of environmental information, aligning with societal expectations and demonstrating their capacity to </w:t>
      </w:r>
      <w:r w:rsidR="00755F09" w:rsidRPr="00631DE0">
        <w:rPr>
          <w:rFonts w:ascii="Times New Roman" w:eastAsia="Aptos" w:hAnsi="Times New Roman" w:cs="Times New Roman"/>
          <w:color w:val="000000" w:themeColor="text1"/>
          <w:sz w:val="24"/>
          <w:szCs w:val="24"/>
        </w:rPr>
        <w:t>fulfil</w:t>
      </w:r>
      <w:r w:rsidRPr="00631DE0">
        <w:rPr>
          <w:rFonts w:ascii="Times New Roman" w:eastAsia="Aptos" w:hAnsi="Times New Roman" w:cs="Times New Roman"/>
          <w:color w:val="000000" w:themeColor="text1"/>
          <w:sz w:val="24"/>
          <w:szCs w:val="24"/>
        </w:rPr>
        <w:t xml:space="preserve"> their implicit social </w:t>
      </w:r>
      <w:r w:rsidR="005B7243" w:rsidRPr="00631DE0">
        <w:rPr>
          <w:rFonts w:ascii="Times New Roman" w:eastAsia="Aptos" w:hAnsi="Times New Roman" w:cs="Times New Roman"/>
          <w:color w:val="000000" w:themeColor="text1"/>
          <w:sz w:val="24"/>
          <w:szCs w:val="24"/>
        </w:rPr>
        <w:t>contract. This</w:t>
      </w:r>
      <w:r w:rsidRPr="00631DE0">
        <w:rPr>
          <w:rFonts w:ascii="Times New Roman" w:eastAsia="Aptos" w:hAnsi="Times New Roman" w:cs="Times New Roman"/>
          <w:color w:val="000000" w:themeColor="text1"/>
          <w:sz w:val="24"/>
          <w:szCs w:val="24"/>
        </w:rPr>
        <w:t xml:space="preserve"> contribution </w:t>
      </w:r>
      <w:r w:rsidR="005B7243" w:rsidRPr="00631DE0">
        <w:rPr>
          <w:rFonts w:ascii="Times New Roman" w:eastAsia="Aptos" w:hAnsi="Times New Roman" w:cs="Times New Roman"/>
          <w:color w:val="000000" w:themeColor="text1"/>
          <w:sz w:val="24"/>
          <w:szCs w:val="24"/>
        </w:rPr>
        <w:t xml:space="preserve">has policy relevance, </w:t>
      </w:r>
      <w:r w:rsidRPr="00631DE0">
        <w:rPr>
          <w:rFonts w:ascii="Times New Roman" w:eastAsia="Aptos" w:hAnsi="Times New Roman" w:cs="Times New Roman"/>
          <w:color w:val="000000" w:themeColor="text1"/>
          <w:sz w:val="24"/>
          <w:szCs w:val="24"/>
        </w:rPr>
        <w:t>as it affirms that NGOs are actively engaged in reporting their environmental performance with both intent and capability.</w:t>
      </w:r>
    </w:p>
    <w:p w14:paraId="0A63CEF5" w14:textId="7D9EB748" w:rsidR="0056687D" w:rsidRPr="00631DE0" w:rsidRDefault="0056687D" w:rsidP="00146467">
      <w:pPr>
        <w:spacing w:after="120" w:line="360" w:lineRule="auto"/>
        <w:ind w:firstLine="0"/>
        <w:rPr>
          <w:rFonts w:ascii="Times New Roman" w:eastAsia="Aptos" w:hAnsi="Times New Roman" w:cs="Times New Roman"/>
          <w:color w:val="000000" w:themeColor="text1"/>
          <w:sz w:val="24"/>
          <w:szCs w:val="24"/>
        </w:rPr>
      </w:pPr>
      <w:r w:rsidRPr="00631DE0">
        <w:rPr>
          <w:rFonts w:ascii="Times New Roman" w:eastAsia="Aptos" w:hAnsi="Times New Roman" w:cs="Times New Roman"/>
          <w:color w:val="000000" w:themeColor="text1"/>
          <w:sz w:val="24"/>
          <w:szCs w:val="24"/>
        </w:rPr>
        <w:t xml:space="preserve">Second, extant literature suggests that numerical (NUM) disclosures, as opposed to narrative (NAR), are indicative of </w:t>
      </w:r>
      <w:r w:rsidR="005B7243" w:rsidRPr="00631DE0">
        <w:rPr>
          <w:rFonts w:ascii="Times New Roman" w:eastAsia="Aptos" w:hAnsi="Times New Roman" w:cs="Times New Roman"/>
          <w:color w:val="000000" w:themeColor="text1"/>
          <w:sz w:val="24"/>
          <w:szCs w:val="24"/>
        </w:rPr>
        <w:t>higher</w:t>
      </w:r>
      <w:r w:rsidRPr="00631DE0">
        <w:rPr>
          <w:rFonts w:ascii="Times New Roman" w:eastAsia="Aptos" w:hAnsi="Times New Roman" w:cs="Times New Roman"/>
          <w:color w:val="000000" w:themeColor="text1"/>
          <w:sz w:val="24"/>
          <w:szCs w:val="24"/>
        </w:rPr>
        <w:t xml:space="preserve"> reporting quality due to their verifiability (Bourveau et al., 2022; Duff, 2018). </w:t>
      </w:r>
      <w:r w:rsidR="00E16055" w:rsidRPr="00631DE0">
        <w:rPr>
          <w:rFonts w:ascii="Times New Roman" w:eastAsia="Aptos" w:hAnsi="Times New Roman" w:cs="Times New Roman"/>
          <w:color w:val="000000" w:themeColor="text1"/>
          <w:sz w:val="24"/>
          <w:szCs w:val="24"/>
        </w:rPr>
        <w:t xml:space="preserve">Given this, </w:t>
      </w:r>
      <w:r w:rsidRPr="00631DE0">
        <w:rPr>
          <w:rFonts w:ascii="Times New Roman" w:eastAsia="Aptos" w:hAnsi="Times New Roman" w:cs="Times New Roman"/>
          <w:color w:val="000000" w:themeColor="text1"/>
          <w:sz w:val="24"/>
          <w:szCs w:val="24"/>
        </w:rPr>
        <w:t>NUM disclosures are recognized for their potential to enhance environmental accountability and contribute positively to a firm</w:t>
      </w:r>
      <w:r w:rsidR="006648A4">
        <w:rPr>
          <w:rFonts w:ascii="Times New Roman" w:eastAsia="Aptos" w:hAnsi="Times New Roman" w:cs="Times New Roman"/>
          <w:color w:val="000000" w:themeColor="text1"/>
          <w:sz w:val="24"/>
          <w:szCs w:val="24"/>
        </w:rPr>
        <w:t>’</w:t>
      </w:r>
      <w:r w:rsidRPr="00631DE0">
        <w:rPr>
          <w:rFonts w:ascii="Times New Roman" w:eastAsia="Aptos" w:hAnsi="Times New Roman" w:cs="Times New Roman"/>
          <w:color w:val="000000" w:themeColor="text1"/>
          <w:sz w:val="24"/>
          <w:szCs w:val="24"/>
        </w:rPr>
        <w:t>s public image (Agyemang et al., 2019; Dillard &amp; Vinnari, 2019).</w:t>
      </w:r>
      <w:r w:rsidR="00E16055" w:rsidRPr="00631DE0">
        <w:rPr>
          <w:rFonts w:ascii="Times New Roman" w:eastAsia="Aptos" w:hAnsi="Times New Roman" w:cs="Times New Roman"/>
          <w:color w:val="000000" w:themeColor="text1"/>
          <w:sz w:val="24"/>
          <w:szCs w:val="24"/>
        </w:rPr>
        <w:t xml:space="preserve"> In line with these,</w:t>
      </w:r>
      <w:r w:rsidRPr="00631DE0">
        <w:rPr>
          <w:rFonts w:ascii="Times New Roman" w:eastAsia="Aptos" w:hAnsi="Times New Roman" w:cs="Times New Roman"/>
          <w:color w:val="000000" w:themeColor="text1"/>
          <w:sz w:val="24"/>
          <w:szCs w:val="24"/>
        </w:rPr>
        <w:t xml:space="preserve"> </w:t>
      </w:r>
      <w:r w:rsidR="00E16055" w:rsidRPr="00631DE0">
        <w:rPr>
          <w:rFonts w:ascii="Times New Roman" w:eastAsia="Aptos" w:hAnsi="Times New Roman" w:cs="Times New Roman"/>
          <w:color w:val="000000" w:themeColor="text1"/>
          <w:sz w:val="24"/>
          <w:szCs w:val="24"/>
        </w:rPr>
        <w:t>o</w:t>
      </w:r>
      <w:r w:rsidRPr="00631DE0">
        <w:rPr>
          <w:rFonts w:ascii="Times New Roman" w:eastAsia="Aptos" w:hAnsi="Times New Roman" w:cs="Times New Roman"/>
          <w:color w:val="000000" w:themeColor="text1"/>
          <w:sz w:val="24"/>
          <w:szCs w:val="24"/>
        </w:rPr>
        <w:t>ur analysis reveals that NGOs are increasingly disclosing NUM-based environmental information over time, implying that they possess requisite expertise and the motivation to provide high-quality,</w:t>
      </w:r>
      <w:r w:rsidR="00E16055" w:rsidRPr="00631DE0">
        <w:rPr>
          <w:rFonts w:ascii="Times New Roman" w:eastAsia="Aptos" w:hAnsi="Times New Roman" w:cs="Times New Roman"/>
          <w:color w:val="000000" w:themeColor="text1"/>
          <w:sz w:val="24"/>
          <w:szCs w:val="24"/>
        </w:rPr>
        <w:t xml:space="preserve"> and</w:t>
      </w:r>
      <w:r w:rsidRPr="00631DE0">
        <w:rPr>
          <w:rFonts w:ascii="Times New Roman" w:eastAsia="Aptos" w:hAnsi="Times New Roman" w:cs="Times New Roman"/>
          <w:color w:val="000000" w:themeColor="text1"/>
          <w:sz w:val="24"/>
          <w:szCs w:val="24"/>
        </w:rPr>
        <w:t xml:space="preserve"> transparent data to stakeholders</w:t>
      </w:r>
      <w:r w:rsidR="00E16055" w:rsidRPr="00631DE0">
        <w:rPr>
          <w:rFonts w:ascii="Times New Roman" w:eastAsia="Aptos" w:hAnsi="Times New Roman" w:cs="Times New Roman"/>
          <w:color w:val="000000" w:themeColor="text1"/>
          <w:sz w:val="24"/>
          <w:szCs w:val="24"/>
        </w:rPr>
        <w:t xml:space="preserve"> for search for legitimacy. Therefore, this result may serve as a source of reference to policy makers who are establishing environmental disclosure guidelines for NGOs in the wake of accountability deficits.</w:t>
      </w:r>
    </w:p>
    <w:p w14:paraId="4B14EA9E" w14:textId="6C30383F" w:rsidR="000427DA" w:rsidRPr="00631DE0" w:rsidRDefault="0056687D" w:rsidP="00146467">
      <w:pPr>
        <w:spacing w:after="120" w:line="360" w:lineRule="auto"/>
        <w:ind w:firstLine="0"/>
        <w:rPr>
          <w:rFonts w:ascii="Times New Roman" w:eastAsia="Aptos" w:hAnsi="Times New Roman" w:cs="Times New Roman"/>
          <w:color w:val="000000" w:themeColor="text1"/>
          <w:sz w:val="24"/>
          <w:szCs w:val="24"/>
        </w:rPr>
      </w:pPr>
      <w:r w:rsidRPr="00631DE0">
        <w:rPr>
          <w:rFonts w:ascii="Times New Roman" w:eastAsia="Aptos" w:hAnsi="Times New Roman" w:cs="Times New Roman"/>
          <w:color w:val="000000" w:themeColor="text1"/>
          <w:sz w:val="24"/>
          <w:szCs w:val="24"/>
        </w:rPr>
        <w:t xml:space="preserve">Third, Lim and Mali (2022) </w:t>
      </w:r>
      <w:r w:rsidR="00E26001" w:rsidRPr="00631DE0">
        <w:rPr>
          <w:rFonts w:ascii="Times New Roman" w:eastAsia="Aptos" w:hAnsi="Times New Roman" w:cs="Times New Roman"/>
          <w:color w:val="000000" w:themeColor="text1"/>
          <w:sz w:val="24"/>
          <w:szCs w:val="24"/>
        </w:rPr>
        <w:t>postulate</w:t>
      </w:r>
      <w:r w:rsidRPr="00631DE0">
        <w:rPr>
          <w:rFonts w:ascii="Times New Roman" w:eastAsia="Aptos" w:hAnsi="Times New Roman" w:cs="Times New Roman"/>
          <w:color w:val="000000" w:themeColor="text1"/>
          <w:sz w:val="24"/>
          <w:szCs w:val="24"/>
        </w:rPr>
        <w:t xml:space="preserve"> that policy</w:t>
      </w:r>
      <w:r w:rsidR="00D51DDF">
        <w:rPr>
          <w:rFonts w:ascii="Times New Roman" w:eastAsia="Aptos" w:hAnsi="Times New Roman" w:cs="Times New Roman"/>
          <w:color w:val="000000" w:themeColor="text1"/>
          <w:sz w:val="24"/>
          <w:szCs w:val="24"/>
        </w:rPr>
        <w:t xml:space="preserve"> </w:t>
      </w:r>
      <w:r w:rsidRPr="00631DE0">
        <w:rPr>
          <w:rFonts w:ascii="Times New Roman" w:eastAsia="Aptos" w:hAnsi="Times New Roman" w:cs="Times New Roman"/>
          <w:color w:val="000000" w:themeColor="text1"/>
          <w:sz w:val="24"/>
          <w:szCs w:val="24"/>
        </w:rPr>
        <w:t xml:space="preserve">related disclosures in annual reports may sometimes obscure the operational realities of organizational </w:t>
      </w:r>
      <w:r w:rsidR="00755F09" w:rsidRPr="00631DE0">
        <w:rPr>
          <w:rFonts w:ascii="Times New Roman" w:eastAsia="Aptos" w:hAnsi="Times New Roman" w:cs="Times New Roman"/>
          <w:color w:val="000000" w:themeColor="text1"/>
          <w:sz w:val="24"/>
          <w:szCs w:val="24"/>
        </w:rPr>
        <w:t>behaviour</w:t>
      </w:r>
      <w:r w:rsidRPr="00631DE0">
        <w:rPr>
          <w:rFonts w:ascii="Times New Roman" w:eastAsia="Aptos" w:hAnsi="Times New Roman" w:cs="Times New Roman"/>
          <w:color w:val="000000" w:themeColor="text1"/>
          <w:sz w:val="24"/>
          <w:szCs w:val="24"/>
        </w:rPr>
        <w:t xml:space="preserve">. </w:t>
      </w:r>
      <w:r w:rsidR="00755F09" w:rsidRPr="00631DE0">
        <w:rPr>
          <w:rFonts w:ascii="Times New Roman" w:eastAsia="Aptos" w:hAnsi="Times New Roman" w:cs="Times New Roman"/>
          <w:color w:val="000000" w:themeColor="text1"/>
          <w:sz w:val="24"/>
          <w:szCs w:val="24"/>
        </w:rPr>
        <w:t>This raise</w:t>
      </w:r>
      <w:r w:rsidR="00015375">
        <w:rPr>
          <w:rFonts w:ascii="Times New Roman" w:eastAsia="Aptos" w:hAnsi="Times New Roman" w:cs="Times New Roman"/>
          <w:color w:val="000000" w:themeColor="text1"/>
          <w:sz w:val="24"/>
          <w:szCs w:val="24"/>
        </w:rPr>
        <w:t>s</w:t>
      </w:r>
      <w:r w:rsidRPr="00631DE0">
        <w:rPr>
          <w:rFonts w:ascii="Times New Roman" w:eastAsia="Aptos" w:hAnsi="Times New Roman" w:cs="Times New Roman"/>
          <w:color w:val="000000" w:themeColor="text1"/>
          <w:sz w:val="24"/>
          <w:szCs w:val="24"/>
        </w:rPr>
        <w:t xml:space="preserve"> concerns that NGOs might limit their disclosures to aspirational policy statements rather than substantive actions. Contrary to this concern, our results </w:t>
      </w:r>
      <w:r w:rsidR="000427DA" w:rsidRPr="00631DE0">
        <w:rPr>
          <w:rFonts w:ascii="Times New Roman" w:eastAsia="Aptos" w:hAnsi="Times New Roman" w:cs="Times New Roman"/>
          <w:color w:val="000000" w:themeColor="text1"/>
          <w:sz w:val="24"/>
          <w:szCs w:val="24"/>
        </w:rPr>
        <w:t>portray</w:t>
      </w:r>
      <w:r w:rsidRPr="00631DE0">
        <w:rPr>
          <w:rFonts w:ascii="Times New Roman" w:eastAsia="Aptos" w:hAnsi="Times New Roman" w:cs="Times New Roman"/>
          <w:color w:val="000000" w:themeColor="text1"/>
          <w:sz w:val="24"/>
          <w:szCs w:val="24"/>
        </w:rPr>
        <w:t xml:space="preserve"> that NGOs disclose higher volumes of operational activities (OA) compared to policy and target (P/T) information. This suggests that NGOs are not only articulating environmental commitments but are also providing evidence of tangible actions, thereby reinforcing their legitimacy through operational transparency.</w:t>
      </w:r>
      <w:r w:rsidR="000427DA" w:rsidRPr="00631DE0">
        <w:rPr>
          <w:rFonts w:ascii="Times New Roman" w:eastAsia="Aptos" w:hAnsi="Times New Roman" w:cs="Times New Roman"/>
          <w:color w:val="000000" w:themeColor="text1"/>
          <w:sz w:val="24"/>
          <w:szCs w:val="24"/>
        </w:rPr>
        <w:t xml:space="preserve"> </w:t>
      </w:r>
      <w:r w:rsidR="000C340E" w:rsidRPr="00631DE0">
        <w:rPr>
          <w:rFonts w:ascii="Times New Roman" w:eastAsia="Aptos" w:hAnsi="Times New Roman" w:cs="Times New Roman"/>
          <w:color w:val="000000" w:themeColor="text1"/>
          <w:sz w:val="24"/>
          <w:szCs w:val="24"/>
        </w:rPr>
        <w:t xml:space="preserve">In view of this, </w:t>
      </w:r>
      <w:r w:rsidR="009A6F1A" w:rsidRPr="00631DE0">
        <w:rPr>
          <w:rFonts w:ascii="Times New Roman" w:eastAsia="Aptos" w:hAnsi="Times New Roman" w:cs="Times New Roman"/>
          <w:color w:val="000000" w:themeColor="text1"/>
          <w:sz w:val="24"/>
          <w:szCs w:val="24"/>
        </w:rPr>
        <w:t>the results offer guidance to organisations, specifically those facing legitimacy threats for poor environmental performance, to adopt proactive environmental risk management, such as establishing targets/policies. Adopting these strategies may improve environmental practice, thus increasing environmental reporting.</w:t>
      </w:r>
    </w:p>
    <w:p w14:paraId="54C303A5" w14:textId="21A78DB1" w:rsidR="000A0E2C" w:rsidRPr="00631DE0" w:rsidRDefault="0056687D" w:rsidP="00146467">
      <w:pPr>
        <w:spacing w:after="120" w:line="360" w:lineRule="auto"/>
        <w:ind w:firstLine="0"/>
        <w:rPr>
          <w:rFonts w:ascii="Times New Roman" w:eastAsia="Aptos" w:hAnsi="Times New Roman" w:cs="Times New Roman"/>
          <w:color w:val="000000" w:themeColor="text1"/>
          <w:sz w:val="24"/>
          <w:szCs w:val="24"/>
        </w:rPr>
      </w:pPr>
      <w:r w:rsidRPr="00631DE0">
        <w:rPr>
          <w:rFonts w:ascii="Times New Roman" w:eastAsia="Aptos" w:hAnsi="Times New Roman" w:cs="Times New Roman"/>
          <w:color w:val="000000" w:themeColor="text1"/>
          <w:sz w:val="24"/>
          <w:szCs w:val="24"/>
        </w:rPr>
        <w:t>Fourth, NGOs are understood to have a vested interest in meeting societal expectations by disclosing how their operations impact stakeholders and the broader environment (Baier et al., 2020; Haque &amp; Irvine, 2018</w:t>
      </w:r>
      <w:r w:rsidR="000A0E2C" w:rsidRPr="00631DE0">
        <w:rPr>
          <w:rFonts w:ascii="Times New Roman" w:eastAsia="Aptos" w:hAnsi="Times New Roman" w:cs="Times New Roman"/>
          <w:color w:val="000000" w:themeColor="text1"/>
          <w:sz w:val="24"/>
          <w:szCs w:val="24"/>
        </w:rPr>
        <w:t>). This</w:t>
      </w:r>
      <w:r w:rsidRPr="00631DE0">
        <w:rPr>
          <w:rFonts w:ascii="Times New Roman" w:eastAsia="Aptos" w:hAnsi="Times New Roman" w:cs="Times New Roman"/>
          <w:color w:val="000000" w:themeColor="text1"/>
          <w:sz w:val="24"/>
          <w:szCs w:val="24"/>
        </w:rPr>
        <w:t xml:space="preserve"> aligns with Friedman and Miles (2002), who argue that granular disclosures are consistent with stakeholder theory, particularly in </w:t>
      </w:r>
      <w:r w:rsidR="000A0E2C" w:rsidRPr="00631DE0">
        <w:rPr>
          <w:rFonts w:ascii="Times New Roman" w:eastAsia="Aptos" w:hAnsi="Times New Roman" w:cs="Times New Roman"/>
          <w:color w:val="000000" w:themeColor="text1"/>
          <w:sz w:val="24"/>
          <w:szCs w:val="24"/>
        </w:rPr>
        <w:t>the context</w:t>
      </w:r>
      <w:r w:rsidRPr="00631DE0">
        <w:rPr>
          <w:rFonts w:ascii="Times New Roman" w:eastAsia="Aptos" w:hAnsi="Times New Roman" w:cs="Times New Roman"/>
          <w:color w:val="000000" w:themeColor="text1"/>
          <w:sz w:val="24"/>
          <w:szCs w:val="24"/>
        </w:rPr>
        <w:t xml:space="preserve"> of </w:t>
      </w:r>
      <w:r w:rsidR="000A0E2C" w:rsidRPr="00631DE0">
        <w:rPr>
          <w:rFonts w:ascii="Times New Roman" w:eastAsia="Aptos" w:hAnsi="Times New Roman" w:cs="Times New Roman"/>
          <w:color w:val="000000" w:themeColor="text1"/>
          <w:sz w:val="24"/>
          <w:szCs w:val="24"/>
        </w:rPr>
        <w:t>the growing</w:t>
      </w:r>
      <w:r w:rsidRPr="00631DE0">
        <w:rPr>
          <w:rFonts w:ascii="Times New Roman" w:eastAsia="Aptos" w:hAnsi="Times New Roman" w:cs="Times New Roman"/>
          <w:color w:val="000000" w:themeColor="text1"/>
          <w:sz w:val="24"/>
          <w:szCs w:val="24"/>
        </w:rPr>
        <w:t xml:space="preserve"> public consciousness about environmental protection. Our study provides evidence that NGOs are equipped to disclose high-quality information </w:t>
      </w:r>
      <w:r w:rsidR="00C7137B" w:rsidRPr="00631DE0">
        <w:rPr>
          <w:rFonts w:ascii="Times New Roman" w:eastAsia="Aptos" w:hAnsi="Times New Roman" w:cs="Times New Roman"/>
          <w:color w:val="000000" w:themeColor="text1"/>
          <w:sz w:val="24"/>
          <w:szCs w:val="24"/>
        </w:rPr>
        <w:t>about</w:t>
      </w:r>
      <w:r w:rsidRPr="00631DE0">
        <w:rPr>
          <w:rFonts w:ascii="Times New Roman" w:eastAsia="Aptos" w:hAnsi="Times New Roman" w:cs="Times New Roman"/>
          <w:color w:val="000000" w:themeColor="text1"/>
          <w:sz w:val="24"/>
          <w:szCs w:val="24"/>
        </w:rPr>
        <w:t xml:space="preserve"> internally and externally oriented environmental practices</w:t>
      </w:r>
      <w:r w:rsidR="000A0E2C" w:rsidRPr="00631DE0">
        <w:rPr>
          <w:rFonts w:ascii="Times New Roman" w:eastAsia="Aptos" w:hAnsi="Times New Roman" w:cs="Times New Roman"/>
          <w:color w:val="000000" w:themeColor="text1"/>
          <w:sz w:val="24"/>
          <w:szCs w:val="24"/>
        </w:rPr>
        <w:t>.</w:t>
      </w:r>
      <w:r w:rsidRPr="00631DE0">
        <w:rPr>
          <w:rFonts w:ascii="Times New Roman" w:eastAsia="Aptos" w:hAnsi="Times New Roman" w:cs="Times New Roman"/>
          <w:color w:val="000000" w:themeColor="text1"/>
          <w:sz w:val="24"/>
          <w:szCs w:val="24"/>
        </w:rPr>
        <w:t xml:space="preserve"> Notably, the volume and quality of</w:t>
      </w:r>
      <w:r w:rsidR="000A0E2C" w:rsidRPr="00631DE0">
        <w:rPr>
          <w:rFonts w:ascii="Times New Roman" w:eastAsia="Aptos" w:hAnsi="Times New Roman" w:cs="Times New Roman"/>
          <w:color w:val="000000" w:themeColor="text1"/>
          <w:sz w:val="24"/>
          <w:szCs w:val="24"/>
        </w:rPr>
        <w:t xml:space="preserve"> the</w:t>
      </w:r>
      <w:r w:rsidRPr="00631DE0">
        <w:rPr>
          <w:rFonts w:ascii="Times New Roman" w:eastAsia="Aptos" w:hAnsi="Times New Roman" w:cs="Times New Roman"/>
          <w:color w:val="000000" w:themeColor="text1"/>
          <w:sz w:val="24"/>
          <w:szCs w:val="24"/>
        </w:rPr>
        <w:t xml:space="preserve"> internal disclosures </w:t>
      </w:r>
      <w:r w:rsidRPr="00631DE0">
        <w:rPr>
          <w:rFonts w:ascii="Times New Roman" w:eastAsia="Aptos" w:hAnsi="Times New Roman" w:cs="Times New Roman"/>
          <w:color w:val="000000" w:themeColor="text1"/>
          <w:sz w:val="24"/>
          <w:szCs w:val="24"/>
        </w:rPr>
        <w:lastRenderedPageBreak/>
        <w:t>appear to support externally facing disclosures (effect), suggesting a coherent and legitimate strategy that aligns environmental intent with performance.</w:t>
      </w:r>
      <w:r w:rsidR="000A0E2C" w:rsidRPr="00631DE0">
        <w:rPr>
          <w:rFonts w:ascii="Times New Roman" w:eastAsia="Aptos" w:hAnsi="Times New Roman" w:cs="Times New Roman"/>
          <w:color w:val="000000" w:themeColor="text1"/>
          <w:sz w:val="24"/>
          <w:szCs w:val="24"/>
        </w:rPr>
        <w:t xml:space="preserve"> </w:t>
      </w:r>
      <w:r w:rsidR="009A6F1A" w:rsidRPr="00631DE0">
        <w:rPr>
          <w:rFonts w:ascii="Times New Roman" w:eastAsia="Aptos" w:hAnsi="Times New Roman" w:cs="Times New Roman"/>
          <w:color w:val="000000" w:themeColor="text1"/>
          <w:sz w:val="24"/>
          <w:szCs w:val="24"/>
        </w:rPr>
        <w:t>Drawing from this, policymakers, regulators and organisations may use this insight as guidelines for environmental performance disclosure to encourage firms to adopt internal-facing and external-facing disclosure, given that existing UK NGOs environmental guidelines don’t suggest that as a mandatory requirement.</w:t>
      </w:r>
    </w:p>
    <w:p w14:paraId="18C39996" w14:textId="4C7B88A9" w:rsidR="0056687D" w:rsidRPr="00631DE0" w:rsidRDefault="00775F70" w:rsidP="00146467">
      <w:pPr>
        <w:spacing w:after="120" w:line="360" w:lineRule="auto"/>
        <w:ind w:firstLine="0"/>
        <w:rPr>
          <w:rFonts w:ascii="Times New Roman" w:eastAsia="Aptos" w:hAnsi="Times New Roman" w:cs="Times New Roman"/>
          <w:color w:val="000000" w:themeColor="text1"/>
          <w:sz w:val="24"/>
          <w:szCs w:val="24"/>
        </w:rPr>
      </w:pPr>
      <w:r w:rsidRPr="00631DE0">
        <w:rPr>
          <w:rFonts w:ascii="Times New Roman" w:eastAsia="Aptos" w:hAnsi="Times New Roman" w:cs="Times New Roman"/>
          <w:color w:val="000000" w:themeColor="text1"/>
          <w:sz w:val="24"/>
          <w:szCs w:val="24"/>
        </w:rPr>
        <w:t>T</w:t>
      </w:r>
      <w:r w:rsidR="0056687D" w:rsidRPr="00631DE0">
        <w:rPr>
          <w:rFonts w:ascii="Times New Roman" w:eastAsia="Aptos" w:hAnsi="Times New Roman" w:cs="Times New Roman"/>
          <w:color w:val="000000" w:themeColor="text1"/>
          <w:sz w:val="24"/>
          <w:szCs w:val="24"/>
        </w:rPr>
        <w:t xml:space="preserve">he study offers methodological insights and identifies areas for future research. A balanced panel of 35 NGOs was </w:t>
      </w:r>
      <w:r w:rsidR="003B0975" w:rsidRPr="00631DE0">
        <w:rPr>
          <w:rFonts w:ascii="Times New Roman" w:eastAsia="Aptos" w:hAnsi="Times New Roman" w:cs="Times New Roman"/>
          <w:color w:val="000000" w:themeColor="text1"/>
          <w:sz w:val="24"/>
          <w:szCs w:val="24"/>
        </w:rPr>
        <w:t>analysed</w:t>
      </w:r>
      <w:r w:rsidR="0056687D" w:rsidRPr="00631DE0">
        <w:rPr>
          <w:rFonts w:ascii="Times New Roman" w:eastAsia="Aptos" w:hAnsi="Times New Roman" w:cs="Times New Roman"/>
          <w:color w:val="000000" w:themeColor="text1"/>
          <w:sz w:val="24"/>
          <w:szCs w:val="24"/>
        </w:rPr>
        <w:t xml:space="preserve"> </w:t>
      </w:r>
      <w:r w:rsidR="00791BC6" w:rsidRPr="00631DE0">
        <w:rPr>
          <w:rFonts w:ascii="Times New Roman" w:eastAsia="Aptos" w:hAnsi="Times New Roman" w:cs="Times New Roman"/>
          <w:color w:val="000000" w:themeColor="text1"/>
          <w:sz w:val="24"/>
          <w:szCs w:val="24"/>
        </w:rPr>
        <w:t>over the passage of time</w:t>
      </w:r>
      <w:r w:rsidR="0056687D" w:rsidRPr="00631DE0">
        <w:rPr>
          <w:rFonts w:ascii="Times New Roman" w:eastAsia="Aptos" w:hAnsi="Times New Roman" w:cs="Times New Roman"/>
          <w:color w:val="000000" w:themeColor="text1"/>
          <w:sz w:val="24"/>
          <w:szCs w:val="24"/>
        </w:rPr>
        <w:t>, which aligns with sample sizes used in prior studies (Duff, 2018; Lim &amp; Mali, 2022). These NGOs were selected based on their leading positions in terms of charitable donations, which may imply similar motivations to engage in environmental disclosure as a means of seeking legitimacy. Although this study utili</w:t>
      </w:r>
      <w:r w:rsidR="003B0975" w:rsidRPr="00631DE0">
        <w:rPr>
          <w:rFonts w:ascii="Times New Roman" w:eastAsia="Aptos" w:hAnsi="Times New Roman" w:cs="Times New Roman"/>
          <w:color w:val="000000" w:themeColor="text1"/>
          <w:sz w:val="24"/>
          <w:szCs w:val="24"/>
        </w:rPr>
        <w:t>s</w:t>
      </w:r>
      <w:r w:rsidR="0056687D" w:rsidRPr="00631DE0">
        <w:rPr>
          <w:rFonts w:ascii="Times New Roman" w:eastAsia="Aptos" w:hAnsi="Times New Roman" w:cs="Times New Roman"/>
          <w:color w:val="000000" w:themeColor="text1"/>
          <w:sz w:val="24"/>
          <w:szCs w:val="24"/>
        </w:rPr>
        <w:t>ed annual reports</w:t>
      </w:r>
      <w:r w:rsidR="003B0975" w:rsidRPr="00631DE0">
        <w:rPr>
          <w:rFonts w:ascii="Times New Roman" w:eastAsia="Aptos" w:hAnsi="Times New Roman" w:cs="Times New Roman"/>
          <w:color w:val="000000" w:themeColor="text1"/>
          <w:sz w:val="24"/>
          <w:szCs w:val="24"/>
        </w:rPr>
        <w:t xml:space="preserve"> as</w:t>
      </w:r>
      <w:r w:rsidR="00755F09" w:rsidRPr="00631DE0">
        <w:rPr>
          <w:rFonts w:ascii="Times New Roman" w:eastAsia="Aptos" w:hAnsi="Times New Roman" w:cs="Times New Roman"/>
          <w:color w:val="000000" w:themeColor="text1"/>
          <w:sz w:val="24"/>
          <w:szCs w:val="24"/>
        </w:rPr>
        <w:t xml:space="preserve"> </w:t>
      </w:r>
      <w:r w:rsidR="003B0975" w:rsidRPr="00631DE0">
        <w:rPr>
          <w:rFonts w:ascii="Times New Roman" w:eastAsia="Aptos" w:hAnsi="Times New Roman" w:cs="Times New Roman"/>
          <w:color w:val="000000" w:themeColor="text1"/>
          <w:sz w:val="24"/>
          <w:szCs w:val="24"/>
        </w:rPr>
        <w:t>the</w:t>
      </w:r>
      <w:r w:rsidR="0056687D" w:rsidRPr="00631DE0">
        <w:rPr>
          <w:rFonts w:ascii="Times New Roman" w:eastAsia="Aptos" w:hAnsi="Times New Roman" w:cs="Times New Roman"/>
          <w:color w:val="000000" w:themeColor="text1"/>
          <w:sz w:val="24"/>
          <w:szCs w:val="24"/>
        </w:rPr>
        <w:t xml:space="preserve"> source of environmental disclosure in social and environmental accounting (SEA) research (</w:t>
      </w:r>
      <w:r w:rsidR="003B0975" w:rsidRPr="00631DE0">
        <w:rPr>
          <w:rFonts w:ascii="Times New Roman" w:eastAsia="Aptos" w:hAnsi="Times New Roman" w:cs="Times New Roman"/>
          <w:color w:val="000000" w:themeColor="text1"/>
          <w:sz w:val="24"/>
          <w:szCs w:val="24"/>
        </w:rPr>
        <w:t xml:space="preserve">Deegan, 2019; </w:t>
      </w:r>
      <w:r w:rsidR="0056687D" w:rsidRPr="00631DE0">
        <w:rPr>
          <w:rFonts w:ascii="Times New Roman" w:eastAsia="Aptos" w:hAnsi="Times New Roman" w:cs="Times New Roman"/>
          <w:color w:val="000000" w:themeColor="text1"/>
          <w:sz w:val="24"/>
          <w:szCs w:val="24"/>
        </w:rPr>
        <w:t>Lee et al., 2017)</w:t>
      </w:r>
      <w:r w:rsidR="003B0975" w:rsidRPr="00631DE0">
        <w:rPr>
          <w:rFonts w:ascii="Times New Roman" w:eastAsia="Aptos" w:hAnsi="Times New Roman" w:cs="Times New Roman"/>
          <w:color w:val="000000" w:themeColor="text1"/>
          <w:sz w:val="24"/>
          <w:szCs w:val="24"/>
        </w:rPr>
        <w:t>,</w:t>
      </w:r>
      <w:r w:rsidR="00755F09" w:rsidRPr="00631DE0">
        <w:rPr>
          <w:rFonts w:ascii="Times New Roman" w:eastAsia="Aptos" w:hAnsi="Times New Roman" w:cs="Times New Roman"/>
          <w:color w:val="000000" w:themeColor="text1"/>
          <w:sz w:val="24"/>
          <w:szCs w:val="24"/>
        </w:rPr>
        <w:t xml:space="preserve"> </w:t>
      </w:r>
      <w:r w:rsidR="0056687D" w:rsidRPr="00631DE0">
        <w:rPr>
          <w:rFonts w:ascii="Times New Roman" w:eastAsia="Aptos" w:hAnsi="Times New Roman" w:cs="Times New Roman"/>
          <w:color w:val="000000" w:themeColor="text1"/>
          <w:sz w:val="24"/>
          <w:szCs w:val="24"/>
        </w:rPr>
        <w:t xml:space="preserve">NGOs also disclose information through other mediums such as CSR reports, integrated reports, media releases, and websites. </w:t>
      </w:r>
      <w:r w:rsidR="003B0975" w:rsidRPr="00631DE0">
        <w:rPr>
          <w:rFonts w:ascii="Times New Roman" w:eastAsia="Aptos" w:hAnsi="Times New Roman" w:cs="Times New Roman"/>
          <w:color w:val="000000" w:themeColor="text1"/>
          <w:sz w:val="24"/>
          <w:szCs w:val="24"/>
        </w:rPr>
        <w:t>Therefore, f</w:t>
      </w:r>
      <w:r w:rsidR="0056687D" w:rsidRPr="00631DE0">
        <w:rPr>
          <w:rFonts w:ascii="Times New Roman" w:eastAsia="Aptos" w:hAnsi="Times New Roman" w:cs="Times New Roman"/>
          <w:color w:val="000000" w:themeColor="text1"/>
          <w:sz w:val="24"/>
          <w:szCs w:val="24"/>
        </w:rPr>
        <w:t>uture research may benefit from incorporating these additional sources to assess consistency of environmental reporting practices. Additionally, future studies could consider the use of algorithmic techniques, which have been shown to enhance analytical efficiency in small-sample research (Fisher &amp; Hall, 1991).</w:t>
      </w:r>
      <w:r w:rsidR="00BD0111" w:rsidRPr="00631DE0">
        <w:rPr>
          <w:rFonts w:ascii="Times New Roman" w:eastAsia="Aptos" w:hAnsi="Times New Roman" w:cs="Times New Roman"/>
          <w:color w:val="000000" w:themeColor="text1"/>
          <w:sz w:val="24"/>
          <w:szCs w:val="24"/>
        </w:rPr>
        <w:t xml:space="preserve"> Moreover, forthcoming studies might incorporate interview</w:t>
      </w:r>
      <w:r w:rsidR="00915D21" w:rsidRPr="00631DE0">
        <w:rPr>
          <w:rFonts w:ascii="Times New Roman" w:eastAsia="Aptos" w:hAnsi="Times New Roman" w:cs="Times New Roman"/>
          <w:color w:val="000000" w:themeColor="text1"/>
          <w:sz w:val="24"/>
          <w:szCs w:val="24"/>
        </w:rPr>
        <w:t xml:space="preserve"> method</w:t>
      </w:r>
      <w:r w:rsidR="00BD0111" w:rsidRPr="00631DE0">
        <w:rPr>
          <w:rFonts w:ascii="Times New Roman" w:eastAsia="Aptos" w:hAnsi="Times New Roman" w:cs="Times New Roman"/>
          <w:color w:val="000000" w:themeColor="text1"/>
          <w:sz w:val="24"/>
          <w:szCs w:val="24"/>
        </w:rPr>
        <w:t xml:space="preserve"> alongside quantitative data to enhance the robustness of the findings.</w:t>
      </w:r>
      <w:r w:rsidR="00915D21" w:rsidRPr="00631DE0">
        <w:rPr>
          <w:rFonts w:ascii="Times New Roman" w:eastAsia="Aptos" w:hAnsi="Times New Roman" w:cs="Times New Roman"/>
          <w:color w:val="000000" w:themeColor="text1"/>
          <w:sz w:val="24"/>
          <w:szCs w:val="24"/>
        </w:rPr>
        <w:t xml:space="preserve"> This may permeate scholars to understand factors behind quantitative findings (Morse, 2016).</w:t>
      </w:r>
      <w:r w:rsidR="00BD0111" w:rsidRPr="00631DE0">
        <w:rPr>
          <w:rFonts w:ascii="Times New Roman" w:eastAsia="Aptos" w:hAnsi="Times New Roman" w:cs="Times New Roman"/>
          <w:color w:val="000000" w:themeColor="text1"/>
          <w:sz w:val="24"/>
          <w:szCs w:val="24"/>
        </w:rPr>
        <w:t xml:space="preserve"> </w:t>
      </w:r>
      <w:r w:rsidR="00915D21" w:rsidRPr="00631DE0">
        <w:rPr>
          <w:rFonts w:ascii="Times New Roman" w:eastAsia="Aptos" w:hAnsi="Times New Roman" w:cs="Times New Roman"/>
          <w:color w:val="000000" w:themeColor="text1"/>
          <w:sz w:val="24"/>
          <w:szCs w:val="24"/>
        </w:rPr>
        <w:t xml:space="preserve">Also, </w:t>
      </w:r>
      <w:r w:rsidR="009D2B4F" w:rsidRPr="00631DE0">
        <w:rPr>
          <w:rFonts w:ascii="Times New Roman" w:eastAsia="Aptos" w:hAnsi="Times New Roman" w:cs="Times New Roman"/>
          <w:color w:val="000000" w:themeColor="text1"/>
          <w:sz w:val="24"/>
          <w:szCs w:val="24"/>
        </w:rPr>
        <w:t>future</w:t>
      </w:r>
      <w:r w:rsidR="00915D21" w:rsidRPr="00631DE0">
        <w:rPr>
          <w:rFonts w:ascii="Times New Roman" w:eastAsia="Aptos" w:hAnsi="Times New Roman" w:cs="Times New Roman"/>
          <w:color w:val="000000" w:themeColor="text1"/>
          <w:sz w:val="24"/>
          <w:szCs w:val="24"/>
        </w:rPr>
        <w:t xml:space="preserve"> research may carryout additional test in establishing</w:t>
      </w:r>
      <w:r w:rsidR="009D2B4F" w:rsidRPr="00631DE0">
        <w:rPr>
          <w:rFonts w:ascii="Times New Roman" w:eastAsia="Aptos" w:hAnsi="Times New Roman" w:cs="Times New Roman"/>
          <w:color w:val="000000" w:themeColor="text1"/>
          <w:sz w:val="24"/>
          <w:szCs w:val="24"/>
        </w:rPr>
        <w:t xml:space="preserve"> governance</w:t>
      </w:r>
      <w:r w:rsidR="00915D21" w:rsidRPr="00631DE0">
        <w:rPr>
          <w:rFonts w:ascii="Times New Roman" w:eastAsia="Aptos" w:hAnsi="Times New Roman" w:cs="Times New Roman"/>
          <w:color w:val="000000" w:themeColor="text1"/>
          <w:sz w:val="24"/>
          <w:szCs w:val="24"/>
        </w:rPr>
        <w:t xml:space="preserve"> factors driving internal facing and external facing environmental disclosure.</w:t>
      </w:r>
    </w:p>
    <w:p w14:paraId="7098ACFC" w14:textId="2F8052DA" w:rsidR="00E078EE" w:rsidRPr="00631DE0" w:rsidRDefault="00775F70" w:rsidP="00146467">
      <w:pPr>
        <w:spacing w:after="120" w:line="360" w:lineRule="auto"/>
        <w:ind w:firstLine="0"/>
        <w:rPr>
          <w:rFonts w:ascii="Times New Roman" w:eastAsia="Aptos" w:hAnsi="Times New Roman" w:cs="Times New Roman"/>
          <w:color w:val="000000" w:themeColor="text1"/>
          <w:sz w:val="24"/>
          <w:szCs w:val="24"/>
        </w:rPr>
      </w:pPr>
      <w:r w:rsidRPr="00631DE0">
        <w:rPr>
          <w:rFonts w:ascii="Times New Roman" w:eastAsia="Aptos" w:hAnsi="Times New Roman" w:cs="Times New Roman"/>
          <w:color w:val="000000" w:themeColor="text1"/>
          <w:sz w:val="24"/>
          <w:szCs w:val="24"/>
        </w:rPr>
        <w:t>Finally, the study’s limitations</w:t>
      </w:r>
      <w:r w:rsidR="003E7B78" w:rsidRPr="00631DE0">
        <w:rPr>
          <w:rFonts w:ascii="Times New Roman" w:eastAsia="Aptos" w:hAnsi="Times New Roman" w:cs="Times New Roman"/>
          <w:color w:val="000000" w:themeColor="text1"/>
          <w:sz w:val="24"/>
          <w:szCs w:val="24"/>
        </w:rPr>
        <w:t xml:space="preserve"> are introduced</w:t>
      </w:r>
      <w:r w:rsidRPr="00631DE0">
        <w:rPr>
          <w:rFonts w:ascii="Times New Roman" w:eastAsia="Aptos" w:hAnsi="Times New Roman" w:cs="Times New Roman"/>
          <w:color w:val="000000" w:themeColor="text1"/>
          <w:sz w:val="24"/>
          <w:szCs w:val="24"/>
        </w:rPr>
        <w:t xml:space="preserve">. </w:t>
      </w:r>
      <w:r w:rsidR="00B93A82" w:rsidRPr="00631DE0">
        <w:rPr>
          <w:rFonts w:ascii="Times New Roman" w:eastAsia="Aptos" w:hAnsi="Times New Roman" w:cs="Times New Roman"/>
          <w:color w:val="000000" w:themeColor="text1"/>
          <w:sz w:val="24"/>
          <w:szCs w:val="24"/>
        </w:rPr>
        <w:t>We select a 10</w:t>
      </w:r>
      <w:r w:rsidR="00343230" w:rsidRPr="00631DE0">
        <w:rPr>
          <w:rFonts w:ascii="Times New Roman" w:eastAsia="Aptos" w:hAnsi="Times New Roman" w:cs="Times New Roman"/>
          <w:color w:val="000000" w:themeColor="text1"/>
          <w:sz w:val="24"/>
          <w:szCs w:val="24"/>
        </w:rPr>
        <w:t>-</w:t>
      </w:r>
      <w:r w:rsidR="00B93A82" w:rsidRPr="00631DE0">
        <w:rPr>
          <w:rFonts w:ascii="Times New Roman" w:eastAsia="Aptos" w:hAnsi="Times New Roman" w:cs="Times New Roman"/>
          <w:color w:val="000000" w:themeColor="text1"/>
          <w:sz w:val="24"/>
          <w:szCs w:val="24"/>
        </w:rPr>
        <w:t xml:space="preserve">year period because to the best of our knowledge, no pervious study has investigated the extent to which </w:t>
      </w:r>
      <w:r w:rsidR="00D73AF6" w:rsidRPr="00631DE0">
        <w:rPr>
          <w:rFonts w:ascii="Times New Roman" w:eastAsia="Aptos" w:hAnsi="Times New Roman" w:cs="Times New Roman"/>
          <w:color w:val="000000" w:themeColor="text1"/>
          <w:sz w:val="24"/>
          <w:szCs w:val="24"/>
        </w:rPr>
        <w:t xml:space="preserve">NGO </w:t>
      </w:r>
      <w:r w:rsidR="00565FDC" w:rsidRPr="00631DE0">
        <w:rPr>
          <w:rFonts w:ascii="Times New Roman" w:eastAsia="Aptos" w:hAnsi="Times New Roman" w:cs="Times New Roman"/>
          <w:color w:val="000000" w:themeColor="text1"/>
          <w:sz w:val="24"/>
          <w:szCs w:val="24"/>
        </w:rPr>
        <w:t xml:space="preserve">environmental disclosure </w:t>
      </w:r>
      <w:r w:rsidR="003E7B78" w:rsidRPr="00631DE0">
        <w:rPr>
          <w:rFonts w:ascii="Times New Roman" w:eastAsia="Aptos" w:hAnsi="Times New Roman" w:cs="Times New Roman"/>
          <w:color w:val="000000" w:themeColor="text1"/>
          <w:sz w:val="24"/>
          <w:szCs w:val="24"/>
        </w:rPr>
        <w:t xml:space="preserve">practices </w:t>
      </w:r>
      <w:r w:rsidR="00565FDC" w:rsidRPr="00631DE0">
        <w:rPr>
          <w:rFonts w:ascii="Times New Roman" w:eastAsia="Aptos" w:hAnsi="Times New Roman" w:cs="Times New Roman"/>
          <w:color w:val="000000" w:themeColor="text1"/>
          <w:sz w:val="24"/>
          <w:szCs w:val="24"/>
        </w:rPr>
        <w:t>ha</w:t>
      </w:r>
      <w:r w:rsidR="003E7B78" w:rsidRPr="00631DE0">
        <w:rPr>
          <w:rFonts w:ascii="Times New Roman" w:eastAsia="Aptos" w:hAnsi="Times New Roman" w:cs="Times New Roman"/>
          <w:color w:val="000000" w:themeColor="text1"/>
          <w:sz w:val="24"/>
          <w:szCs w:val="24"/>
        </w:rPr>
        <w:t xml:space="preserve">ve changed </w:t>
      </w:r>
      <w:r w:rsidR="00565FDC" w:rsidRPr="00631DE0">
        <w:rPr>
          <w:rFonts w:ascii="Times New Roman" w:eastAsia="Aptos" w:hAnsi="Times New Roman" w:cs="Times New Roman"/>
          <w:color w:val="000000" w:themeColor="text1"/>
          <w:sz w:val="24"/>
          <w:szCs w:val="24"/>
        </w:rPr>
        <w:t xml:space="preserve">over the passage of time. </w:t>
      </w:r>
      <w:r w:rsidR="00B65B63" w:rsidRPr="00631DE0">
        <w:rPr>
          <w:rFonts w:ascii="Times New Roman" w:eastAsia="Aptos" w:hAnsi="Times New Roman" w:cs="Times New Roman"/>
          <w:color w:val="000000" w:themeColor="text1"/>
          <w:sz w:val="24"/>
          <w:szCs w:val="24"/>
        </w:rPr>
        <w:t xml:space="preserve">We also use </w:t>
      </w:r>
      <w:r w:rsidR="009231B0" w:rsidRPr="00631DE0">
        <w:rPr>
          <w:rFonts w:ascii="Times New Roman" w:eastAsia="Aptos" w:hAnsi="Times New Roman" w:cs="Times New Roman"/>
          <w:color w:val="000000" w:themeColor="text1"/>
          <w:sz w:val="24"/>
          <w:szCs w:val="24"/>
        </w:rPr>
        <w:t>a</w:t>
      </w:r>
      <w:r w:rsidR="00B65B63" w:rsidRPr="00631DE0">
        <w:rPr>
          <w:rFonts w:ascii="Times New Roman" w:eastAsia="Aptos" w:hAnsi="Times New Roman" w:cs="Times New Roman"/>
          <w:color w:val="000000" w:themeColor="text1"/>
          <w:sz w:val="24"/>
          <w:szCs w:val="24"/>
        </w:rPr>
        <w:t xml:space="preserve"> hand collected </w:t>
      </w:r>
      <w:r w:rsidR="00ED43E4" w:rsidRPr="00631DE0">
        <w:rPr>
          <w:rFonts w:ascii="Times New Roman" w:eastAsia="Aptos" w:hAnsi="Times New Roman" w:cs="Times New Roman"/>
          <w:color w:val="000000" w:themeColor="text1"/>
          <w:sz w:val="24"/>
          <w:szCs w:val="24"/>
        </w:rPr>
        <w:t>sample</w:t>
      </w:r>
      <w:r w:rsidR="00B65B63" w:rsidRPr="00631DE0">
        <w:rPr>
          <w:rFonts w:ascii="Times New Roman" w:eastAsia="Aptos" w:hAnsi="Times New Roman" w:cs="Times New Roman"/>
          <w:color w:val="000000" w:themeColor="text1"/>
          <w:sz w:val="24"/>
          <w:szCs w:val="24"/>
        </w:rPr>
        <w:t xml:space="preserve"> to </w:t>
      </w:r>
      <w:r w:rsidR="000009C0" w:rsidRPr="00631DE0">
        <w:rPr>
          <w:rFonts w:ascii="Times New Roman" w:eastAsia="Aptos" w:hAnsi="Times New Roman" w:cs="Times New Roman"/>
          <w:color w:val="000000" w:themeColor="text1"/>
          <w:sz w:val="24"/>
          <w:szCs w:val="24"/>
        </w:rPr>
        <w:t xml:space="preserve">provide nuance to our interpretations, specifically related to </w:t>
      </w:r>
      <w:r w:rsidR="00B65B63" w:rsidRPr="00631DE0">
        <w:rPr>
          <w:rFonts w:ascii="Times New Roman" w:eastAsia="Aptos" w:hAnsi="Times New Roman" w:cs="Times New Roman"/>
          <w:color w:val="000000" w:themeColor="text1"/>
          <w:sz w:val="24"/>
          <w:szCs w:val="24"/>
        </w:rPr>
        <w:t>internally</w:t>
      </w:r>
      <w:r w:rsidR="004114EE" w:rsidRPr="00631DE0">
        <w:rPr>
          <w:rFonts w:ascii="Times New Roman" w:eastAsia="Aptos" w:hAnsi="Times New Roman" w:cs="Times New Roman"/>
          <w:color w:val="000000" w:themeColor="text1"/>
          <w:sz w:val="24"/>
          <w:szCs w:val="24"/>
        </w:rPr>
        <w:t>/</w:t>
      </w:r>
      <w:r w:rsidR="00B65B63" w:rsidRPr="00631DE0">
        <w:rPr>
          <w:rFonts w:ascii="Times New Roman" w:eastAsia="Aptos" w:hAnsi="Times New Roman" w:cs="Times New Roman"/>
          <w:color w:val="000000" w:themeColor="text1"/>
          <w:sz w:val="24"/>
          <w:szCs w:val="24"/>
        </w:rPr>
        <w:t>externally facing</w:t>
      </w:r>
      <w:r w:rsidR="004114EE" w:rsidRPr="00631DE0">
        <w:rPr>
          <w:rFonts w:ascii="Times New Roman" w:eastAsia="Aptos" w:hAnsi="Times New Roman" w:cs="Times New Roman"/>
          <w:color w:val="000000" w:themeColor="text1"/>
          <w:sz w:val="24"/>
          <w:szCs w:val="24"/>
        </w:rPr>
        <w:t>, and OL – P/T</w:t>
      </w:r>
      <w:r w:rsidR="000009C0" w:rsidRPr="00631DE0">
        <w:rPr>
          <w:rFonts w:ascii="Times New Roman" w:eastAsia="Aptos" w:hAnsi="Times New Roman" w:cs="Times New Roman"/>
          <w:color w:val="000000" w:themeColor="text1"/>
          <w:sz w:val="24"/>
          <w:szCs w:val="24"/>
        </w:rPr>
        <w:t xml:space="preserve"> disclosures</w:t>
      </w:r>
      <w:r w:rsidR="00B65B63" w:rsidRPr="00631DE0">
        <w:rPr>
          <w:rFonts w:ascii="Times New Roman" w:eastAsia="Aptos" w:hAnsi="Times New Roman" w:cs="Times New Roman"/>
          <w:color w:val="000000" w:themeColor="text1"/>
          <w:sz w:val="24"/>
          <w:szCs w:val="24"/>
        </w:rPr>
        <w:t xml:space="preserve">. </w:t>
      </w:r>
      <w:r w:rsidR="00DF4FCE" w:rsidRPr="00631DE0">
        <w:rPr>
          <w:rFonts w:ascii="Times New Roman" w:eastAsia="Aptos" w:hAnsi="Times New Roman" w:cs="Times New Roman"/>
          <w:color w:val="000000" w:themeColor="text1"/>
          <w:sz w:val="24"/>
          <w:szCs w:val="24"/>
        </w:rPr>
        <w:t xml:space="preserve">Because </w:t>
      </w:r>
      <w:r w:rsidR="000009C0" w:rsidRPr="00631DE0">
        <w:rPr>
          <w:rFonts w:ascii="Times New Roman" w:eastAsia="Aptos" w:hAnsi="Times New Roman" w:cs="Times New Roman"/>
          <w:color w:val="000000" w:themeColor="text1"/>
          <w:sz w:val="24"/>
          <w:szCs w:val="24"/>
        </w:rPr>
        <w:t xml:space="preserve">of the time-consuming nature of </w:t>
      </w:r>
      <w:r w:rsidR="00DF4FCE" w:rsidRPr="00631DE0">
        <w:rPr>
          <w:rFonts w:ascii="Times New Roman" w:eastAsia="Aptos" w:hAnsi="Times New Roman" w:cs="Times New Roman"/>
          <w:color w:val="000000" w:themeColor="text1"/>
          <w:sz w:val="24"/>
          <w:szCs w:val="24"/>
        </w:rPr>
        <w:t xml:space="preserve">hand collecting data, we do not </w:t>
      </w:r>
      <w:r w:rsidR="000009C0" w:rsidRPr="00631DE0">
        <w:rPr>
          <w:rFonts w:ascii="Times New Roman" w:eastAsia="Aptos" w:hAnsi="Times New Roman" w:cs="Times New Roman"/>
          <w:color w:val="000000" w:themeColor="text1"/>
          <w:sz w:val="24"/>
          <w:szCs w:val="24"/>
        </w:rPr>
        <w:t xml:space="preserve">report on how </w:t>
      </w:r>
      <w:r w:rsidR="00AE0971" w:rsidRPr="00631DE0">
        <w:rPr>
          <w:rFonts w:ascii="Times New Roman" w:eastAsia="Aptos" w:hAnsi="Times New Roman" w:cs="Times New Roman"/>
          <w:color w:val="000000" w:themeColor="text1"/>
          <w:sz w:val="24"/>
          <w:szCs w:val="24"/>
        </w:rPr>
        <w:t>disclosures may change</w:t>
      </w:r>
      <w:r w:rsidR="00DF4FCE" w:rsidRPr="00631DE0">
        <w:rPr>
          <w:rFonts w:ascii="Times New Roman" w:eastAsia="Aptos" w:hAnsi="Times New Roman" w:cs="Times New Roman"/>
          <w:color w:val="000000" w:themeColor="text1"/>
          <w:sz w:val="24"/>
          <w:szCs w:val="24"/>
        </w:rPr>
        <w:t xml:space="preserve"> on </w:t>
      </w:r>
      <w:r w:rsidR="005679BF" w:rsidRPr="00631DE0">
        <w:rPr>
          <w:rFonts w:ascii="Times New Roman" w:eastAsia="Aptos" w:hAnsi="Times New Roman" w:cs="Times New Roman"/>
          <w:color w:val="000000" w:themeColor="text1"/>
          <w:sz w:val="24"/>
          <w:szCs w:val="24"/>
        </w:rPr>
        <w:t>a year-on-year basis</w:t>
      </w:r>
      <w:r w:rsidR="00F8787E" w:rsidRPr="00631DE0">
        <w:rPr>
          <w:rFonts w:ascii="Times New Roman" w:eastAsia="Aptos" w:hAnsi="Times New Roman" w:cs="Times New Roman"/>
          <w:color w:val="000000" w:themeColor="text1"/>
          <w:sz w:val="24"/>
          <w:szCs w:val="24"/>
        </w:rPr>
        <w:t xml:space="preserve">. Future studies may use AI and machine learning to </w:t>
      </w:r>
      <w:r w:rsidR="005679BF" w:rsidRPr="00631DE0">
        <w:rPr>
          <w:rFonts w:ascii="Times New Roman" w:eastAsia="Aptos" w:hAnsi="Times New Roman" w:cs="Times New Roman"/>
          <w:color w:val="000000" w:themeColor="text1"/>
          <w:sz w:val="24"/>
          <w:szCs w:val="24"/>
        </w:rPr>
        <w:t xml:space="preserve">investigate </w:t>
      </w:r>
      <w:r w:rsidR="003D3FD2" w:rsidRPr="00631DE0">
        <w:rPr>
          <w:rFonts w:ascii="Times New Roman" w:eastAsia="Aptos" w:hAnsi="Times New Roman" w:cs="Times New Roman"/>
          <w:color w:val="000000" w:themeColor="text1"/>
          <w:sz w:val="24"/>
          <w:szCs w:val="24"/>
        </w:rPr>
        <w:t>the extent to which</w:t>
      </w:r>
      <w:r w:rsidR="00160184" w:rsidRPr="00631DE0">
        <w:rPr>
          <w:rFonts w:ascii="Times New Roman" w:eastAsia="Aptos" w:hAnsi="Times New Roman" w:cs="Times New Roman"/>
          <w:color w:val="000000" w:themeColor="text1"/>
          <w:sz w:val="24"/>
          <w:szCs w:val="24"/>
        </w:rPr>
        <w:t xml:space="preserve"> environmental</w:t>
      </w:r>
      <w:r w:rsidR="00A403A4" w:rsidRPr="00631DE0">
        <w:rPr>
          <w:rFonts w:ascii="Times New Roman" w:eastAsia="Aptos" w:hAnsi="Times New Roman" w:cs="Times New Roman"/>
          <w:color w:val="000000" w:themeColor="text1"/>
          <w:sz w:val="24"/>
          <w:szCs w:val="24"/>
        </w:rPr>
        <w:t xml:space="preserve"> disclosures change</w:t>
      </w:r>
      <w:r w:rsidR="00160184" w:rsidRPr="00631DE0">
        <w:rPr>
          <w:rFonts w:ascii="Times New Roman" w:eastAsia="Aptos" w:hAnsi="Times New Roman" w:cs="Times New Roman"/>
          <w:color w:val="000000" w:themeColor="text1"/>
          <w:sz w:val="24"/>
          <w:szCs w:val="24"/>
        </w:rPr>
        <w:t xml:space="preserve"> </w:t>
      </w:r>
      <w:r w:rsidR="00C274CE" w:rsidRPr="00631DE0">
        <w:rPr>
          <w:rFonts w:ascii="Times New Roman" w:eastAsia="Aptos" w:hAnsi="Times New Roman" w:cs="Times New Roman"/>
          <w:color w:val="000000" w:themeColor="text1"/>
          <w:sz w:val="24"/>
          <w:szCs w:val="24"/>
        </w:rPr>
        <w:t xml:space="preserve">on a year-on-year basis. </w:t>
      </w:r>
      <w:r w:rsidR="003D3FD2" w:rsidRPr="00631DE0">
        <w:rPr>
          <w:rFonts w:ascii="Times New Roman" w:eastAsia="Aptos" w:hAnsi="Times New Roman" w:cs="Times New Roman"/>
          <w:color w:val="000000" w:themeColor="text1"/>
          <w:sz w:val="24"/>
          <w:szCs w:val="24"/>
        </w:rPr>
        <w:t xml:space="preserve">However, as explained previously, </w:t>
      </w:r>
      <w:r w:rsidR="006E15B8" w:rsidRPr="00631DE0">
        <w:rPr>
          <w:rFonts w:ascii="Times New Roman" w:eastAsia="Aptos" w:hAnsi="Times New Roman" w:cs="Times New Roman"/>
          <w:color w:val="000000" w:themeColor="text1"/>
          <w:sz w:val="24"/>
          <w:szCs w:val="24"/>
        </w:rPr>
        <w:t>AI and machine learning ha</w:t>
      </w:r>
      <w:r w:rsidR="003820DD" w:rsidRPr="00631DE0">
        <w:rPr>
          <w:rFonts w:ascii="Times New Roman" w:eastAsia="Aptos" w:hAnsi="Times New Roman" w:cs="Times New Roman"/>
          <w:color w:val="000000" w:themeColor="text1"/>
          <w:sz w:val="24"/>
          <w:szCs w:val="24"/>
        </w:rPr>
        <w:t>s a</w:t>
      </w:r>
      <w:r w:rsidR="006E15B8" w:rsidRPr="00631DE0">
        <w:rPr>
          <w:rFonts w:ascii="Times New Roman" w:eastAsia="Aptos" w:hAnsi="Times New Roman" w:cs="Times New Roman"/>
          <w:color w:val="000000" w:themeColor="text1"/>
          <w:sz w:val="24"/>
          <w:szCs w:val="24"/>
        </w:rPr>
        <w:t xml:space="preserve"> caveat, in the sense that any keyword included on </w:t>
      </w:r>
      <w:r w:rsidR="00D27FEE" w:rsidRPr="00631DE0">
        <w:rPr>
          <w:rFonts w:ascii="Times New Roman" w:eastAsia="Aptos" w:hAnsi="Times New Roman" w:cs="Times New Roman"/>
          <w:color w:val="000000" w:themeColor="text1"/>
          <w:sz w:val="24"/>
          <w:szCs w:val="24"/>
        </w:rPr>
        <w:t xml:space="preserve">the list would be recognised as an </w:t>
      </w:r>
      <w:r w:rsidR="006E15B8" w:rsidRPr="00631DE0">
        <w:rPr>
          <w:rFonts w:ascii="Times New Roman" w:eastAsia="Aptos" w:hAnsi="Times New Roman" w:cs="Times New Roman"/>
          <w:color w:val="000000" w:themeColor="text1"/>
          <w:sz w:val="24"/>
          <w:szCs w:val="24"/>
        </w:rPr>
        <w:t>occurrence</w:t>
      </w:r>
      <w:r w:rsidR="00D27FEE" w:rsidRPr="00631DE0">
        <w:rPr>
          <w:rFonts w:ascii="Times New Roman" w:eastAsia="Aptos" w:hAnsi="Times New Roman" w:cs="Times New Roman"/>
          <w:color w:val="000000" w:themeColor="text1"/>
          <w:sz w:val="24"/>
          <w:szCs w:val="24"/>
        </w:rPr>
        <w:t>/observation, regardless of context.</w:t>
      </w:r>
      <w:r w:rsidR="006E15B8" w:rsidRPr="00631DE0">
        <w:rPr>
          <w:rFonts w:ascii="Times New Roman" w:eastAsia="Aptos" w:hAnsi="Times New Roman" w:cs="Times New Roman"/>
          <w:color w:val="000000" w:themeColor="text1"/>
          <w:sz w:val="24"/>
          <w:szCs w:val="24"/>
        </w:rPr>
        <w:t xml:space="preserve"> </w:t>
      </w:r>
      <w:r w:rsidR="00321036" w:rsidRPr="00631DE0">
        <w:rPr>
          <w:rFonts w:ascii="Times New Roman" w:eastAsia="Aptos" w:hAnsi="Times New Roman" w:cs="Times New Roman"/>
          <w:color w:val="000000" w:themeColor="text1"/>
          <w:sz w:val="24"/>
          <w:szCs w:val="24"/>
        </w:rPr>
        <w:t xml:space="preserve">Moreover, </w:t>
      </w:r>
      <w:r w:rsidR="00133599" w:rsidRPr="00631DE0">
        <w:rPr>
          <w:rFonts w:ascii="Times New Roman" w:eastAsia="Aptos" w:hAnsi="Times New Roman" w:cs="Times New Roman"/>
          <w:color w:val="000000" w:themeColor="text1"/>
          <w:sz w:val="24"/>
          <w:szCs w:val="24"/>
        </w:rPr>
        <w:t xml:space="preserve">our sample consists of 35 out of the largest 50 NGOs in the UK. Results may be different for smaller NGOs, or </w:t>
      </w:r>
      <w:r w:rsidR="00A2460B" w:rsidRPr="00631DE0">
        <w:rPr>
          <w:rFonts w:ascii="Times New Roman" w:eastAsia="Aptos" w:hAnsi="Times New Roman" w:cs="Times New Roman"/>
          <w:color w:val="000000" w:themeColor="text1"/>
          <w:sz w:val="24"/>
          <w:szCs w:val="24"/>
        </w:rPr>
        <w:t>NGOs based in less</w:t>
      </w:r>
      <w:r w:rsidR="00133599" w:rsidRPr="00631DE0">
        <w:rPr>
          <w:rFonts w:ascii="Times New Roman" w:eastAsia="Aptos" w:hAnsi="Times New Roman" w:cs="Times New Roman"/>
          <w:color w:val="000000" w:themeColor="text1"/>
          <w:sz w:val="24"/>
          <w:szCs w:val="24"/>
        </w:rPr>
        <w:t xml:space="preserve"> developed countries. </w:t>
      </w:r>
      <w:r w:rsidR="00A2460B" w:rsidRPr="00631DE0">
        <w:rPr>
          <w:rFonts w:ascii="Times New Roman" w:eastAsia="Aptos" w:hAnsi="Times New Roman" w:cs="Times New Roman"/>
          <w:color w:val="000000" w:themeColor="text1"/>
          <w:sz w:val="24"/>
          <w:szCs w:val="24"/>
        </w:rPr>
        <w:t>Future studies may investigate whether NGO size, location</w:t>
      </w:r>
      <w:r w:rsidR="001D620B" w:rsidRPr="00631DE0">
        <w:rPr>
          <w:rFonts w:ascii="Times New Roman" w:eastAsia="Aptos" w:hAnsi="Times New Roman" w:cs="Times New Roman"/>
          <w:color w:val="000000" w:themeColor="text1"/>
          <w:sz w:val="24"/>
          <w:szCs w:val="24"/>
        </w:rPr>
        <w:t xml:space="preserve"> or</w:t>
      </w:r>
      <w:r w:rsidR="00A2460B" w:rsidRPr="00631DE0">
        <w:rPr>
          <w:rFonts w:ascii="Times New Roman" w:eastAsia="Aptos" w:hAnsi="Times New Roman" w:cs="Times New Roman"/>
          <w:color w:val="000000" w:themeColor="text1"/>
          <w:sz w:val="24"/>
          <w:szCs w:val="24"/>
        </w:rPr>
        <w:t xml:space="preserve"> </w:t>
      </w:r>
      <w:r w:rsidR="008270E0" w:rsidRPr="00631DE0">
        <w:rPr>
          <w:rFonts w:ascii="Times New Roman" w:eastAsia="Aptos" w:hAnsi="Times New Roman" w:cs="Times New Roman"/>
          <w:color w:val="000000" w:themeColor="text1"/>
          <w:sz w:val="24"/>
          <w:szCs w:val="24"/>
        </w:rPr>
        <w:t xml:space="preserve">funding, </w:t>
      </w:r>
      <w:r w:rsidR="008270E0" w:rsidRPr="00631DE0">
        <w:rPr>
          <w:rFonts w:ascii="Times New Roman" w:eastAsia="Aptos" w:hAnsi="Times New Roman" w:cs="Times New Roman"/>
          <w:color w:val="000000" w:themeColor="text1"/>
          <w:sz w:val="24"/>
          <w:szCs w:val="24"/>
        </w:rPr>
        <w:lastRenderedPageBreak/>
        <w:t>can have an intervening effect on environmental disclosure quality.</w:t>
      </w:r>
      <w:r w:rsidR="00C7137B" w:rsidRPr="00631DE0">
        <w:rPr>
          <w:rFonts w:ascii="Times New Roman" w:eastAsia="Aptos" w:hAnsi="Times New Roman" w:cs="Times New Roman"/>
          <w:color w:val="000000" w:themeColor="text1"/>
          <w:sz w:val="24"/>
          <w:szCs w:val="24"/>
        </w:rPr>
        <w:t xml:space="preserve"> </w:t>
      </w:r>
      <w:r w:rsidR="007B5843" w:rsidRPr="00631DE0">
        <w:rPr>
          <w:rFonts w:ascii="Times New Roman" w:eastAsia="Aptos" w:hAnsi="Times New Roman" w:cs="Times New Roman"/>
          <w:color w:val="000000" w:themeColor="text1"/>
          <w:sz w:val="24"/>
          <w:szCs w:val="24"/>
        </w:rPr>
        <w:t>Besides, we use a single theoretical framework</w:t>
      </w:r>
      <w:r w:rsidR="00E078EE" w:rsidRPr="00631DE0">
        <w:rPr>
          <w:rFonts w:ascii="Times New Roman" w:eastAsia="Aptos" w:hAnsi="Times New Roman" w:cs="Times New Roman"/>
          <w:color w:val="000000" w:themeColor="text1"/>
          <w:sz w:val="24"/>
          <w:szCs w:val="24"/>
        </w:rPr>
        <w:t xml:space="preserve"> which may not explain all features that motivate NGOs to engage on environmental disclosure. Thus, </w:t>
      </w:r>
      <w:r w:rsidR="007B5843" w:rsidRPr="00631DE0">
        <w:rPr>
          <w:rFonts w:ascii="Times New Roman" w:eastAsia="Aptos" w:hAnsi="Times New Roman" w:cs="Times New Roman"/>
          <w:color w:val="000000" w:themeColor="text1"/>
          <w:sz w:val="24"/>
          <w:szCs w:val="24"/>
        </w:rPr>
        <w:t xml:space="preserve">future </w:t>
      </w:r>
      <w:r w:rsidR="00E078EE" w:rsidRPr="00631DE0">
        <w:rPr>
          <w:rFonts w:ascii="Times New Roman" w:eastAsia="Aptos" w:hAnsi="Times New Roman" w:cs="Times New Roman"/>
          <w:color w:val="000000" w:themeColor="text1"/>
          <w:sz w:val="24"/>
          <w:szCs w:val="24"/>
        </w:rPr>
        <w:t>studies</w:t>
      </w:r>
      <w:r w:rsidR="007B5843" w:rsidRPr="00631DE0">
        <w:rPr>
          <w:rFonts w:ascii="Times New Roman" w:eastAsia="Aptos" w:hAnsi="Times New Roman" w:cs="Times New Roman"/>
          <w:color w:val="000000" w:themeColor="text1"/>
          <w:sz w:val="24"/>
          <w:szCs w:val="24"/>
        </w:rPr>
        <w:t xml:space="preserve"> </w:t>
      </w:r>
      <w:r w:rsidR="00E078EE" w:rsidRPr="00631DE0">
        <w:rPr>
          <w:rFonts w:ascii="Times New Roman" w:eastAsia="Aptos" w:hAnsi="Times New Roman" w:cs="Times New Roman"/>
          <w:color w:val="000000" w:themeColor="text1"/>
          <w:sz w:val="24"/>
          <w:szCs w:val="24"/>
        </w:rPr>
        <w:t>can use multi-theoretical framework such as</w:t>
      </w:r>
      <w:r w:rsidR="007B5843" w:rsidRPr="00631DE0">
        <w:rPr>
          <w:rFonts w:ascii="Times New Roman" w:eastAsia="Aptos" w:hAnsi="Times New Roman" w:cs="Times New Roman"/>
          <w:color w:val="000000" w:themeColor="text1"/>
          <w:sz w:val="24"/>
          <w:szCs w:val="24"/>
        </w:rPr>
        <w:t xml:space="preserve"> </w:t>
      </w:r>
      <w:r w:rsidR="00572AFA" w:rsidRPr="00631DE0">
        <w:rPr>
          <w:rFonts w:ascii="Times New Roman" w:eastAsia="Aptos" w:hAnsi="Times New Roman" w:cs="Times New Roman"/>
          <w:color w:val="000000" w:themeColor="text1"/>
          <w:sz w:val="24"/>
          <w:szCs w:val="24"/>
        </w:rPr>
        <w:t xml:space="preserve"> combining </w:t>
      </w:r>
      <w:r w:rsidR="00E078EE" w:rsidRPr="00631DE0">
        <w:rPr>
          <w:rFonts w:ascii="Times New Roman" w:eastAsia="Aptos" w:hAnsi="Times New Roman" w:cs="Times New Roman"/>
          <w:color w:val="000000" w:themeColor="text1"/>
          <w:sz w:val="24"/>
          <w:szCs w:val="24"/>
        </w:rPr>
        <w:t>social contract theory or stakeholder</w:t>
      </w:r>
      <w:r w:rsidR="00572AFA" w:rsidRPr="00631DE0">
        <w:rPr>
          <w:rFonts w:ascii="Times New Roman" w:eastAsia="Aptos" w:hAnsi="Times New Roman" w:cs="Times New Roman"/>
          <w:color w:val="000000" w:themeColor="text1"/>
          <w:sz w:val="24"/>
          <w:szCs w:val="24"/>
        </w:rPr>
        <w:t xml:space="preserve"> theory</w:t>
      </w:r>
      <w:r w:rsidR="00E078EE" w:rsidRPr="00631DE0">
        <w:rPr>
          <w:rFonts w:ascii="Times New Roman" w:eastAsia="Aptos" w:hAnsi="Times New Roman" w:cs="Times New Roman"/>
          <w:color w:val="000000" w:themeColor="text1"/>
          <w:sz w:val="24"/>
          <w:szCs w:val="24"/>
        </w:rPr>
        <w:t>, with</w:t>
      </w:r>
      <w:r w:rsidR="00572AFA" w:rsidRPr="00631DE0">
        <w:rPr>
          <w:rFonts w:ascii="Times New Roman" w:eastAsia="Aptos" w:hAnsi="Times New Roman" w:cs="Times New Roman"/>
          <w:color w:val="000000" w:themeColor="text1"/>
          <w:sz w:val="24"/>
          <w:szCs w:val="24"/>
        </w:rPr>
        <w:t xml:space="preserve"> the</w:t>
      </w:r>
      <w:r w:rsidR="00E078EE" w:rsidRPr="00631DE0">
        <w:rPr>
          <w:rFonts w:ascii="Times New Roman" w:eastAsia="Aptos" w:hAnsi="Times New Roman" w:cs="Times New Roman"/>
          <w:color w:val="000000" w:themeColor="text1"/>
          <w:sz w:val="24"/>
          <w:szCs w:val="24"/>
        </w:rPr>
        <w:t xml:space="preserve"> legitimacy theory to improve understanding of factors that drive NGOs environmental reporting.</w:t>
      </w:r>
    </w:p>
    <w:p w14:paraId="126D9016" w14:textId="77777777" w:rsidR="00161C7E" w:rsidRPr="00631DE0" w:rsidRDefault="00161C7E" w:rsidP="00146467">
      <w:pPr>
        <w:spacing w:after="120" w:line="360" w:lineRule="auto"/>
        <w:ind w:firstLine="0"/>
        <w:rPr>
          <w:rFonts w:ascii="Times New Roman" w:eastAsia="Aptos" w:hAnsi="Times New Roman" w:cs="Times New Roman"/>
          <w:color w:val="000000" w:themeColor="text1"/>
          <w:sz w:val="24"/>
          <w:szCs w:val="24"/>
        </w:rPr>
      </w:pPr>
    </w:p>
    <w:p w14:paraId="1A66888C" w14:textId="77777777" w:rsidR="00161C7E" w:rsidRPr="00631DE0" w:rsidRDefault="00161C7E" w:rsidP="00146467">
      <w:pPr>
        <w:spacing w:after="120" w:line="360" w:lineRule="auto"/>
        <w:ind w:firstLine="0"/>
        <w:rPr>
          <w:rFonts w:ascii="Times New Roman" w:eastAsia="Aptos" w:hAnsi="Times New Roman" w:cs="Times New Roman"/>
          <w:color w:val="000000" w:themeColor="text1"/>
          <w:sz w:val="24"/>
          <w:szCs w:val="24"/>
        </w:rPr>
      </w:pPr>
    </w:p>
    <w:p w14:paraId="173949BB" w14:textId="77777777" w:rsidR="00161C7E" w:rsidRPr="00631DE0" w:rsidRDefault="00161C7E" w:rsidP="00146467">
      <w:pPr>
        <w:spacing w:after="120" w:line="360" w:lineRule="auto"/>
        <w:ind w:firstLine="0"/>
        <w:rPr>
          <w:rFonts w:ascii="Times New Roman" w:eastAsia="Aptos" w:hAnsi="Times New Roman" w:cs="Times New Roman"/>
          <w:color w:val="000000" w:themeColor="text1"/>
          <w:sz w:val="24"/>
          <w:szCs w:val="24"/>
        </w:rPr>
      </w:pPr>
    </w:p>
    <w:p w14:paraId="7A0C6921" w14:textId="77777777" w:rsidR="00497972" w:rsidRPr="00631DE0" w:rsidRDefault="00497972" w:rsidP="00146467">
      <w:pPr>
        <w:spacing w:after="120" w:line="360" w:lineRule="auto"/>
        <w:ind w:firstLine="0"/>
        <w:rPr>
          <w:rFonts w:ascii="Times New Roman" w:eastAsia="Aptos" w:hAnsi="Times New Roman" w:cs="Times New Roman"/>
          <w:color w:val="000000" w:themeColor="text1"/>
          <w:sz w:val="24"/>
          <w:szCs w:val="24"/>
        </w:rPr>
      </w:pPr>
    </w:p>
    <w:p w14:paraId="6EC8848C" w14:textId="77777777" w:rsidR="00497972" w:rsidRPr="00631DE0" w:rsidRDefault="00497972" w:rsidP="00146467">
      <w:pPr>
        <w:spacing w:after="120" w:line="360" w:lineRule="auto"/>
        <w:ind w:firstLine="0"/>
        <w:rPr>
          <w:rFonts w:ascii="Times New Roman" w:eastAsia="Aptos" w:hAnsi="Times New Roman" w:cs="Times New Roman"/>
          <w:color w:val="000000" w:themeColor="text1"/>
          <w:sz w:val="24"/>
          <w:szCs w:val="24"/>
        </w:rPr>
      </w:pPr>
    </w:p>
    <w:p w14:paraId="7DC76198" w14:textId="77777777" w:rsidR="00497972" w:rsidRPr="00631DE0" w:rsidRDefault="00497972" w:rsidP="00146467">
      <w:pPr>
        <w:spacing w:after="120" w:line="360" w:lineRule="auto"/>
        <w:ind w:firstLine="0"/>
        <w:rPr>
          <w:rFonts w:ascii="Times New Roman" w:eastAsia="Aptos" w:hAnsi="Times New Roman" w:cs="Times New Roman"/>
          <w:color w:val="000000" w:themeColor="text1"/>
          <w:sz w:val="24"/>
          <w:szCs w:val="24"/>
        </w:rPr>
      </w:pPr>
    </w:p>
    <w:p w14:paraId="19D714AC" w14:textId="77777777" w:rsidR="00497972" w:rsidRPr="00631DE0" w:rsidRDefault="00497972" w:rsidP="00146467">
      <w:pPr>
        <w:spacing w:after="120" w:line="360" w:lineRule="auto"/>
        <w:ind w:firstLine="0"/>
        <w:rPr>
          <w:rFonts w:ascii="Times New Roman" w:eastAsia="Aptos" w:hAnsi="Times New Roman" w:cs="Times New Roman"/>
          <w:color w:val="000000" w:themeColor="text1"/>
          <w:sz w:val="24"/>
          <w:szCs w:val="24"/>
        </w:rPr>
      </w:pPr>
    </w:p>
    <w:p w14:paraId="2DEF761A" w14:textId="77777777" w:rsidR="00497972" w:rsidRPr="00631DE0" w:rsidRDefault="00497972" w:rsidP="00146467">
      <w:pPr>
        <w:spacing w:after="120" w:line="360" w:lineRule="auto"/>
        <w:ind w:firstLine="0"/>
        <w:rPr>
          <w:rFonts w:ascii="Times New Roman" w:eastAsia="Aptos" w:hAnsi="Times New Roman" w:cs="Times New Roman"/>
          <w:color w:val="000000" w:themeColor="text1"/>
          <w:sz w:val="24"/>
          <w:szCs w:val="24"/>
        </w:rPr>
      </w:pPr>
    </w:p>
    <w:p w14:paraId="0C579CB5" w14:textId="77777777" w:rsidR="00497972" w:rsidRPr="00631DE0" w:rsidRDefault="00497972" w:rsidP="00146467">
      <w:pPr>
        <w:spacing w:after="120" w:line="360" w:lineRule="auto"/>
        <w:ind w:firstLine="0"/>
        <w:rPr>
          <w:rFonts w:ascii="Times New Roman" w:eastAsia="Aptos" w:hAnsi="Times New Roman" w:cs="Times New Roman"/>
          <w:color w:val="000000" w:themeColor="text1"/>
          <w:sz w:val="24"/>
          <w:szCs w:val="24"/>
        </w:rPr>
      </w:pPr>
    </w:p>
    <w:p w14:paraId="26F413AA" w14:textId="77777777" w:rsidR="00497972" w:rsidRPr="00631DE0" w:rsidRDefault="00497972" w:rsidP="00146467">
      <w:pPr>
        <w:spacing w:after="120" w:line="360" w:lineRule="auto"/>
        <w:ind w:firstLine="0"/>
        <w:rPr>
          <w:rFonts w:ascii="Times New Roman" w:eastAsia="Aptos" w:hAnsi="Times New Roman" w:cs="Times New Roman"/>
          <w:color w:val="000000" w:themeColor="text1"/>
          <w:sz w:val="24"/>
          <w:szCs w:val="24"/>
        </w:rPr>
      </w:pPr>
    </w:p>
    <w:p w14:paraId="5DA77EDC" w14:textId="77777777" w:rsidR="00497972" w:rsidRDefault="00497972" w:rsidP="00146467">
      <w:pPr>
        <w:spacing w:after="120" w:line="360" w:lineRule="auto"/>
        <w:ind w:firstLine="0"/>
        <w:rPr>
          <w:rFonts w:ascii="Times New Roman" w:eastAsia="Aptos" w:hAnsi="Times New Roman" w:cs="Times New Roman"/>
          <w:color w:val="000000" w:themeColor="text1"/>
          <w:sz w:val="24"/>
          <w:szCs w:val="24"/>
        </w:rPr>
      </w:pPr>
    </w:p>
    <w:p w14:paraId="315E4253" w14:textId="77777777" w:rsidR="00C041F6" w:rsidRDefault="00C041F6" w:rsidP="00146467">
      <w:pPr>
        <w:spacing w:after="120" w:line="360" w:lineRule="auto"/>
        <w:ind w:firstLine="0"/>
        <w:rPr>
          <w:rFonts w:ascii="Times New Roman" w:eastAsia="Aptos" w:hAnsi="Times New Roman" w:cs="Times New Roman"/>
          <w:color w:val="000000" w:themeColor="text1"/>
          <w:sz w:val="24"/>
          <w:szCs w:val="24"/>
        </w:rPr>
      </w:pPr>
    </w:p>
    <w:p w14:paraId="4B4BA5D6" w14:textId="77777777" w:rsidR="00C041F6" w:rsidRDefault="00C041F6" w:rsidP="00146467">
      <w:pPr>
        <w:spacing w:after="120" w:line="360" w:lineRule="auto"/>
        <w:ind w:firstLine="0"/>
        <w:rPr>
          <w:rFonts w:ascii="Times New Roman" w:eastAsia="Aptos" w:hAnsi="Times New Roman" w:cs="Times New Roman"/>
          <w:color w:val="000000" w:themeColor="text1"/>
          <w:sz w:val="24"/>
          <w:szCs w:val="24"/>
        </w:rPr>
      </w:pPr>
    </w:p>
    <w:p w14:paraId="2649CB61" w14:textId="77777777" w:rsidR="00C041F6" w:rsidRDefault="00C041F6" w:rsidP="00146467">
      <w:pPr>
        <w:spacing w:after="120" w:line="360" w:lineRule="auto"/>
        <w:ind w:firstLine="0"/>
        <w:rPr>
          <w:rFonts w:ascii="Times New Roman" w:eastAsia="Aptos" w:hAnsi="Times New Roman" w:cs="Times New Roman"/>
          <w:color w:val="000000" w:themeColor="text1"/>
          <w:sz w:val="24"/>
          <w:szCs w:val="24"/>
        </w:rPr>
      </w:pPr>
    </w:p>
    <w:p w14:paraId="3C3B520B" w14:textId="77777777" w:rsidR="00C041F6" w:rsidRDefault="00C041F6" w:rsidP="00146467">
      <w:pPr>
        <w:spacing w:after="120" w:line="360" w:lineRule="auto"/>
        <w:ind w:firstLine="0"/>
        <w:rPr>
          <w:rFonts w:ascii="Times New Roman" w:eastAsia="Aptos" w:hAnsi="Times New Roman" w:cs="Times New Roman"/>
          <w:color w:val="000000" w:themeColor="text1"/>
          <w:sz w:val="24"/>
          <w:szCs w:val="24"/>
        </w:rPr>
      </w:pPr>
    </w:p>
    <w:p w14:paraId="792C9B3B" w14:textId="77777777" w:rsidR="00C041F6" w:rsidRDefault="00C041F6" w:rsidP="00146467">
      <w:pPr>
        <w:spacing w:after="120" w:line="360" w:lineRule="auto"/>
        <w:ind w:firstLine="0"/>
        <w:rPr>
          <w:rFonts w:ascii="Times New Roman" w:eastAsia="Aptos" w:hAnsi="Times New Roman" w:cs="Times New Roman"/>
          <w:color w:val="000000" w:themeColor="text1"/>
          <w:sz w:val="24"/>
          <w:szCs w:val="24"/>
        </w:rPr>
      </w:pPr>
    </w:p>
    <w:p w14:paraId="33CE9469" w14:textId="77777777" w:rsidR="00C041F6" w:rsidRDefault="00C041F6" w:rsidP="00146467">
      <w:pPr>
        <w:spacing w:after="120" w:line="360" w:lineRule="auto"/>
        <w:ind w:firstLine="0"/>
        <w:rPr>
          <w:rFonts w:ascii="Times New Roman" w:eastAsia="Aptos" w:hAnsi="Times New Roman" w:cs="Times New Roman"/>
          <w:color w:val="000000" w:themeColor="text1"/>
          <w:sz w:val="24"/>
          <w:szCs w:val="24"/>
        </w:rPr>
      </w:pPr>
    </w:p>
    <w:p w14:paraId="1EF810DD" w14:textId="77777777" w:rsidR="00C041F6" w:rsidRDefault="00C041F6" w:rsidP="00146467">
      <w:pPr>
        <w:spacing w:after="120" w:line="360" w:lineRule="auto"/>
        <w:ind w:firstLine="0"/>
        <w:rPr>
          <w:rFonts w:ascii="Times New Roman" w:eastAsia="Aptos" w:hAnsi="Times New Roman" w:cs="Times New Roman"/>
          <w:color w:val="000000" w:themeColor="text1"/>
          <w:sz w:val="24"/>
          <w:szCs w:val="24"/>
        </w:rPr>
      </w:pPr>
    </w:p>
    <w:p w14:paraId="7C3C4F9D" w14:textId="77777777" w:rsidR="00C041F6" w:rsidRDefault="00C041F6" w:rsidP="00146467">
      <w:pPr>
        <w:spacing w:after="120" w:line="360" w:lineRule="auto"/>
        <w:ind w:firstLine="0"/>
        <w:rPr>
          <w:rFonts w:ascii="Times New Roman" w:eastAsia="Aptos" w:hAnsi="Times New Roman" w:cs="Times New Roman"/>
          <w:color w:val="000000" w:themeColor="text1"/>
          <w:sz w:val="24"/>
          <w:szCs w:val="24"/>
        </w:rPr>
      </w:pPr>
    </w:p>
    <w:p w14:paraId="50C46928" w14:textId="77777777" w:rsidR="00C041F6" w:rsidRDefault="00C041F6" w:rsidP="00146467">
      <w:pPr>
        <w:spacing w:after="120" w:line="360" w:lineRule="auto"/>
        <w:ind w:firstLine="0"/>
        <w:rPr>
          <w:rFonts w:ascii="Times New Roman" w:eastAsia="Aptos" w:hAnsi="Times New Roman" w:cs="Times New Roman"/>
          <w:color w:val="000000" w:themeColor="text1"/>
          <w:sz w:val="24"/>
          <w:szCs w:val="24"/>
        </w:rPr>
      </w:pPr>
    </w:p>
    <w:p w14:paraId="6FD012E7" w14:textId="77777777" w:rsidR="00C041F6" w:rsidRDefault="00C041F6" w:rsidP="00146467">
      <w:pPr>
        <w:spacing w:after="120" w:line="360" w:lineRule="auto"/>
        <w:ind w:firstLine="0"/>
        <w:rPr>
          <w:rFonts w:ascii="Times New Roman" w:eastAsia="Aptos" w:hAnsi="Times New Roman" w:cs="Times New Roman"/>
          <w:color w:val="000000" w:themeColor="text1"/>
          <w:sz w:val="24"/>
          <w:szCs w:val="24"/>
        </w:rPr>
      </w:pPr>
    </w:p>
    <w:p w14:paraId="7B5E4F1C" w14:textId="77777777" w:rsidR="00C041F6" w:rsidRDefault="00C041F6" w:rsidP="00146467">
      <w:pPr>
        <w:spacing w:after="120" w:line="360" w:lineRule="auto"/>
        <w:ind w:firstLine="0"/>
        <w:rPr>
          <w:rFonts w:ascii="Times New Roman" w:eastAsia="Aptos" w:hAnsi="Times New Roman" w:cs="Times New Roman"/>
          <w:color w:val="000000" w:themeColor="text1"/>
          <w:sz w:val="24"/>
          <w:szCs w:val="24"/>
        </w:rPr>
      </w:pPr>
    </w:p>
    <w:p w14:paraId="5B8EEBED" w14:textId="77777777" w:rsidR="00C041F6" w:rsidRDefault="00C041F6" w:rsidP="00146467">
      <w:pPr>
        <w:spacing w:after="120" w:line="360" w:lineRule="auto"/>
        <w:ind w:firstLine="0"/>
        <w:rPr>
          <w:rFonts w:ascii="Times New Roman" w:eastAsia="Aptos" w:hAnsi="Times New Roman" w:cs="Times New Roman"/>
          <w:color w:val="000000" w:themeColor="text1"/>
          <w:sz w:val="24"/>
          <w:szCs w:val="24"/>
        </w:rPr>
      </w:pPr>
    </w:p>
    <w:p w14:paraId="3A836BBA" w14:textId="494A3738" w:rsidR="005B5BE8" w:rsidRPr="00631DE0" w:rsidRDefault="00C264E8" w:rsidP="00171628">
      <w:pPr>
        <w:suppressAutoHyphens/>
        <w:autoSpaceDN w:val="0"/>
        <w:spacing w:after="120" w:line="276" w:lineRule="auto"/>
        <w:jc w:val="center"/>
        <w:textAlignment w:val="baseline"/>
        <w:rPr>
          <w:rFonts w:ascii="Times New Roman" w:eastAsia="Calibri" w:hAnsi="Times New Roman" w:cs="Times New Roman"/>
          <w:b/>
          <w:bCs/>
          <w:color w:val="000000" w:themeColor="text1"/>
          <w:sz w:val="24"/>
          <w:szCs w:val="24"/>
        </w:rPr>
      </w:pPr>
      <w:r w:rsidRPr="00631DE0">
        <w:rPr>
          <w:rFonts w:ascii="Times New Roman" w:eastAsia="Calibri" w:hAnsi="Times New Roman" w:cs="Times New Roman"/>
          <w:b/>
          <w:bCs/>
          <w:color w:val="000000" w:themeColor="text1"/>
          <w:sz w:val="24"/>
          <w:szCs w:val="24"/>
        </w:rPr>
        <w:t>References</w:t>
      </w:r>
    </w:p>
    <w:p w14:paraId="392F6685" w14:textId="4EBB45B1" w:rsidR="0067642C" w:rsidRPr="00631DE0" w:rsidRDefault="00C94C31" w:rsidP="00171628">
      <w:pPr>
        <w:suppressAutoHyphens/>
        <w:autoSpaceDN w:val="0"/>
        <w:spacing w:after="120" w:line="276" w:lineRule="auto"/>
        <w:ind w:firstLine="0"/>
        <w:textAlignment w:val="baseline"/>
        <w:rPr>
          <w:rFonts w:ascii="Times New Roman" w:hAnsi="Times New Roman"/>
          <w:color w:val="000000" w:themeColor="text1"/>
          <w:sz w:val="24"/>
          <w:szCs w:val="24"/>
        </w:rPr>
      </w:pPr>
      <w:r w:rsidRPr="00631DE0">
        <w:rPr>
          <w:rFonts w:ascii="Times New Roman" w:hAnsi="Times New Roman"/>
          <w:color w:val="000000" w:themeColor="text1"/>
          <w:sz w:val="24"/>
          <w:szCs w:val="24"/>
        </w:rPr>
        <w:t>Agyemang, G., O’Dwyer, B.</w:t>
      </w:r>
      <w:r w:rsidR="00303435" w:rsidRPr="00631DE0">
        <w:rPr>
          <w:rFonts w:ascii="Times New Roman" w:hAnsi="Times New Roman"/>
          <w:color w:val="000000" w:themeColor="text1"/>
          <w:sz w:val="24"/>
          <w:szCs w:val="24"/>
        </w:rPr>
        <w:t>,</w:t>
      </w:r>
      <w:r w:rsidRPr="00631DE0">
        <w:rPr>
          <w:rFonts w:ascii="Times New Roman" w:hAnsi="Times New Roman"/>
          <w:color w:val="000000" w:themeColor="text1"/>
          <w:sz w:val="24"/>
          <w:szCs w:val="24"/>
        </w:rPr>
        <w:t xml:space="preserve"> Unerman, J. (2019) “NGO accountability: retrospective and prospective academic contributions”, </w:t>
      </w:r>
      <w:r w:rsidRPr="00631DE0">
        <w:rPr>
          <w:rFonts w:ascii="Times New Roman" w:hAnsi="Times New Roman"/>
          <w:i/>
          <w:iCs/>
          <w:color w:val="000000" w:themeColor="text1"/>
          <w:sz w:val="24"/>
          <w:szCs w:val="24"/>
        </w:rPr>
        <w:t>Accounting, Auditing and Accountability Journal</w:t>
      </w:r>
      <w:r w:rsidRPr="00631DE0">
        <w:rPr>
          <w:rFonts w:ascii="Times New Roman" w:hAnsi="Times New Roman"/>
          <w:color w:val="000000" w:themeColor="text1"/>
          <w:sz w:val="24"/>
          <w:szCs w:val="24"/>
        </w:rPr>
        <w:t>, 32</w:t>
      </w:r>
      <w:r w:rsidR="00303435" w:rsidRPr="00631DE0">
        <w:rPr>
          <w:rFonts w:ascii="Times New Roman" w:hAnsi="Times New Roman"/>
          <w:color w:val="000000" w:themeColor="text1"/>
          <w:sz w:val="24"/>
          <w:szCs w:val="24"/>
        </w:rPr>
        <w:t xml:space="preserve"> (8),</w:t>
      </w:r>
      <w:r w:rsidRPr="00631DE0">
        <w:rPr>
          <w:rFonts w:ascii="Times New Roman" w:hAnsi="Times New Roman"/>
          <w:color w:val="000000" w:themeColor="text1"/>
          <w:sz w:val="24"/>
          <w:szCs w:val="24"/>
        </w:rPr>
        <w:t xml:space="preserve"> pp. 2353-2366.</w:t>
      </w:r>
    </w:p>
    <w:p w14:paraId="5AF507B6" w14:textId="2A84CE74" w:rsidR="00F95F82" w:rsidRPr="00631DE0" w:rsidRDefault="00F95F82" w:rsidP="00171628">
      <w:pPr>
        <w:suppressAutoHyphens/>
        <w:autoSpaceDN w:val="0"/>
        <w:spacing w:after="120" w:line="276" w:lineRule="auto"/>
        <w:ind w:firstLine="0"/>
        <w:textAlignment w:val="baseline"/>
        <w:rPr>
          <w:rFonts w:ascii="Times New Roman" w:hAnsi="Times New Roman"/>
          <w:color w:val="000000" w:themeColor="text1"/>
          <w:sz w:val="24"/>
          <w:szCs w:val="24"/>
        </w:rPr>
      </w:pPr>
      <w:r w:rsidRPr="00631DE0">
        <w:rPr>
          <w:rFonts w:ascii="Times New Roman" w:hAnsi="Times New Roman"/>
          <w:color w:val="000000" w:themeColor="text1"/>
          <w:sz w:val="24"/>
          <w:szCs w:val="24"/>
        </w:rPr>
        <w:t xml:space="preserve">Agyemang, G., Awumbila, M., Unerman, J., O'Dwyer, B. (2009) </w:t>
      </w:r>
      <w:r w:rsidRPr="00631DE0">
        <w:rPr>
          <w:rFonts w:ascii="Times New Roman" w:hAnsi="Times New Roman"/>
          <w:i/>
          <w:iCs/>
          <w:color w:val="000000" w:themeColor="text1"/>
          <w:sz w:val="24"/>
          <w:szCs w:val="24"/>
        </w:rPr>
        <w:t>NGO accountability and aid delivery.</w:t>
      </w:r>
      <w:r w:rsidR="00421269" w:rsidRPr="00631DE0">
        <w:rPr>
          <w:rFonts w:ascii="Times New Roman" w:hAnsi="Times New Roman"/>
          <w:i/>
          <w:iCs/>
          <w:color w:val="000000" w:themeColor="text1"/>
          <w:sz w:val="24"/>
          <w:szCs w:val="24"/>
        </w:rPr>
        <w:t xml:space="preserve"> </w:t>
      </w:r>
      <w:r w:rsidRPr="00631DE0">
        <w:rPr>
          <w:rFonts w:ascii="Times New Roman" w:hAnsi="Times New Roman"/>
          <w:color w:val="000000" w:themeColor="text1"/>
          <w:sz w:val="24"/>
          <w:szCs w:val="24"/>
        </w:rPr>
        <w:t>London</w:t>
      </w:r>
      <w:r w:rsidR="00421269" w:rsidRPr="00631DE0">
        <w:rPr>
          <w:rFonts w:ascii="Times New Roman" w:hAnsi="Times New Roman"/>
          <w:color w:val="000000" w:themeColor="text1"/>
          <w:sz w:val="24"/>
          <w:szCs w:val="24"/>
        </w:rPr>
        <w:t>: Association of Chartered Certified Accountants (ACCA).</w:t>
      </w:r>
    </w:p>
    <w:p w14:paraId="01ED7E21" w14:textId="3178231B" w:rsidR="00991C42" w:rsidRPr="00631DE0" w:rsidRDefault="00991C42"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Al-Bassam, W. M., Ntim, C. G., Opong, K., Downs, Y. (2018) ‘Corporate boards and ownership structure as antecedents of corporate governance disclosure in Saudi Arabian publicly listed corporations’, </w:t>
      </w:r>
      <w:r w:rsidRPr="00631DE0">
        <w:rPr>
          <w:rFonts w:ascii="Times New Roman" w:hAnsi="Times New Roman" w:cs="Times New Roman"/>
          <w:i/>
          <w:iCs/>
          <w:color w:val="000000" w:themeColor="text1"/>
          <w:sz w:val="24"/>
          <w:szCs w:val="24"/>
        </w:rPr>
        <w:t>Business &amp; Society</w:t>
      </w:r>
      <w:r w:rsidRPr="00631DE0">
        <w:rPr>
          <w:rFonts w:ascii="Times New Roman" w:hAnsi="Times New Roman" w:cs="Times New Roman"/>
          <w:color w:val="000000" w:themeColor="text1"/>
          <w:sz w:val="24"/>
          <w:szCs w:val="24"/>
        </w:rPr>
        <w:t>, 57(2), 335-377.</w:t>
      </w:r>
    </w:p>
    <w:p w14:paraId="1ED3A2B1" w14:textId="3E3BCCD3" w:rsidR="00DF2399" w:rsidRPr="00631DE0" w:rsidRDefault="00DF2399" w:rsidP="00171628">
      <w:pPr>
        <w:suppressAutoHyphens/>
        <w:autoSpaceDN w:val="0"/>
        <w:spacing w:after="120" w:line="276" w:lineRule="auto"/>
        <w:ind w:firstLine="0"/>
        <w:textAlignment w:val="baseline"/>
        <w:rPr>
          <w:color w:val="000000" w:themeColor="text1"/>
        </w:rPr>
      </w:pPr>
      <w:r w:rsidRPr="00631DE0">
        <w:rPr>
          <w:rFonts w:ascii="Times New Roman" w:hAnsi="Times New Roman" w:cs="Times New Roman"/>
          <w:color w:val="000000" w:themeColor="text1"/>
          <w:sz w:val="24"/>
          <w:szCs w:val="24"/>
        </w:rPr>
        <w:t>Albitar, K., Al-Shaer, H., Liu, S. (2023)</w:t>
      </w:r>
      <w:r w:rsidR="00421269"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Corporate commitment to climate change: The effect of eco-innovation and climate governance</w:t>
      </w:r>
      <w:r w:rsidR="00421269"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Research Policy</w:t>
      </w:r>
      <w:r w:rsidRPr="00631DE0">
        <w:rPr>
          <w:rFonts w:ascii="Times New Roman" w:hAnsi="Times New Roman" w:cs="Times New Roman"/>
          <w:color w:val="000000" w:themeColor="text1"/>
          <w:sz w:val="24"/>
          <w:szCs w:val="24"/>
        </w:rPr>
        <w:t>, 52(2), 104697.</w:t>
      </w:r>
      <w:r w:rsidRPr="00631DE0">
        <w:rPr>
          <w:color w:val="000000" w:themeColor="text1"/>
        </w:rPr>
        <w:t xml:space="preserve"> </w:t>
      </w:r>
    </w:p>
    <w:p w14:paraId="43E69749" w14:textId="0FABE6E2" w:rsidR="00515A34" w:rsidRPr="00631DE0" w:rsidRDefault="00515A34"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shd w:val="clear" w:color="auto" w:fill="FFFFFF"/>
        </w:rPr>
        <w:t>Almond, R.E., Grooten, M., Peterson, T. (2020) </w:t>
      </w:r>
      <w:r w:rsidRPr="00631DE0">
        <w:rPr>
          <w:rFonts w:ascii="Times New Roman" w:hAnsi="Times New Roman" w:cs="Times New Roman"/>
          <w:i/>
          <w:iCs/>
          <w:color w:val="000000" w:themeColor="text1"/>
          <w:sz w:val="24"/>
          <w:szCs w:val="24"/>
          <w:shd w:val="clear" w:color="auto" w:fill="FFFFFF"/>
        </w:rPr>
        <w:t>Living Planet Report 2020-Bending the curve of biodiversity loss</w:t>
      </w:r>
      <w:r w:rsidRPr="00631DE0">
        <w:rPr>
          <w:rFonts w:ascii="Times New Roman" w:hAnsi="Times New Roman" w:cs="Times New Roman"/>
          <w:color w:val="000000" w:themeColor="text1"/>
          <w:sz w:val="24"/>
          <w:szCs w:val="24"/>
          <w:shd w:val="clear" w:color="auto" w:fill="FFFFFF"/>
        </w:rPr>
        <w:t>. World Wildlife Fund.</w:t>
      </w:r>
    </w:p>
    <w:p w14:paraId="302869C6" w14:textId="4A2ADD02" w:rsidR="00AE1CB1" w:rsidRPr="00631DE0" w:rsidRDefault="00AE1CB1"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A</w:t>
      </w:r>
      <w:r w:rsidR="00421269" w:rsidRPr="00631DE0">
        <w:rPr>
          <w:rFonts w:ascii="Times New Roman" w:hAnsi="Times New Roman" w:cs="Times New Roman"/>
          <w:color w:val="000000" w:themeColor="text1"/>
          <w:sz w:val="24"/>
          <w:szCs w:val="24"/>
        </w:rPr>
        <w:t>nheier</w:t>
      </w:r>
      <w:r w:rsidRPr="00631DE0">
        <w:rPr>
          <w:rFonts w:ascii="Times New Roman" w:hAnsi="Times New Roman" w:cs="Times New Roman"/>
          <w:color w:val="000000" w:themeColor="text1"/>
          <w:sz w:val="24"/>
          <w:szCs w:val="24"/>
        </w:rPr>
        <w:t xml:space="preserve">, K. (2014) </w:t>
      </w:r>
      <w:r w:rsidRPr="00631DE0">
        <w:rPr>
          <w:rFonts w:ascii="Times New Roman" w:hAnsi="Times New Roman" w:cs="Times New Roman"/>
          <w:i/>
          <w:iCs/>
          <w:color w:val="000000" w:themeColor="text1"/>
          <w:sz w:val="24"/>
          <w:szCs w:val="24"/>
        </w:rPr>
        <w:t>Nonprofit organizations: Theory, management, policy</w:t>
      </w:r>
      <w:r w:rsidRPr="00631DE0">
        <w:rPr>
          <w:rFonts w:ascii="Times New Roman" w:hAnsi="Times New Roman" w:cs="Times New Roman"/>
          <w:color w:val="000000" w:themeColor="text1"/>
          <w:sz w:val="24"/>
          <w:szCs w:val="24"/>
        </w:rPr>
        <w:t>. Routledge.</w:t>
      </w:r>
    </w:p>
    <w:p w14:paraId="7B28A1D6" w14:textId="241C1958" w:rsidR="00295DFB" w:rsidRPr="00631DE0" w:rsidRDefault="00295DFB" w:rsidP="00171628">
      <w:pPr>
        <w:suppressAutoHyphens/>
        <w:autoSpaceDN w:val="0"/>
        <w:spacing w:after="120" w:line="276" w:lineRule="auto"/>
        <w:ind w:firstLine="0"/>
        <w:textAlignment w:val="baseline"/>
        <w:rPr>
          <w:rFonts w:ascii="Times New Roman" w:hAnsi="Times New Roman"/>
          <w:color w:val="000000" w:themeColor="text1"/>
          <w:sz w:val="24"/>
          <w:szCs w:val="24"/>
        </w:rPr>
      </w:pPr>
      <w:r w:rsidRPr="00631DE0">
        <w:rPr>
          <w:rFonts w:ascii="Times New Roman" w:hAnsi="Times New Roman"/>
          <w:color w:val="000000" w:themeColor="text1"/>
          <w:sz w:val="24"/>
          <w:szCs w:val="24"/>
        </w:rPr>
        <w:t>Alsaeed, K. (2006)</w:t>
      </w:r>
      <w:r w:rsidR="00421269" w:rsidRPr="00631DE0">
        <w:rPr>
          <w:rFonts w:ascii="Times New Roman" w:hAnsi="Times New Roman"/>
          <w:color w:val="000000" w:themeColor="text1"/>
          <w:sz w:val="24"/>
          <w:szCs w:val="24"/>
        </w:rPr>
        <w:t xml:space="preserve"> ‘</w:t>
      </w:r>
      <w:r w:rsidRPr="00631DE0">
        <w:rPr>
          <w:rFonts w:ascii="Times New Roman" w:hAnsi="Times New Roman"/>
          <w:color w:val="000000" w:themeColor="text1"/>
          <w:sz w:val="24"/>
          <w:szCs w:val="24"/>
        </w:rPr>
        <w:t>The association between firm-specific characteristics and disclosure: The case of Saudi Arabia</w:t>
      </w:r>
      <w:r w:rsidR="00421269" w:rsidRPr="00631DE0">
        <w:rPr>
          <w:rFonts w:ascii="Times New Roman" w:hAnsi="Times New Roman"/>
          <w:color w:val="000000" w:themeColor="text1"/>
          <w:sz w:val="24"/>
          <w:szCs w:val="24"/>
        </w:rPr>
        <w:t>’,</w:t>
      </w:r>
      <w:r w:rsidRPr="00631DE0">
        <w:rPr>
          <w:rFonts w:ascii="Times New Roman" w:hAnsi="Times New Roman"/>
          <w:color w:val="000000" w:themeColor="text1"/>
          <w:sz w:val="24"/>
          <w:szCs w:val="24"/>
        </w:rPr>
        <w:t xml:space="preserve"> </w:t>
      </w:r>
      <w:r w:rsidRPr="00631DE0">
        <w:rPr>
          <w:rFonts w:ascii="Times New Roman" w:hAnsi="Times New Roman"/>
          <w:i/>
          <w:iCs/>
          <w:color w:val="000000" w:themeColor="text1"/>
          <w:sz w:val="24"/>
          <w:szCs w:val="24"/>
        </w:rPr>
        <w:t>Managerial Auditing Journal</w:t>
      </w:r>
      <w:r w:rsidRPr="00631DE0">
        <w:rPr>
          <w:rFonts w:ascii="Times New Roman" w:hAnsi="Times New Roman"/>
          <w:color w:val="000000" w:themeColor="text1"/>
          <w:sz w:val="24"/>
          <w:szCs w:val="24"/>
        </w:rPr>
        <w:t>, 21(5),</w:t>
      </w:r>
      <w:r w:rsidR="00421269" w:rsidRPr="00631DE0">
        <w:rPr>
          <w:rFonts w:ascii="Times New Roman" w:hAnsi="Times New Roman"/>
          <w:color w:val="000000" w:themeColor="text1"/>
          <w:sz w:val="24"/>
          <w:szCs w:val="24"/>
        </w:rPr>
        <w:t xml:space="preserve"> pp.</w:t>
      </w:r>
      <w:r w:rsidRPr="00631DE0">
        <w:rPr>
          <w:rFonts w:ascii="Times New Roman" w:hAnsi="Times New Roman"/>
          <w:color w:val="000000" w:themeColor="text1"/>
          <w:sz w:val="24"/>
          <w:szCs w:val="24"/>
        </w:rPr>
        <w:t xml:space="preserve"> 476–496</w:t>
      </w:r>
    </w:p>
    <w:p w14:paraId="5073023F" w14:textId="57894DC1" w:rsidR="0067642C" w:rsidRPr="00631DE0" w:rsidRDefault="00323F4E" w:rsidP="00171628">
      <w:pPr>
        <w:suppressAutoHyphens/>
        <w:autoSpaceDN w:val="0"/>
        <w:spacing w:after="120" w:line="276" w:lineRule="auto"/>
        <w:ind w:firstLine="0"/>
        <w:textAlignment w:val="baseline"/>
        <w:rPr>
          <w:rFonts w:ascii="Times New Roman" w:hAnsi="Times New Roman"/>
          <w:color w:val="000000" w:themeColor="text1"/>
          <w:sz w:val="24"/>
          <w:szCs w:val="24"/>
        </w:rPr>
      </w:pPr>
      <w:r w:rsidRPr="00631DE0">
        <w:rPr>
          <w:rFonts w:ascii="Times New Roman" w:hAnsi="Times New Roman"/>
          <w:color w:val="000000" w:themeColor="text1"/>
          <w:sz w:val="24"/>
          <w:szCs w:val="24"/>
        </w:rPr>
        <w:t>Andrews, R.</w:t>
      </w:r>
      <w:r w:rsidR="00421269" w:rsidRPr="00631DE0">
        <w:rPr>
          <w:rFonts w:ascii="Times New Roman" w:hAnsi="Times New Roman"/>
          <w:color w:val="000000" w:themeColor="text1"/>
          <w:sz w:val="24"/>
          <w:szCs w:val="24"/>
        </w:rPr>
        <w:t xml:space="preserve"> (</w:t>
      </w:r>
      <w:r w:rsidRPr="00631DE0">
        <w:rPr>
          <w:rFonts w:ascii="Times New Roman" w:hAnsi="Times New Roman"/>
          <w:color w:val="000000" w:themeColor="text1"/>
          <w:sz w:val="24"/>
          <w:szCs w:val="24"/>
        </w:rPr>
        <w:t>2024</w:t>
      </w:r>
      <w:r w:rsidR="00421269" w:rsidRPr="00631DE0">
        <w:rPr>
          <w:rFonts w:ascii="Times New Roman" w:hAnsi="Times New Roman"/>
          <w:color w:val="000000" w:themeColor="text1"/>
          <w:sz w:val="24"/>
          <w:szCs w:val="24"/>
        </w:rPr>
        <w:t>) ‘</w:t>
      </w:r>
      <w:r w:rsidRPr="00631DE0">
        <w:rPr>
          <w:rFonts w:ascii="Times New Roman" w:hAnsi="Times New Roman"/>
          <w:color w:val="000000" w:themeColor="text1"/>
          <w:sz w:val="24"/>
          <w:szCs w:val="24"/>
        </w:rPr>
        <w:t>Board gender diversity in municipally owned corporations: A resource dependence perspective</w:t>
      </w:r>
      <w:r w:rsidR="00421269" w:rsidRPr="00631DE0">
        <w:rPr>
          <w:rFonts w:ascii="Times New Roman" w:hAnsi="Times New Roman"/>
          <w:color w:val="000000" w:themeColor="text1"/>
          <w:sz w:val="24"/>
          <w:szCs w:val="24"/>
        </w:rPr>
        <w:t xml:space="preserve">’, </w:t>
      </w:r>
      <w:r w:rsidR="00421269" w:rsidRPr="00631DE0">
        <w:rPr>
          <w:rFonts w:ascii="Times New Roman" w:hAnsi="Times New Roman"/>
          <w:i/>
          <w:iCs/>
          <w:color w:val="000000" w:themeColor="text1"/>
          <w:sz w:val="24"/>
          <w:szCs w:val="24"/>
        </w:rPr>
        <w:t>International Review of Administrative Sciences</w:t>
      </w:r>
      <w:r w:rsidR="00421269" w:rsidRPr="00631DE0">
        <w:rPr>
          <w:rFonts w:ascii="Times New Roman" w:hAnsi="Times New Roman"/>
          <w:color w:val="000000" w:themeColor="text1"/>
          <w:sz w:val="24"/>
          <w:szCs w:val="24"/>
        </w:rPr>
        <w:t>, p.0020852341264 59.</w:t>
      </w:r>
    </w:p>
    <w:p w14:paraId="3FDE2262" w14:textId="248D1A65" w:rsidR="00BF458E" w:rsidRPr="00631DE0" w:rsidRDefault="00BF458E" w:rsidP="00171628">
      <w:pPr>
        <w:suppressAutoHyphens/>
        <w:autoSpaceDN w:val="0"/>
        <w:spacing w:after="120" w:line="276" w:lineRule="auto"/>
        <w:ind w:firstLine="0"/>
        <w:textAlignment w:val="baseline"/>
        <w:rPr>
          <w:rFonts w:ascii="Times New Roman" w:hAnsi="Times New Roman"/>
          <w:color w:val="000000" w:themeColor="text1"/>
          <w:sz w:val="24"/>
          <w:szCs w:val="24"/>
        </w:rPr>
      </w:pPr>
      <w:r w:rsidRPr="00631DE0">
        <w:rPr>
          <w:rFonts w:ascii="Times New Roman" w:hAnsi="Times New Roman"/>
          <w:color w:val="000000" w:themeColor="text1"/>
          <w:sz w:val="24"/>
          <w:szCs w:val="24"/>
        </w:rPr>
        <w:t>An, Y., Davey, H., Harun, H., Jin, Z., Qiao, X.</w:t>
      </w:r>
      <w:r w:rsidR="009853E9" w:rsidRPr="00631DE0">
        <w:rPr>
          <w:rFonts w:ascii="Times New Roman" w:hAnsi="Times New Roman"/>
          <w:color w:val="000000" w:themeColor="text1"/>
          <w:sz w:val="24"/>
          <w:szCs w:val="24"/>
        </w:rPr>
        <w:t>, Yu</w:t>
      </w:r>
      <w:r w:rsidRPr="00631DE0">
        <w:rPr>
          <w:rFonts w:ascii="Times New Roman" w:hAnsi="Times New Roman"/>
          <w:color w:val="000000" w:themeColor="text1"/>
          <w:sz w:val="24"/>
          <w:szCs w:val="24"/>
        </w:rPr>
        <w:t>, Q. (2019)</w:t>
      </w:r>
      <w:r w:rsidR="00BB0C97" w:rsidRPr="00631DE0">
        <w:rPr>
          <w:rFonts w:ascii="Times New Roman" w:hAnsi="Times New Roman"/>
          <w:color w:val="000000" w:themeColor="text1"/>
          <w:sz w:val="24"/>
          <w:szCs w:val="24"/>
        </w:rPr>
        <w:t xml:space="preserve"> ‘</w:t>
      </w:r>
      <w:r w:rsidRPr="00631DE0">
        <w:rPr>
          <w:rFonts w:ascii="Times New Roman" w:hAnsi="Times New Roman"/>
          <w:color w:val="000000" w:themeColor="text1"/>
          <w:sz w:val="24"/>
          <w:szCs w:val="24"/>
        </w:rPr>
        <w:t>Online sustainability reporting at</w:t>
      </w:r>
      <w:r w:rsidR="00BB0C97" w:rsidRPr="00631DE0">
        <w:rPr>
          <w:rFonts w:ascii="Times New Roman" w:hAnsi="Times New Roman"/>
          <w:color w:val="000000" w:themeColor="text1"/>
          <w:sz w:val="24"/>
          <w:szCs w:val="24"/>
        </w:rPr>
        <w:t xml:space="preserve"> the</w:t>
      </w:r>
      <w:r w:rsidRPr="00631DE0">
        <w:rPr>
          <w:rFonts w:ascii="Times New Roman" w:hAnsi="Times New Roman"/>
          <w:color w:val="000000" w:themeColor="text1"/>
          <w:sz w:val="24"/>
          <w:szCs w:val="24"/>
        </w:rPr>
        <w:t xml:space="preserve"> universities: The case of Hong Kong</w:t>
      </w:r>
      <w:r w:rsidR="00BB0C97" w:rsidRPr="00631DE0">
        <w:rPr>
          <w:rFonts w:ascii="Times New Roman" w:hAnsi="Times New Roman"/>
          <w:color w:val="000000" w:themeColor="text1"/>
          <w:sz w:val="24"/>
          <w:szCs w:val="24"/>
        </w:rPr>
        <w:t>’,</w:t>
      </w:r>
      <w:r w:rsidRPr="00631DE0">
        <w:rPr>
          <w:rFonts w:ascii="Times New Roman" w:hAnsi="Times New Roman"/>
          <w:color w:val="000000" w:themeColor="text1"/>
          <w:sz w:val="24"/>
          <w:szCs w:val="24"/>
        </w:rPr>
        <w:t xml:space="preserve"> </w:t>
      </w:r>
      <w:r w:rsidRPr="00631DE0">
        <w:rPr>
          <w:rFonts w:ascii="Times New Roman" w:hAnsi="Times New Roman"/>
          <w:i/>
          <w:iCs/>
          <w:color w:val="000000" w:themeColor="text1"/>
          <w:sz w:val="24"/>
          <w:szCs w:val="24"/>
        </w:rPr>
        <w:t>Sustainability Accounting</w:t>
      </w:r>
      <w:r w:rsidR="00BB0C97" w:rsidRPr="00631DE0">
        <w:rPr>
          <w:rFonts w:ascii="Times New Roman" w:hAnsi="Times New Roman"/>
          <w:i/>
          <w:iCs/>
          <w:color w:val="000000" w:themeColor="text1"/>
          <w:sz w:val="24"/>
          <w:szCs w:val="24"/>
        </w:rPr>
        <w:t xml:space="preserve"> </w:t>
      </w:r>
      <w:r w:rsidRPr="00631DE0">
        <w:rPr>
          <w:rFonts w:ascii="Times New Roman" w:hAnsi="Times New Roman"/>
          <w:i/>
          <w:iCs/>
          <w:color w:val="000000" w:themeColor="text1"/>
          <w:sz w:val="24"/>
          <w:szCs w:val="24"/>
        </w:rPr>
        <w:t>Management and Policy</w:t>
      </w:r>
      <w:r w:rsidRPr="00631DE0">
        <w:rPr>
          <w:rFonts w:ascii="Times New Roman" w:hAnsi="Times New Roman"/>
          <w:color w:val="000000" w:themeColor="text1"/>
          <w:sz w:val="24"/>
          <w:szCs w:val="24"/>
        </w:rPr>
        <w:t xml:space="preserve"> </w:t>
      </w:r>
      <w:r w:rsidRPr="00631DE0">
        <w:rPr>
          <w:rFonts w:ascii="Times New Roman" w:hAnsi="Times New Roman"/>
          <w:i/>
          <w:iCs/>
          <w:color w:val="000000" w:themeColor="text1"/>
          <w:sz w:val="24"/>
          <w:szCs w:val="24"/>
        </w:rPr>
        <w:t>Journal</w:t>
      </w:r>
      <w:r w:rsidRPr="00631DE0">
        <w:rPr>
          <w:rFonts w:ascii="Times New Roman" w:hAnsi="Times New Roman"/>
          <w:color w:val="000000" w:themeColor="text1"/>
          <w:sz w:val="24"/>
          <w:szCs w:val="24"/>
        </w:rPr>
        <w:t>, 11(5),</w:t>
      </w:r>
      <w:r w:rsidR="00BB0C97" w:rsidRPr="00631DE0">
        <w:rPr>
          <w:rFonts w:ascii="Times New Roman" w:hAnsi="Times New Roman"/>
          <w:color w:val="000000" w:themeColor="text1"/>
          <w:sz w:val="24"/>
          <w:szCs w:val="24"/>
        </w:rPr>
        <w:t xml:space="preserve"> pp.</w:t>
      </w:r>
      <w:r w:rsidRPr="00631DE0">
        <w:rPr>
          <w:rFonts w:ascii="Times New Roman" w:hAnsi="Times New Roman"/>
          <w:color w:val="000000" w:themeColor="text1"/>
          <w:sz w:val="24"/>
          <w:szCs w:val="24"/>
        </w:rPr>
        <w:t xml:space="preserve"> 887–901.</w:t>
      </w:r>
    </w:p>
    <w:p w14:paraId="64642C18" w14:textId="722F5A59" w:rsidR="0077040E" w:rsidRPr="00631DE0" w:rsidRDefault="0077040E"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Aragon, F., Oteiza, F., Rud, P. (2021) </w:t>
      </w:r>
      <w:r w:rsidR="00BB0C9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Climate change and agriculture: Subsistence farmers' response to extreme heat</w:t>
      </w:r>
      <w:r w:rsidR="00BB0C9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American Journal</w:t>
      </w:r>
      <w:r w:rsidR="00BB0C97" w:rsidRPr="00631DE0">
        <w:rPr>
          <w:rFonts w:ascii="Times New Roman" w:hAnsi="Times New Roman" w:cs="Times New Roman"/>
          <w:i/>
          <w:iCs/>
          <w:color w:val="000000" w:themeColor="text1"/>
          <w:sz w:val="24"/>
          <w:szCs w:val="24"/>
        </w:rPr>
        <w:t xml:space="preserve"> of</w:t>
      </w:r>
      <w:r w:rsidRPr="00631DE0">
        <w:rPr>
          <w:rFonts w:ascii="Times New Roman" w:hAnsi="Times New Roman" w:cs="Times New Roman"/>
          <w:i/>
          <w:iCs/>
          <w:color w:val="000000" w:themeColor="text1"/>
          <w:sz w:val="24"/>
          <w:szCs w:val="24"/>
        </w:rPr>
        <w:t xml:space="preserve"> Economic Policy</w:t>
      </w:r>
      <w:r w:rsidRPr="00631DE0">
        <w:rPr>
          <w:rFonts w:ascii="Times New Roman" w:hAnsi="Times New Roman" w:cs="Times New Roman"/>
          <w:color w:val="000000" w:themeColor="text1"/>
          <w:sz w:val="24"/>
          <w:szCs w:val="24"/>
        </w:rPr>
        <w:t>, 13(1),</w:t>
      </w:r>
      <w:r w:rsidR="00BB0C97" w:rsidRPr="00631DE0">
        <w:rPr>
          <w:rFonts w:ascii="Times New Roman" w:hAnsi="Times New Roman" w:cs="Times New Roman"/>
          <w:color w:val="000000" w:themeColor="text1"/>
          <w:sz w:val="24"/>
          <w:szCs w:val="24"/>
        </w:rPr>
        <w:t xml:space="preserve"> pp.</w:t>
      </w:r>
      <w:r w:rsidRPr="00631DE0">
        <w:rPr>
          <w:rFonts w:ascii="Times New Roman" w:hAnsi="Times New Roman" w:cs="Times New Roman"/>
          <w:color w:val="000000" w:themeColor="text1"/>
          <w:sz w:val="24"/>
          <w:szCs w:val="24"/>
        </w:rPr>
        <w:t>1–35.</w:t>
      </w:r>
    </w:p>
    <w:p w14:paraId="14921245" w14:textId="5AE18C9D" w:rsidR="00D937AC" w:rsidRPr="00631DE0" w:rsidRDefault="00D937AC" w:rsidP="00171628">
      <w:pPr>
        <w:suppressAutoHyphens/>
        <w:autoSpaceDN w:val="0"/>
        <w:spacing w:after="120" w:line="276" w:lineRule="auto"/>
        <w:ind w:firstLine="0"/>
        <w:textAlignment w:val="baseline"/>
        <w:rPr>
          <w:rFonts w:ascii="Times New Roman" w:hAnsi="Times New Roman"/>
          <w:color w:val="000000" w:themeColor="text1"/>
          <w:sz w:val="24"/>
          <w:szCs w:val="24"/>
        </w:rPr>
      </w:pPr>
      <w:r w:rsidRPr="00631DE0">
        <w:rPr>
          <w:rFonts w:ascii="Times New Roman" w:hAnsi="Times New Roman"/>
          <w:color w:val="000000" w:themeColor="text1"/>
          <w:sz w:val="24"/>
          <w:szCs w:val="24"/>
        </w:rPr>
        <w:t>Arena, C., Bozzolan, S., Michelon, G. (2015)</w:t>
      </w:r>
      <w:r w:rsidR="00BB0C97" w:rsidRPr="00631DE0">
        <w:rPr>
          <w:rFonts w:ascii="Times New Roman" w:hAnsi="Times New Roman"/>
          <w:color w:val="000000" w:themeColor="text1"/>
          <w:sz w:val="24"/>
          <w:szCs w:val="24"/>
        </w:rPr>
        <w:t xml:space="preserve"> ‘</w:t>
      </w:r>
      <w:r w:rsidRPr="00631DE0">
        <w:rPr>
          <w:rFonts w:ascii="Times New Roman" w:hAnsi="Times New Roman"/>
          <w:color w:val="000000" w:themeColor="text1"/>
          <w:sz w:val="24"/>
          <w:szCs w:val="24"/>
        </w:rPr>
        <w:t>Environmental reporting: Transparency to stakeholders or stakeholder manipulation? An Analysis of Disclosure Tone and Role of the Board of Directors</w:t>
      </w:r>
      <w:r w:rsidR="00BB0C97" w:rsidRPr="00631DE0">
        <w:rPr>
          <w:rFonts w:ascii="Times New Roman" w:hAnsi="Times New Roman"/>
          <w:color w:val="000000" w:themeColor="text1"/>
          <w:sz w:val="24"/>
          <w:szCs w:val="24"/>
        </w:rPr>
        <w:t>’,</w:t>
      </w:r>
      <w:r w:rsidRPr="00631DE0">
        <w:rPr>
          <w:rFonts w:ascii="Times New Roman" w:hAnsi="Times New Roman"/>
          <w:color w:val="000000" w:themeColor="text1"/>
          <w:sz w:val="24"/>
          <w:szCs w:val="24"/>
        </w:rPr>
        <w:t xml:space="preserve"> </w:t>
      </w:r>
      <w:r w:rsidRPr="00631DE0">
        <w:rPr>
          <w:rFonts w:ascii="Times New Roman" w:hAnsi="Times New Roman"/>
          <w:i/>
          <w:iCs/>
          <w:color w:val="000000" w:themeColor="text1"/>
          <w:sz w:val="24"/>
          <w:szCs w:val="24"/>
        </w:rPr>
        <w:t>Corporate Social Responsibility and Environmental Management</w:t>
      </w:r>
      <w:r w:rsidRPr="00631DE0">
        <w:rPr>
          <w:rFonts w:ascii="Times New Roman" w:hAnsi="Times New Roman"/>
          <w:color w:val="000000" w:themeColor="text1"/>
          <w:sz w:val="24"/>
          <w:szCs w:val="24"/>
        </w:rPr>
        <w:t xml:space="preserve">, 22(6), </w:t>
      </w:r>
      <w:r w:rsidR="00BB0C97" w:rsidRPr="00631DE0">
        <w:rPr>
          <w:rFonts w:ascii="Times New Roman" w:hAnsi="Times New Roman"/>
          <w:color w:val="000000" w:themeColor="text1"/>
          <w:sz w:val="24"/>
          <w:szCs w:val="24"/>
        </w:rPr>
        <w:t>pp.</w:t>
      </w:r>
      <w:r w:rsidRPr="00631DE0">
        <w:rPr>
          <w:rFonts w:ascii="Times New Roman" w:hAnsi="Times New Roman"/>
          <w:color w:val="000000" w:themeColor="text1"/>
          <w:sz w:val="24"/>
          <w:szCs w:val="24"/>
        </w:rPr>
        <w:t>346–361</w:t>
      </w:r>
    </w:p>
    <w:p w14:paraId="420F2D8F" w14:textId="0CDCF463" w:rsidR="004F32A2" w:rsidRPr="00631DE0" w:rsidRDefault="004F32A2" w:rsidP="00171628">
      <w:pPr>
        <w:suppressAutoHyphens/>
        <w:autoSpaceDN w:val="0"/>
        <w:spacing w:after="120" w:line="276" w:lineRule="auto"/>
        <w:ind w:firstLine="0"/>
        <w:textAlignment w:val="baseline"/>
        <w:rPr>
          <w:rFonts w:ascii="Times New Roman" w:hAnsi="Times New Roman"/>
          <w:color w:val="000000" w:themeColor="text1"/>
          <w:sz w:val="24"/>
          <w:szCs w:val="24"/>
        </w:rPr>
      </w:pPr>
      <w:r w:rsidRPr="00631DE0">
        <w:rPr>
          <w:rFonts w:ascii="Times New Roman" w:hAnsi="Times New Roman"/>
          <w:color w:val="000000" w:themeColor="text1"/>
          <w:sz w:val="24"/>
          <w:szCs w:val="24"/>
        </w:rPr>
        <w:t>Asogwa,</w:t>
      </w:r>
      <w:r w:rsidR="00BB0C97" w:rsidRPr="00631DE0">
        <w:rPr>
          <w:rFonts w:ascii="Times New Roman" w:hAnsi="Times New Roman"/>
          <w:color w:val="000000" w:themeColor="text1"/>
          <w:sz w:val="24"/>
          <w:szCs w:val="24"/>
        </w:rPr>
        <w:t xml:space="preserve"> E. (</w:t>
      </w:r>
      <w:r w:rsidRPr="00631DE0">
        <w:rPr>
          <w:rFonts w:ascii="Times New Roman" w:hAnsi="Times New Roman"/>
          <w:color w:val="000000" w:themeColor="text1"/>
          <w:sz w:val="24"/>
          <w:szCs w:val="24"/>
        </w:rPr>
        <w:t>2023</w:t>
      </w:r>
      <w:r w:rsidR="00BB0C97" w:rsidRPr="00631DE0">
        <w:rPr>
          <w:rFonts w:ascii="Times New Roman" w:hAnsi="Times New Roman"/>
          <w:color w:val="000000" w:themeColor="text1"/>
          <w:sz w:val="24"/>
          <w:szCs w:val="24"/>
        </w:rPr>
        <w:t>)</w:t>
      </w:r>
      <w:r w:rsidRPr="00631DE0">
        <w:rPr>
          <w:rFonts w:ascii="Times New Roman" w:hAnsi="Times New Roman"/>
          <w:color w:val="000000" w:themeColor="text1"/>
          <w:sz w:val="24"/>
          <w:szCs w:val="24"/>
        </w:rPr>
        <w:t xml:space="preserve"> </w:t>
      </w:r>
      <w:r w:rsidR="00BB0C97" w:rsidRPr="00631DE0">
        <w:rPr>
          <w:rFonts w:ascii="Times New Roman" w:hAnsi="Times New Roman"/>
          <w:color w:val="000000" w:themeColor="text1"/>
          <w:sz w:val="24"/>
          <w:szCs w:val="24"/>
        </w:rPr>
        <w:t xml:space="preserve">‘The </w:t>
      </w:r>
      <w:r w:rsidRPr="00631DE0">
        <w:rPr>
          <w:rFonts w:ascii="Times New Roman" w:hAnsi="Times New Roman"/>
          <w:color w:val="000000" w:themeColor="text1"/>
          <w:sz w:val="24"/>
          <w:szCs w:val="24"/>
        </w:rPr>
        <w:t>Uptake of sustainability reporting adoption by</w:t>
      </w:r>
      <w:r w:rsidR="00BB0C97" w:rsidRPr="00631DE0">
        <w:rPr>
          <w:rFonts w:ascii="Times New Roman" w:hAnsi="Times New Roman"/>
          <w:color w:val="000000" w:themeColor="text1"/>
          <w:sz w:val="24"/>
          <w:szCs w:val="24"/>
        </w:rPr>
        <w:t xml:space="preserve"> the</w:t>
      </w:r>
      <w:r w:rsidRPr="00631DE0">
        <w:rPr>
          <w:rFonts w:ascii="Times New Roman" w:hAnsi="Times New Roman"/>
          <w:color w:val="000000" w:themeColor="text1"/>
          <w:sz w:val="24"/>
          <w:szCs w:val="24"/>
        </w:rPr>
        <w:t xml:space="preserve"> non-governmental organisations: An agenda for</w:t>
      </w:r>
      <w:r w:rsidR="00BB0C97" w:rsidRPr="00631DE0">
        <w:rPr>
          <w:rFonts w:ascii="Times New Roman" w:hAnsi="Times New Roman"/>
          <w:color w:val="000000" w:themeColor="text1"/>
          <w:sz w:val="24"/>
          <w:szCs w:val="24"/>
        </w:rPr>
        <w:t xml:space="preserve"> the</w:t>
      </w:r>
      <w:r w:rsidRPr="00631DE0">
        <w:rPr>
          <w:rFonts w:ascii="Times New Roman" w:hAnsi="Times New Roman"/>
          <w:color w:val="000000" w:themeColor="text1"/>
          <w:sz w:val="24"/>
          <w:szCs w:val="24"/>
        </w:rPr>
        <w:t xml:space="preserve"> policy and practice</w:t>
      </w:r>
      <w:r w:rsidR="009853E9" w:rsidRPr="00631DE0">
        <w:rPr>
          <w:rFonts w:ascii="Times New Roman" w:hAnsi="Times New Roman"/>
          <w:color w:val="000000" w:themeColor="text1"/>
          <w:sz w:val="24"/>
          <w:szCs w:val="24"/>
        </w:rPr>
        <w:t xml:space="preserve">’, </w:t>
      </w:r>
      <w:r w:rsidR="009853E9" w:rsidRPr="00631DE0">
        <w:rPr>
          <w:rFonts w:ascii="Times New Roman" w:hAnsi="Times New Roman"/>
          <w:i/>
          <w:iCs/>
          <w:color w:val="000000" w:themeColor="text1"/>
          <w:sz w:val="24"/>
          <w:szCs w:val="24"/>
        </w:rPr>
        <w:t>Journal</w:t>
      </w:r>
      <w:r w:rsidRPr="00631DE0">
        <w:rPr>
          <w:rFonts w:ascii="Times New Roman" w:hAnsi="Times New Roman"/>
          <w:i/>
          <w:iCs/>
          <w:color w:val="000000" w:themeColor="text1"/>
          <w:sz w:val="24"/>
          <w:szCs w:val="24"/>
        </w:rPr>
        <w:t xml:space="preserve"> of Cleaner Production</w:t>
      </w:r>
      <w:r w:rsidRPr="00631DE0">
        <w:rPr>
          <w:rFonts w:ascii="Times New Roman" w:hAnsi="Times New Roman"/>
          <w:color w:val="000000" w:themeColor="text1"/>
          <w:sz w:val="24"/>
          <w:szCs w:val="24"/>
        </w:rPr>
        <w:t>, </w:t>
      </w:r>
      <w:r w:rsidRPr="00631DE0">
        <w:rPr>
          <w:rFonts w:ascii="Times New Roman" w:hAnsi="Times New Roman"/>
          <w:i/>
          <w:iCs/>
          <w:color w:val="000000" w:themeColor="text1"/>
          <w:sz w:val="24"/>
          <w:szCs w:val="24"/>
        </w:rPr>
        <w:t>388</w:t>
      </w:r>
      <w:r w:rsidRPr="00631DE0">
        <w:rPr>
          <w:rFonts w:ascii="Times New Roman" w:hAnsi="Times New Roman"/>
          <w:color w:val="000000" w:themeColor="text1"/>
          <w:sz w:val="24"/>
          <w:szCs w:val="24"/>
        </w:rPr>
        <w:t>, p.135842.</w:t>
      </w:r>
    </w:p>
    <w:p w14:paraId="6A683B4C" w14:textId="7541A5A0" w:rsidR="00BB0C97" w:rsidRPr="00631DE0" w:rsidRDefault="00BE63F0" w:rsidP="00171628">
      <w:pPr>
        <w:suppressAutoHyphens/>
        <w:autoSpaceDN w:val="0"/>
        <w:spacing w:after="120" w:line="276" w:lineRule="auto"/>
        <w:ind w:firstLine="0"/>
        <w:textAlignment w:val="baseline"/>
        <w:rPr>
          <w:rFonts w:ascii="Times New Roman" w:hAnsi="Times New Roman"/>
          <w:color w:val="000000" w:themeColor="text1"/>
          <w:sz w:val="24"/>
          <w:szCs w:val="24"/>
        </w:rPr>
      </w:pPr>
      <w:r w:rsidRPr="00631DE0">
        <w:rPr>
          <w:rFonts w:ascii="Times New Roman" w:hAnsi="Times New Roman"/>
          <w:color w:val="000000" w:themeColor="text1"/>
          <w:sz w:val="24"/>
          <w:szCs w:val="24"/>
        </w:rPr>
        <w:t>Asogwa,</w:t>
      </w:r>
      <w:r w:rsidR="00BB0C97" w:rsidRPr="00631DE0">
        <w:rPr>
          <w:rFonts w:ascii="Times New Roman" w:hAnsi="Times New Roman"/>
          <w:color w:val="000000" w:themeColor="text1"/>
          <w:sz w:val="24"/>
          <w:szCs w:val="24"/>
        </w:rPr>
        <w:t xml:space="preserve"> </w:t>
      </w:r>
      <w:r w:rsidRPr="00631DE0">
        <w:rPr>
          <w:rFonts w:ascii="Times New Roman" w:hAnsi="Times New Roman"/>
          <w:color w:val="000000" w:themeColor="text1"/>
          <w:sz w:val="24"/>
          <w:szCs w:val="24"/>
        </w:rPr>
        <w:t>E., Varua, E., Humphreys, P., Datt, R.</w:t>
      </w:r>
      <w:r w:rsidR="00BB0C97" w:rsidRPr="00631DE0">
        <w:rPr>
          <w:rFonts w:ascii="Times New Roman" w:hAnsi="Times New Roman"/>
          <w:color w:val="000000" w:themeColor="text1"/>
          <w:sz w:val="24"/>
          <w:szCs w:val="24"/>
        </w:rPr>
        <w:t xml:space="preserve"> (</w:t>
      </w:r>
      <w:r w:rsidRPr="00631DE0">
        <w:rPr>
          <w:rFonts w:ascii="Times New Roman" w:hAnsi="Times New Roman"/>
          <w:color w:val="000000" w:themeColor="text1"/>
          <w:sz w:val="24"/>
          <w:szCs w:val="24"/>
        </w:rPr>
        <w:t>2021</w:t>
      </w:r>
      <w:r w:rsidR="00BB0C97" w:rsidRPr="00631DE0">
        <w:rPr>
          <w:rFonts w:ascii="Times New Roman" w:hAnsi="Times New Roman"/>
          <w:color w:val="000000" w:themeColor="text1"/>
          <w:sz w:val="24"/>
          <w:szCs w:val="24"/>
        </w:rPr>
        <w:t>)</w:t>
      </w:r>
      <w:r w:rsidRPr="00631DE0">
        <w:rPr>
          <w:rFonts w:ascii="Times New Roman" w:hAnsi="Times New Roman"/>
          <w:color w:val="000000" w:themeColor="text1"/>
          <w:sz w:val="24"/>
          <w:szCs w:val="24"/>
        </w:rPr>
        <w:t xml:space="preserve"> </w:t>
      </w:r>
      <w:r w:rsidR="00BB0C97" w:rsidRPr="00631DE0">
        <w:rPr>
          <w:rFonts w:ascii="Times New Roman" w:hAnsi="Times New Roman"/>
          <w:color w:val="000000" w:themeColor="text1"/>
          <w:sz w:val="24"/>
          <w:szCs w:val="24"/>
        </w:rPr>
        <w:t>‘</w:t>
      </w:r>
      <w:r w:rsidRPr="00631DE0">
        <w:rPr>
          <w:rFonts w:ascii="Times New Roman" w:hAnsi="Times New Roman"/>
          <w:color w:val="000000" w:themeColor="text1"/>
          <w:sz w:val="24"/>
          <w:szCs w:val="24"/>
        </w:rPr>
        <w:t>Understanding sustainability reporting in Non-Governmental Organisations: a systematic review of</w:t>
      </w:r>
      <w:r w:rsidR="00BB0C97" w:rsidRPr="00631DE0">
        <w:rPr>
          <w:rFonts w:ascii="Times New Roman" w:hAnsi="Times New Roman"/>
          <w:color w:val="000000" w:themeColor="text1"/>
          <w:sz w:val="24"/>
          <w:szCs w:val="24"/>
        </w:rPr>
        <w:t xml:space="preserve"> the</w:t>
      </w:r>
      <w:r w:rsidRPr="00631DE0">
        <w:rPr>
          <w:rFonts w:ascii="Times New Roman" w:hAnsi="Times New Roman"/>
          <w:color w:val="000000" w:themeColor="text1"/>
          <w:sz w:val="24"/>
          <w:szCs w:val="24"/>
        </w:rPr>
        <w:t xml:space="preserve"> reporting practices, drivers, barriers and paths for future researc</w:t>
      </w:r>
      <w:r w:rsidR="00BB0C97" w:rsidRPr="00631DE0">
        <w:rPr>
          <w:rFonts w:ascii="Times New Roman" w:hAnsi="Times New Roman"/>
          <w:color w:val="000000" w:themeColor="text1"/>
          <w:sz w:val="24"/>
          <w:szCs w:val="24"/>
        </w:rPr>
        <w:t xml:space="preserve">h’, </w:t>
      </w:r>
      <w:r w:rsidR="00BB0C97" w:rsidRPr="00631DE0">
        <w:rPr>
          <w:rFonts w:ascii="Times New Roman" w:hAnsi="Times New Roman"/>
          <w:i/>
          <w:iCs/>
          <w:color w:val="000000" w:themeColor="text1"/>
          <w:sz w:val="24"/>
          <w:szCs w:val="24"/>
        </w:rPr>
        <w:t>Sustainability,</w:t>
      </w:r>
      <w:r w:rsidR="00BB0C97" w:rsidRPr="00631DE0">
        <w:rPr>
          <w:rFonts w:ascii="Times New Roman" w:hAnsi="Times New Roman"/>
          <w:color w:val="000000" w:themeColor="text1"/>
          <w:sz w:val="24"/>
          <w:szCs w:val="24"/>
        </w:rPr>
        <w:t>13(18), p. 10184.</w:t>
      </w:r>
    </w:p>
    <w:p w14:paraId="110956CD" w14:textId="003ED1B8" w:rsidR="00A411C9" w:rsidRPr="00631DE0" w:rsidRDefault="00A411C9" w:rsidP="00171628">
      <w:pPr>
        <w:suppressAutoHyphens/>
        <w:autoSpaceDN w:val="0"/>
        <w:spacing w:after="120" w:line="276" w:lineRule="auto"/>
        <w:ind w:firstLine="0"/>
        <w:textAlignment w:val="baseline"/>
        <w:rPr>
          <w:rFonts w:ascii="Times New Roman" w:hAnsi="Times New Roman"/>
          <w:color w:val="000000" w:themeColor="text1"/>
          <w:sz w:val="24"/>
          <w:szCs w:val="24"/>
        </w:rPr>
      </w:pPr>
      <w:r w:rsidRPr="00631DE0">
        <w:rPr>
          <w:rFonts w:ascii="Times New Roman" w:hAnsi="Times New Roman"/>
          <w:color w:val="000000" w:themeColor="text1"/>
          <w:sz w:val="24"/>
          <w:szCs w:val="24"/>
        </w:rPr>
        <w:t>Baier, P., Berninger, M.</w:t>
      </w:r>
      <w:r w:rsidR="0025601D" w:rsidRPr="00631DE0">
        <w:rPr>
          <w:rFonts w:ascii="Times New Roman" w:hAnsi="Times New Roman"/>
          <w:color w:val="000000" w:themeColor="text1"/>
          <w:sz w:val="24"/>
          <w:szCs w:val="24"/>
        </w:rPr>
        <w:t>,</w:t>
      </w:r>
      <w:r w:rsidRPr="00631DE0">
        <w:rPr>
          <w:rFonts w:ascii="Times New Roman" w:hAnsi="Times New Roman"/>
          <w:color w:val="000000" w:themeColor="text1"/>
          <w:sz w:val="24"/>
          <w:szCs w:val="24"/>
        </w:rPr>
        <w:t xml:space="preserve"> Kiesel, F. </w:t>
      </w:r>
      <w:r w:rsidR="0025601D" w:rsidRPr="00631DE0">
        <w:rPr>
          <w:rFonts w:ascii="Times New Roman" w:hAnsi="Times New Roman"/>
          <w:color w:val="000000" w:themeColor="text1"/>
          <w:sz w:val="24"/>
          <w:szCs w:val="24"/>
        </w:rPr>
        <w:t>(</w:t>
      </w:r>
      <w:r w:rsidRPr="00631DE0">
        <w:rPr>
          <w:rFonts w:ascii="Times New Roman" w:hAnsi="Times New Roman"/>
          <w:color w:val="000000" w:themeColor="text1"/>
          <w:sz w:val="24"/>
          <w:szCs w:val="24"/>
        </w:rPr>
        <w:t>2020</w:t>
      </w:r>
      <w:r w:rsidR="0025601D" w:rsidRPr="00631DE0">
        <w:rPr>
          <w:rFonts w:ascii="Times New Roman" w:hAnsi="Times New Roman"/>
          <w:color w:val="000000" w:themeColor="text1"/>
          <w:sz w:val="24"/>
          <w:szCs w:val="24"/>
        </w:rPr>
        <w:t>)</w:t>
      </w:r>
      <w:r w:rsidRPr="00631DE0">
        <w:rPr>
          <w:rFonts w:ascii="Times New Roman" w:hAnsi="Times New Roman"/>
          <w:color w:val="000000" w:themeColor="text1"/>
          <w:sz w:val="24"/>
          <w:szCs w:val="24"/>
        </w:rPr>
        <w:t xml:space="preserve"> </w:t>
      </w:r>
      <w:r w:rsidR="0025601D" w:rsidRPr="00631DE0">
        <w:rPr>
          <w:rFonts w:ascii="Times New Roman" w:hAnsi="Times New Roman"/>
          <w:color w:val="000000" w:themeColor="text1"/>
          <w:sz w:val="24"/>
          <w:szCs w:val="24"/>
        </w:rPr>
        <w:t>‘</w:t>
      </w:r>
      <w:r w:rsidRPr="00631DE0">
        <w:rPr>
          <w:rFonts w:ascii="Times New Roman" w:hAnsi="Times New Roman"/>
          <w:color w:val="000000" w:themeColor="text1"/>
          <w:sz w:val="24"/>
          <w:szCs w:val="24"/>
        </w:rPr>
        <w:t xml:space="preserve">Environmental, social and governance reporting in annual reports: </w:t>
      </w:r>
      <w:r w:rsidR="0025601D" w:rsidRPr="00631DE0">
        <w:rPr>
          <w:rFonts w:ascii="Times New Roman" w:hAnsi="Times New Roman"/>
          <w:color w:val="000000" w:themeColor="text1"/>
          <w:sz w:val="24"/>
          <w:szCs w:val="24"/>
        </w:rPr>
        <w:t>a</w:t>
      </w:r>
      <w:r w:rsidRPr="00631DE0">
        <w:rPr>
          <w:rFonts w:ascii="Times New Roman" w:hAnsi="Times New Roman"/>
          <w:color w:val="000000" w:themeColor="text1"/>
          <w:sz w:val="24"/>
          <w:szCs w:val="24"/>
        </w:rPr>
        <w:t xml:space="preserve"> textual analysis</w:t>
      </w:r>
      <w:r w:rsidR="0025601D" w:rsidRPr="00631DE0">
        <w:rPr>
          <w:rFonts w:ascii="Times New Roman" w:hAnsi="Times New Roman"/>
          <w:color w:val="000000" w:themeColor="text1"/>
          <w:sz w:val="24"/>
          <w:szCs w:val="24"/>
        </w:rPr>
        <w:t>’,</w:t>
      </w:r>
      <w:r w:rsidRPr="00631DE0">
        <w:rPr>
          <w:rFonts w:ascii="Times New Roman" w:hAnsi="Times New Roman"/>
          <w:color w:val="000000" w:themeColor="text1"/>
          <w:sz w:val="24"/>
          <w:szCs w:val="24"/>
        </w:rPr>
        <w:t> </w:t>
      </w:r>
      <w:r w:rsidRPr="00631DE0">
        <w:rPr>
          <w:rFonts w:ascii="Times New Roman" w:hAnsi="Times New Roman"/>
          <w:i/>
          <w:iCs/>
          <w:color w:val="000000" w:themeColor="text1"/>
          <w:sz w:val="24"/>
          <w:szCs w:val="24"/>
        </w:rPr>
        <w:t>Financial Markets, Institutions &amp; Instruments</w:t>
      </w:r>
      <w:r w:rsidRPr="00631DE0">
        <w:rPr>
          <w:rFonts w:ascii="Times New Roman" w:hAnsi="Times New Roman"/>
          <w:color w:val="000000" w:themeColor="text1"/>
          <w:sz w:val="24"/>
          <w:szCs w:val="24"/>
        </w:rPr>
        <w:t>, </w:t>
      </w:r>
      <w:r w:rsidRPr="00631DE0">
        <w:rPr>
          <w:rFonts w:ascii="Times New Roman" w:hAnsi="Times New Roman"/>
          <w:i/>
          <w:iCs/>
          <w:color w:val="000000" w:themeColor="text1"/>
          <w:sz w:val="24"/>
          <w:szCs w:val="24"/>
        </w:rPr>
        <w:t>29</w:t>
      </w:r>
      <w:r w:rsidRPr="00631DE0">
        <w:rPr>
          <w:rFonts w:ascii="Times New Roman" w:hAnsi="Times New Roman"/>
          <w:color w:val="000000" w:themeColor="text1"/>
          <w:sz w:val="24"/>
          <w:szCs w:val="24"/>
        </w:rPr>
        <w:t>(3), pp.93-118.</w:t>
      </w:r>
    </w:p>
    <w:p w14:paraId="2159DD5E" w14:textId="3975E2E0" w:rsidR="00981612" w:rsidRPr="00631DE0" w:rsidRDefault="00981612" w:rsidP="00171628">
      <w:pPr>
        <w:suppressAutoHyphens/>
        <w:autoSpaceDN w:val="0"/>
        <w:spacing w:after="120" w:line="276" w:lineRule="auto"/>
        <w:ind w:firstLine="0"/>
        <w:textAlignment w:val="baseline"/>
        <w:rPr>
          <w:rFonts w:ascii="Times New Roman" w:hAnsi="Times New Roman"/>
          <w:color w:val="000000" w:themeColor="text1"/>
          <w:sz w:val="24"/>
          <w:szCs w:val="24"/>
        </w:rPr>
      </w:pPr>
      <w:r w:rsidRPr="00631DE0">
        <w:rPr>
          <w:rFonts w:ascii="Times New Roman" w:hAnsi="Times New Roman"/>
          <w:color w:val="000000" w:themeColor="text1"/>
          <w:sz w:val="24"/>
          <w:szCs w:val="24"/>
        </w:rPr>
        <w:lastRenderedPageBreak/>
        <w:t>Belal, A.</w:t>
      </w:r>
      <w:r w:rsidR="0025601D" w:rsidRPr="00631DE0">
        <w:rPr>
          <w:rFonts w:ascii="Times New Roman" w:hAnsi="Times New Roman"/>
          <w:color w:val="000000" w:themeColor="text1"/>
          <w:sz w:val="24"/>
          <w:szCs w:val="24"/>
        </w:rPr>
        <w:t>,</w:t>
      </w:r>
      <w:r w:rsidRPr="00631DE0">
        <w:rPr>
          <w:rFonts w:ascii="Times New Roman" w:hAnsi="Times New Roman"/>
          <w:color w:val="000000" w:themeColor="text1"/>
          <w:sz w:val="24"/>
          <w:szCs w:val="24"/>
        </w:rPr>
        <w:t xml:space="preserve"> Owen,</w:t>
      </w:r>
      <w:r w:rsidR="0025601D" w:rsidRPr="00631DE0">
        <w:rPr>
          <w:rFonts w:ascii="Times New Roman" w:hAnsi="Times New Roman"/>
          <w:color w:val="000000" w:themeColor="text1"/>
          <w:sz w:val="24"/>
          <w:szCs w:val="24"/>
        </w:rPr>
        <w:t xml:space="preserve"> </w:t>
      </w:r>
      <w:r w:rsidRPr="00631DE0">
        <w:rPr>
          <w:rFonts w:ascii="Times New Roman" w:hAnsi="Times New Roman"/>
          <w:color w:val="000000" w:themeColor="text1"/>
          <w:sz w:val="24"/>
          <w:szCs w:val="24"/>
        </w:rPr>
        <w:t xml:space="preserve">L. (2015) </w:t>
      </w:r>
      <w:r w:rsidR="0025601D" w:rsidRPr="00631DE0">
        <w:rPr>
          <w:rFonts w:ascii="Times New Roman" w:hAnsi="Times New Roman"/>
          <w:color w:val="000000" w:themeColor="text1"/>
          <w:sz w:val="24"/>
          <w:szCs w:val="24"/>
        </w:rPr>
        <w:t>‘</w:t>
      </w:r>
      <w:r w:rsidRPr="00631DE0">
        <w:rPr>
          <w:rFonts w:ascii="Times New Roman" w:hAnsi="Times New Roman"/>
          <w:color w:val="000000" w:themeColor="text1"/>
          <w:sz w:val="24"/>
          <w:szCs w:val="24"/>
        </w:rPr>
        <w:t>The rise and fall of stand-alone social reporting in a multinational subsidiary in Bangladesh</w:t>
      </w:r>
      <w:r w:rsidR="0025601D" w:rsidRPr="00631DE0">
        <w:rPr>
          <w:rFonts w:ascii="Times New Roman" w:hAnsi="Times New Roman"/>
          <w:color w:val="000000" w:themeColor="text1"/>
          <w:sz w:val="24"/>
          <w:szCs w:val="24"/>
        </w:rPr>
        <w:t>’</w:t>
      </w:r>
      <w:r w:rsidRPr="00631DE0">
        <w:rPr>
          <w:rFonts w:ascii="Times New Roman" w:hAnsi="Times New Roman"/>
          <w:color w:val="000000" w:themeColor="text1"/>
          <w:sz w:val="24"/>
          <w:szCs w:val="24"/>
        </w:rPr>
        <w:t xml:space="preserve">, </w:t>
      </w:r>
      <w:r w:rsidRPr="00631DE0">
        <w:rPr>
          <w:rFonts w:ascii="Times New Roman" w:hAnsi="Times New Roman"/>
          <w:i/>
          <w:iCs/>
          <w:color w:val="000000" w:themeColor="text1"/>
          <w:sz w:val="24"/>
          <w:szCs w:val="24"/>
        </w:rPr>
        <w:t xml:space="preserve">Accounting, Auditing &amp; Accountability </w:t>
      </w:r>
      <w:r w:rsidR="009853E9" w:rsidRPr="00631DE0">
        <w:rPr>
          <w:rFonts w:ascii="Times New Roman" w:hAnsi="Times New Roman"/>
          <w:i/>
          <w:iCs/>
          <w:color w:val="000000" w:themeColor="text1"/>
          <w:sz w:val="24"/>
          <w:szCs w:val="24"/>
        </w:rPr>
        <w:t>Journal</w:t>
      </w:r>
      <w:r w:rsidR="009853E9" w:rsidRPr="00631DE0">
        <w:rPr>
          <w:rFonts w:ascii="Times New Roman" w:hAnsi="Times New Roman"/>
          <w:color w:val="000000" w:themeColor="text1"/>
          <w:sz w:val="24"/>
          <w:szCs w:val="24"/>
        </w:rPr>
        <w:t>, 28</w:t>
      </w:r>
      <w:r w:rsidRPr="00631DE0">
        <w:rPr>
          <w:rFonts w:ascii="Times New Roman" w:hAnsi="Times New Roman"/>
          <w:color w:val="000000" w:themeColor="text1"/>
          <w:sz w:val="24"/>
          <w:szCs w:val="24"/>
        </w:rPr>
        <w:t xml:space="preserve"> </w:t>
      </w:r>
      <w:r w:rsidR="0025601D" w:rsidRPr="00631DE0">
        <w:rPr>
          <w:rFonts w:ascii="Times New Roman" w:hAnsi="Times New Roman"/>
          <w:color w:val="000000" w:themeColor="text1"/>
          <w:sz w:val="24"/>
          <w:szCs w:val="24"/>
        </w:rPr>
        <w:t>(</w:t>
      </w:r>
      <w:r w:rsidRPr="00631DE0">
        <w:rPr>
          <w:rFonts w:ascii="Times New Roman" w:hAnsi="Times New Roman"/>
          <w:color w:val="000000" w:themeColor="text1"/>
          <w:sz w:val="24"/>
          <w:szCs w:val="24"/>
        </w:rPr>
        <w:t>7</w:t>
      </w:r>
      <w:r w:rsidR="0025601D" w:rsidRPr="00631DE0">
        <w:rPr>
          <w:rFonts w:ascii="Times New Roman" w:hAnsi="Times New Roman"/>
          <w:color w:val="000000" w:themeColor="text1"/>
          <w:sz w:val="24"/>
          <w:szCs w:val="24"/>
        </w:rPr>
        <w:t>)</w:t>
      </w:r>
      <w:r w:rsidRPr="00631DE0">
        <w:rPr>
          <w:rFonts w:ascii="Times New Roman" w:hAnsi="Times New Roman"/>
          <w:color w:val="000000" w:themeColor="text1"/>
          <w:sz w:val="24"/>
          <w:szCs w:val="24"/>
        </w:rPr>
        <w:t>, pp. 1160-1192.</w:t>
      </w:r>
    </w:p>
    <w:p w14:paraId="77E4744F" w14:textId="03BED0E8" w:rsidR="00B62663" w:rsidRPr="00631DE0" w:rsidRDefault="00B62663" w:rsidP="00171628">
      <w:pPr>
        <w:suppressAutoHyphens/>
        <w:autoSpaceDN w:val="0"/>
        <w:spacing w:after="120" w:line="276" w:lineRule="auto"/>
        <w:ind w:firstLine="0"/>
        <w:textAlignment w:val="baseline"/>
        <w:rPr>
          <w:rFonts w:ascii="Times New Roman" w:hAnsi="Times New Roman"/>
          <w:color w:val="000000" w:themeColor="text1"/>
          <w:sz w:val="24"/>
          <w:szCs w:val="24"/>
        </w:rPr>
      </w:pPr>
      <w:r w:rsidRPr="00631DE0">
        <w:rPr>
          <w:rFonts w:ascii="Times New Roman" w:hAnsi="Times New Roman"/>
          <w:color w:val="000000" w:themeColor="text1"/>
          <w:sz w:val="24"/>
          <w:szCs w:val="24"/>
        </w:rPr>
        <w:t xml:space="preserve">Bellante, G., Berardi, L., Machold, S., Nissi, E, Rea, M. (2018) ‘Accountability, governance </w:t>
      </w:r>
      <w:r w:rsidR="0079518B" w:rsidRPr="00631DE0">
        <w:rPr>
          <w:rFonts w:ascii="Times New Roman" w:hAnsi="Times New Roman"/>
          <w:color w:val="000000" w:themeColor="text1"/>
          <w:sz w:val="24"/>
          <w:szCs w:val="24"/>
        </w:rPr>
        <w:t>&amp;</w:t>
      </w:r>
      <w:r w:rsidRPr="00631DE0">
        <w:rPr>
          <w:rFonts w:ascii="Times New Roman" w:hAnsi="Times New Roman"/>
          <w:color w:val="000000" w:themeColor="text1"/>
          <w:sz w:val="24"/>
          <w:szCs w:val="24"/>
        </w:rPr>
        <w:t xml:space="preserve"> performance in UK </w:t>
      </w:r>
      <w:r w:rsidR="0079518B" w:rsidRPr="00631DE0">
        <w:rPr>
          <w:rFonts w:ascii="Times New Roman" w:hAnsi="Times New Roman"/>
          <w:color w:val="000000" w:themeColor="text1"/>
          <w:sz w:val="24"/>
          <w:szCs w:val="24"/>
        </w:rPr>
        <w:t>charities’</w:t>
      </w:r>
      <w:r w:rsidRPr="00631DE0">
        <w:rPr>
          <w:rFonts w:ascii="Times New Roman" w:hAnsi="Times New Roman"/>
          <w:color w:val="000000" w:themeColor="text1"/>
          <w:sz w:val="24"/>
          <w:szCs w:val="24"/>
        </w:rPr>
        <w:t>,</w:t>
      </w:r>
      <w:r w:rsidR="0079518B" w:rsidRPr="00631DE0">
        <w:rPr>
          <w:rFonts w:ascii="Times New Roman" w:hAnsi="Times New Roman"/>
          <w:i/>
          <w:iCs/>
          <w:color w:val="000000" w:themeColor="text1"/>
          <w:sz w:val="24"/>
          <w:szCs w:val="24"/>
        </w:rPr>
        <w:t xml:space="preserve"> International Journal of Business Performance Management,</w:t>
      </w:r>
      <w:r w:rsidR="0079518B" w:rsidRPr="00631DE0">
        <w:rPr>
          <w:rFonts w:ascii="Times New Roman" w:hAnsi="Times New Roman"/>
          <w:color w:val="000000" w:themeColor="text1"/>
          <w:sz w:val="24"/>
          <w:szCs w:val="24"/>
        </w:rPr>
        <w:t xml:space="preserve">19 </w:t>
      </w:r>
      <w:r w:rsidR="0079518B" w:rsidRPr="00631DE0">
        <w:rPr>
          <w:rFonts w:ascii="Times New Roman" w:hAnsi="Times New Roman"/>
          <w:i/>
          <w:iCs/>
          <w:color w:val="000000" w:themeColor="text1"/>
          <w:sz w:val="24"/>
          <w:szCs w:val="24"/>
        </w:rPr>
        <w:t>(</w:t>
      </w:r>
      <w:r w:rsidR="0079518B" w:rsidRPr="00631DE0">
        <w:rPr>
          <w:rFonts w:ascii="Times New Roman" w:hAnsi="Times New Roman"/>
          <w:color w:val="000000" w:themeColor="text1"/>
          <w:sz w:val="24"/>
          <w:szCs w:val="24"/>
        </w:rPr>
        <w:t>1)</w:t>
      </w:r>
      <w:r w:rsidR="00BE789E" w:rsidRPr="00631DE0">
        <w:rPr>
          <w:rFonts w:ascii="Times New Roman" w:hAnsi="Times New Roman"/>
          <w:color w:val="000000" w:themeColor="text1"/>
          <w:sz w:val="24"/>
          <w:szCs w:val="24"/>
        </w:rPr>
        <w:t xml:space="preserve">, </w:t>
      </w:r>
      <w:r w:rsidRPr="00631DE0">
        <w:rPr>
          <w:rFonts w:ascii="Times New Roman" w:hAnsi="Times New Roman"/>
          <w:color w:val="000000" w:themeColor="text1"/>
          <w:sz w:val="24"/>
          <w:szCs w:val="24"/>
        </w:rPr>
        <w:t>pp.55-7.</w:t>
      </w:r>
    </w:p>
    <w:p w14:paraId="558EA27A" w14:textId="168D7675" w:rsidR="00ED7A97" w:rsidRPr="00631DE0" w:rsidRDefault="00ED7A97" w:rsidP="00171628">
      <w:pPr>
        <w:suppressAutoHyphens/>
        <w:autoSpaceDN w:val="0"/>
        <w:spacing w:after="120" w:line="276" w:lineRule="auto"/>
        <w:ind w:firstLine="0"/>
        <w:textAlignment w:val="baseline"/>
        <w:rPr>
          <w:rFonts w:ascii="Times New Roman" w:hAnsi="Times New Roman"/>
          <w:color w:val="000000" w:themeColor="text1"/>
          <w:sz w:val="24"/>
          <w:szCs w:val="24"/>
        </w:rPr>
      </w:pPr>
      <w:r w:rsidRPr="00631DE0">
        <w:rPr>
          <w:rFonts w:ascii="Times New Roman" w:hAnsi="Times New Roman"/>
          <w:color w:val="000000" w:themeColor="text1"/>
          <w:sz w:val="24"/>
          <w:szCs w:val="24"/>
        </w:rPr>
        <w:t xml:space="preserve">Boiral, O. (2013) ‘Sustainability reports as simulacra? A counter-account of A and A+ GRI reports’, </w:t>
      </w:r>
      <w:r w:rsidRPr="00631DE0">
        <w:rPr>
          <w:rFonts w:ascii="Times New Roman" w:hAnsi="Times New Roman"/>
          <w:i/>
          <w:iCs/>
          <w:color w:val="000000" w:themeColor="text1"/>
          <w:sz w:val="24"/>
          <w:szCs w:val="24"/>
        </w:rPr>
        <w:t>Accounting, Auditing &amp;Accountability Journal</w:t>
      </w:r>
      <w:r w:rsidRPr="00631DE0">
        <w:rPr>
          <w:rFonts w:ascii="Times New Roman" w:hAnsi="Times New Roman"/>
          <w:color w:val="000000" w:themeColor="text1"/>
          <w:sz w:val="24"/>
          <w:szCs w:val="24"/>
        </w:rPr>
        <w:t>, 26(7), pp. 1036–1071.</w:t>
      </w:r>
    </w:p>
    <w:p w14:paraId="277768DB" w14:textId="684875DB" w:rsidR="006907C3" w:rsidRPr="00631DE0" w:rsidRDefault="006907C3"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Boiral</w:t>
      </w:r>
      <w:r w:rsidR="00AC362C"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O, Henri</w:t>
      </w:r>
      <w:r w:rsidR="0025601D"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F, Talbot</w:t>
      </w:r>
      <w:r w:rsidR="0025601D"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D. </w:t>
      </w:r>
      <w:r w:rsidR="0025601D"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2012</w:t>
      </w:r>
      <w:r w:rsidR="0025601D" w:rsidRPr="00631DE0">
        <w:rPr>
          <w:rFonts w:ascii="Times New Roman" w:hAnsi="Times New Roman" w:cs="Times New Roman"/>
          <w:color w:val="000000" w:themeColor="text1"/>
          <w:sz w:val="24"/>
          <w:szCs w:val="24"/>
        </w:rPr>
        <w:t>) ‘Modelling</w:t>
      </w:r>
      <w:r w:rsidRPr="00631DE0">
        <w:rPr>
          <w:rFonts w:ascii="Times New Roman" w:hAnsi="Times New Roman" w:cs="Times New Roman"/>
          <w:color w:val="000000" w:themeColor="text1"/>
          <w:sz w:val="24"/>
          <w:szCs w:val="24"/>
        </w:rPr>
        <w:t xml:space="preserve"> the impacts of corporate commitment on climate change</w:t>
      </w:r>
      <w:r w:rsidR="0025601D"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Business Strategy and the Environment</w:t>
      </w:r>
      <w:r w:rsidR="0025601D"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21(8)</w:t>
      </w:r>
      <w:r w:rsidR="0025601D" w:rsidRPr="00631DE0">
        <w:rPr>
          <w:rFonts w:ascii="Times New Roman" w:hAnsi="Times New Roman" w:cs="Times New Roman"/>
          <w:color w:val="000000" w:themeColor="text1"/>
          <w:sz w:val="24"/>
          <w:szCs w:val="24"/>
        </w:rPr>
        <w:t>, pp.</w:t>
      </w:r>
      <w:r w:rsidRPr="00631DE0">
        <w:rPr>
          <w:rFonts w:ascii="Times New Roman" w:hAnsi="Times New Roman" w:cs="Times New Roman"/>
          <w:color w:val="000000" w:themeColor="text1"/>
          <w:sz w:val="24"/>
          <w:szCs w:val="24"/>
        </w:rPr>
        <w:t xml:space="preserve"> 495–516.</w:t>
      </w:r>
    </w:p>
    <w:p w14:paraId="50E52D04" w14:textId="118BB10E" w:rsidR="002A7048" w:rsidRPr="00631DE0" w:rsidRDefault="002A7048"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Bourveau, T., Chowdhury, M., Le, A., Rouen, </w:t>
      </w:r>
      <w:r w:rsidR="0025601D" w:rsidRPr="00631DE0">
        <w:rPr>
          <w:rFonts w:ascii="Times New Roman" w:hAnsi="Times New Roman" w:cs="Times New Roman"/>
          <w:color w:val="000000" w:themeColor="text1"/>
          <w:sz w:val="24"/>
          <w:szCs w:val="24"/>
        </w:rPr>
        <w:t>E. (</w:t>
      </w:r>
      <w:r w:rsidRPr="00631DE0">
        <w:rPr>
          <w:rFonts w:ascii="Times New Roman" w:hAnsi="Times New Roman" w:cs="Times New Roman"/>
          <w:color w:val="000000" w:themeColor="text1"/>
          <w:sz w:val="24"/>
          <w:szCs w:val="24"/>
        </w:rPr>
        <w:t>2022</w:t>
      </w:r>
      <w:r w:rsidR="0025601D"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Human capital disclosures. </w:t>
      </w:r>
      <w:r w:rsidRPr="00631DE0">
        <w:rPr>
          <w:rFonts w:ascii="Times New Roman" w:hAnsi="Times New Roman" w:cs="Times New Roman"/>
          <w:i/>
          <w:iCs/>
          <w:color w:val="000000" w:themeColor="text1"/>
          <w:sz w:val="24"/>
          <w:szCs w:val="24"/>
        </w:rPr>
        <w:t>Available at SSRN 4138543</w:t>
      </w:r>
      <w:r w:rsidRPr="00631DE0">
        <w:rPr>
          <w:rFonts w:ascii="Times New Roman" w:hAnsi="Times New Roman" w:cs="Times New Roman"/>
          <w:color w:val="000000" w:themeColor="text1"/>
          <w:sz w:val="24"/>
          <w:szCs w:val="24"/>
        </w:rPr>
        <w:t>.</w:t>
      </w:r>
    </w:p>
    <w:p w14:paraId="6C1FA59D" w14:textId="5DB795A6" w:rsidR="00A01E19" w:rsidRPr="00631DE0" w:rsidRDefault="00A01E19" w:rsidP="00171628">
      <w:pPr>
        <w:suppressAutoHyphens/>
        <w:autoSpaceDN w:val="0"/>
        <w:spacing w:after="120" w:line="276" w:lineRule="auto"/>
        <w:ind w:firstLine="0"/>
        <w:textAlignment w:val="baseline"/>
        <w:rPr>
          <w:rFonts w:ascii="Times New Roman" w:hAnsi="Times New Roman" w:cs="Times New Roman"/>
          <w:i/>
          <w:iCs/>
          <w:color w:val="000000" w:themeColor="text1"/>
          <w:sz w:val="24"/>
          <w:szCs w:val="24"/>
        </w:rPr>
      </w:pPr>
      <w:r w:rsidRPr="00631DE0">
        <w:rPr>
          <w:rFonts w:ascii="Times New Roman" w:hAnsi="Times New Roman" w:cs="Times New Roman"/>
          <w:color w:val="000000" w:themeColor="text1"/>
          <w:sz w:val="24"/>
          <w:szCs w:val="24"/>
        </w:rPr>
        <w:t xml:space="preserve">Bryce, J. (2016) ‘The public’s trust in nonprofit organizations: </w:t>
      </w:r>
      <w:r w:rsidR="00AD2C91" w:rsidRPr="00631DE0">
        <w:rPr>
          <w:rFonts w:ascii="Times New Roman" w:hAnsi="Times New Roman" w:cs="Times New Roman"/>
          <w:color w:val="000000" w:themeColor="text1"/>
          <w:sz w:val="24"/>
          <w:szCs w:val="24"/>
        </w:rPr>
        <w:t>t</w:t>
      </w:r>
      <w:r w:rsidRPr="00631DE0">
        <w:rPr>
          <w:rFonts w:ascii="Times New Roman" w:hAnsi="Times New Roman" w:cs="Times New Roman"/>
          <w:color w:val="000000" w:themeColor="text1"/>
          <w:sz w:val="24"/>
          <w:szCs w:val="24"/>
        </w:rPr>
        <w:t>he role of</w:t>
      </w:r>
      <w:r w:rsidR="00AD2C91" w:rsidRPr="00631DE0">
        <w:rPr>
          <w:rFonts w:ascii="Times New Roman" w:hAnsi="Times New Roman" w:cs="Times New Roman"/>
          <w:color w:val="000000" w:themeColor="text1"/>
          <w:sz w:val="24"/>
          <w:szCs w:val="24"/>
        </w:rPr>
        <w:t xml:space="preserve"> the</w:t>
      </w:r>
      <w:r w:rsidRPr="00631DE0">
        <w:rPr>
          <w:rFonts w:ascii="Times New Roman" w:hAnsi="Times New Roman" w:cs="Times New Roman"/>
          <w:color w:val="000000" w:themeColor="text1"/>
          <w:sz w:val="24"/>
          <w:szCs w:val="24"/>
        </w:rPr>
        <w:t xml:space="preserve"> relationship marketing and management’, </w:t>
      </w:r>
      <w:r w:rsidRPr="00631DE0">
        <w:rPr>
          <w:rFonts w:ascii="Times New Roman" w:hAnsi="Times New Roman" w:cs="Times New Roman"/>
          <w:i/>
          <w:iCs/>
          <w:color w:val="000000" w:themeColor="text1"/>
          <w:sz w:val="24"/>
          <w:szCs w:val="24"/>
        </w:rPr>
        <w:t>Nonprofit Quarterly.</w:t>
      </w:r>
    </w:p>
    <w:p w14:paraId="2BB50808" w14:textId="6A63D982" w:rsidR="002972ED" w:rsidRPr="00631DE0" w:rsidRDefault="00A7759F"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Cai, W., Bai, M., Davey, H. (2024) ‘Mandatory environmental disclosure policy in the largest carbon emission country’, </w:t>
      </w:r>
      <w:r w:rsidRPr="00631DE0">
        <w:rPr>
          <w:rFonts w:ascii="Times New Roman" w:hAnsi="Times New Roman" w:cs="Times New Roman"/>
          <w:i/>
          <w:iCs/>
          <w:color w:val="000000" w:themeColor="text1"/>
          <w:sz w:val="24"/>
          <w:szCs w:val="24"/>
        </w:rPr>
        <w:t>Pacific Accounting Review</w:t>
      </w:r>
      <w:r w:rsidRPr="00631DE0">
        <w:rPr>
          <w:rFonts w:ascii="Times New Roman" w:hAnsi="Times New Roman" w:cs="Times New Roman"/>
          <w:color w:val="000000" w:themeColor="text1"/>
          <w:sz w:val="24"/>
          <w:szCs w:val="24"/>
        </w:rPr>
        <w:t>, 36(5), pp.527-560.</w:t>
      </w:r>
    </w:p>
    <w:p w14:paraId="7B9C6192" w14:textId="771B3549" w:rsidR="002972ED" w:rsidRPr="00631DE0" w:rsidRDefault="002972ED"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Charity Commission (2025) </w:t>
      </w:r>
      <w:r w:rsidRPr="00631DE0">
        <w:rPr>
          <w:rFonts w:ascii="Times New Roman" w:hAnsi="Times New Roman" w:cs="Times New Roman"/>
          <w:i/>
          <w:iCs/>
          <w:color w:val="000000" w:themeColor="text1"/>
          <w:sz w:val="24"/>
          <w:szCs w:val="24"/>
        </w:rPr>
        <w:t>Charities in England and Wales</w:t>
      </w:r>
      <w:r w:rsidR="00BE789E"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available from</w:t>
      </w:r>
      <w:r w:rsidR="00BE789E" w:rsidRPr="00631DE0">
        <w:rPr>
          <w:rFonts w:ascii="Times New Roman" w:hAnsi="Times New Roman" w:cs="Times New Roman"/>
          <w:color w:val="000000" w:themeColor="text1"/>
          <w:sz w:val="24"/>
          <w:szCs w:val="24"/>
        </w:rPr>
        <w:t xml:space="preserve"> https</w:t>
      </w:r>
      <w:r w:rsidRPr="00631DE0">
        <w:rPr>
          <w:rFonts w:ascii="Times New Roman" w:hAnsi="Times New Roman" w:cs="Times New Roman"/>
          <w:color w:val="000000" w:themeColor="text1"/>
          <w:sz w:val="24"/>
          <w:szCs w:val="24"/>
        </w:rPr>
        <w:t>:</w:t>
      </w:r>
      <w:r w:rsidR="00BE789E" w:rsidRPr="00631DE0">
        <w:rPr>
          <w:rFonts w:ascii="Times New Roman" w:hAnsi="Times New Roman" w:cs="Times New Roman"/>
          <w:color w:val="000000" w:themeColor="text1"/>
          <w:sz w:val="24"/>
          <w:szCs w:val="24"/>
        </w:rPr>
        <w:t>// register of charity. charitiescommission.go.uk.</w:t>
      </w:r>
      <w:r w:rsidRPr="00631DE0">
        <w:rPr>
          <w:rFonts w:ascii="Times New Roman" w:hAnsi="Times New Roman" w:cs="Times New Roman"/>
          <w:color w:val="000000" w:themeColor="text1"/>
          <w:sz w:val="24"/>
          <w:szCs w:val="24"/>
        </w:rPr>
        <w:t xml:space="preserve"> accessed 31 September 2025.</w:t>
      </w:r>
    </w:p>
    <w:p w14:paraId="182F001A" w14:textId="4F42A915" w:rsidR="000D7C1A" w:rsidRPr="00631DE0" w:rsidRDefault="000D7C1A"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Chelli, M., Gendron, Y. (2013)</w:t>
      </w:r>
      <w:r w:rsidR="0025601D"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Sustainability ratings and disciplinary power of the ideology of numbers</w:t>
      </w:r>
      <w:r w:rsidR="0025601D"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Journal of Business Ethics</w:t>
      </w:r>
      <w:r w:rsidRPr="00631DE0">
        <w:rPr>
          <w:rFonts w:ascii="Times New Roman" w:hAnsi="Times New Roman" w:cs="Times New Roman"/>
          <w:color w:val="000000" w:themeColor="text1"/>
          <w:sz w:val="24"/>
          <w:szCs w:val="24"/>
        </w:rPr>
        <w:t>, 112,</w:t>
      </w:r>
      <w:r w:rsidR="0025601D" w:rsidRPr="00631DE0">
        <w:rPr>
          <w:rFonts w:ascii="Times New Roman" w:hAnsi="Times New Roman" w:cs="Times New Roman"/>
          <w:color w:val="000000" w:themeColor="text1"/>
          <w:sz w:val="24"/>
          <w:szCs w:val="24"/>
        </w:rPr>
        <w:t xml:space="preserve"> PP.</w:t>
      </w:r>
      <w:r w:rsidRPr="00631DE0">
        <w:rPr>
          <w:rFonts w:ascii="Times New Roman" w:hAnsi="Times New Roman" w:cs="Times New Roman"/>
          <w:color w:val="000000" w:themeColor="text1"/>
          <w:sz w:val="24"/>
          <w:szCs w:val="24"/>
        </w:rPr>
        <w:t xml:space="preserve"> 187–203.</w:t>
      </w:r>
    </w:p>
    <w:p w14:paraId="323BF6FA" w14:textId="417E9AF4" w:rsidR="00BE789E" w:rsidRPr="00631DE0" w:rsidRDefault="00332D03"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Chithambo, L., Tauringana, V., Tingbani, I.</w:t>
      </w:r>
      <w:r w:rsidR="00F7244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Achiro, L. (2022) </w:t>
      </w:r>
      <w:r w:rsidR="00F7244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Stakeholder pressure and greenhouses gas voluntary disclosures</w:t>
      </w:r>
      <w:r w:rsidR="00F7244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Business Strategy and the Environment</w:t>
      </w:r>
      <w:r w:rsidRPr="00631DE0">
        <w:rPr>
          <w:rFonts w:ascii="Times New Roman" w:hAnsi="Times New Roman" w:cs="Times New Roman"/>
          <w:color w:val="000000" w:themeColor="text1"/>
          <w:sz w:val="24"/>
          <w:szCs w:val="24"/>
        </w:rPr>
        <w:t>, 31</w:t>
      </w:r>
      <w:r w:rsidR="00F7244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1</w:t>
      </w:r>
      <w:r w:rsidR="00F7244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pp.159-172</w:t>
      </w:r>
    </w:p>
    <w:p w14:paraId="1BFEAB53" w14:textId="504F225F" w:rsidR="00BE789E" w:rsidRPr="00631DE0" w:rsidRDefault="007C0BCC" w:rsidP="00171628">
      <w:pPr>
        <w:suppressAutoHyphens/>
        <w:autoSpaceDN w:val="0"/>
        <w:spacing w:after="120" w:line="276" w:lineRule="auto"/>
        <w:ind w:firstLine="0"/>
        <w:textAlignment w:val="baseline"/>
        <w:rPr>
          <w:rFonts w:ascii="Times New Roman" w:hAnsi="Times New Roman" w:cs="Times New Roman"/>
          <w:i/>
          <w:iCs/>
          <w:color w:val="000000" w:themeColor="text1"/>
          <w:sz w:val="24"/>
          <w:szCs w:val="24"/>
        </w:rPr>
      </w:pPr>
      <w:r w:rsidRPr="00631DE0">
        <w:rPr>
          <w:rFonts w:ascii="Times New Roman" w:hAnsi="Times New Roman" w:cs="Times New Roman"/>
          <w:color w:val="000000" w:themeColor="text1"/>
          <w:sz w:val="24"/>
          <w:szCs w:val="24"/>
        </w:rPr>
        <w:t>Cho,</w:t>
      </w:r>
      <w:r w:rsidR="00BE789E"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H., Patten,</w:t>
      </w:r>
      <w:r w:rsidR="00BE789E"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M., Roberts,</w:t>
      </w:r>
      <w:r w:rsidR="00BE789E"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W.</w:t>
      </w:r>
      <w:r w:rsidR="00BE789E"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2014</w:t>
      </w:r>
      <w:r w:rsidR="00BE789E"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003803C0" w:rsidRPr="00631DE0">
        <w:rPr>
          <w:rFonts w:ascii="Times New Roman" w:hAnsi="Times New Roman" w:cs="Times New Roman"/>
          <w:i/>
          <w:iCs/>
          <w:color w:val="000000" w:themeColor="text1"/>
          <w:sz w:val="24"/>
          <w:szCs w:val="24"/>
        </w:rPr>
        <w:t xml:space="preserve">Environmental disclosure &amp; impression management. In </w:t>
      </w:r>
      <w:r w:rsidRPr="00631DE0">
        <w:rPr>
          <w:rFonts w:ascii="Times New Roman" w:hAnsi="Times New Roman" w:cs="Times New Roman"/>
          <w:i/>
          <w:iCs/>
          <w:color w:val="000000" w:themeColor="text1"/>
          <w:sz w:val="24"/>
          <w:szCs w:val="24"/>
        </w:rPr>
        <w:t>Hart, R.P. (Ed.), Communication and Language Analysis in Corporate</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World</w:t>
      </w:r>
      <w:r w:rsidRPr="00631DE0">
        <w:rPr>
          <w:rFonts w:ascii="Times New Roman" w:hAnsi="Times New Roman" w:cs="Times New Roman"/>
          <w:color w:val="000000" w:themeColor="text1"/>
          <w:sz w:val="24"/>
          <w:szCs w:val="24"/>
        </w:rPr>
        <w:t>. IGI Global, pp. 217–231</w:t>
      </w:r>
      <w:r w:rsidRPr="00631DE0">
        <w:rPr>
          <w:color w:val="000000" w:themeColor="text1"/>
          <w:sz w:val="24"/>
          <w:szCs w:val="24"/>
        </w:rPr>
        <w:t>.</w:t>
      </w:r>
    </w:p>
    <w:p w14:paraId="74A75CDD" w14:textId="53A27CB3" w:rsidR="00332D03" w:rsidRPr="00631DE0" w:rsidRDefault="00FA3525"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Cho, H., Michelon, G., Patten, M.</w:t>
      </w:r>
      <w:r w:rsidR="0025601D"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Roberts, W. (2015) </w:t>
      </w:r>
      <w:r w:rsidR="0025601D"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CSR disclosure: the more things change”, </w:t>
      </w:r>
      <w:r w:rsidRPr="00631DE0">
        <w:rPr>
          <w:rFonts w:ascii="Times New Roman" w:hAnsi="Times New Roman" w:cs="Times New Roman"/>
          <w:i/>
          <w:iCs/>
          <w:color w:val="000000" w:themeColor="text1"/>
          <w:sz w:val="24"/>
          <w:szCs w:val="24"/>
        </w:rPr>
        <w:t>Accounting, Auditing &amp; Accountability Journal</w:t>
      </w:r>
      <w:r w:rsidRPr="00631DE0">
        <w:rPr>
          <w:rFonts w:ascii="Times New Roman" w:hAnsi="Times New Roman" w:cs="Times New Roman"/>
          <w:color w:val="000000" w:themeColor="text1"/>
          <w:sz w:val="24"/>
          <w:szCs w:val="24"/>
        </w:rPr>
        <w:t xml:space="preserve">, 28 </w:t>
      </w:r>
      <w:r w:rsidR="0025601D"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1</w:t>
      </w:r>
      <w:r w:rsidR="0025601D"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pp. 14-35.</w:t>
      </w:r>
    </w:p>
    <w:p w14:paraId="0D426BE2" w14:textId="711FAE56" w:rsidR="00991C42" w:rsidRPr="00631DE0" w:rsidRDefault="00991C42"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Chowdhury, A., Dey, M., Abedin, T. (2020) ‘Firms’ attributes and environmental disclosure: Evidence from listed firms in Bangladesh</w:t>
      </w:r>
      <w:r w:rsidR="004F012D"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Asian Journal of Accounting Perspectives</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13</w:t>
      </w:r>
      <w:r w:rsidRPr="00631DE0">
        <w:rPr>
          <w:rFonts w:ascii="Times New Roman" w:hAnsi="Times New Roman" w:cs="Times New Roman"/>
          <w:color w:val="000000" w:themeColor="text1"/>
          <w:sz w:val="24"/>
          <w:szCs w:val="24"/>
        </w:rPr>
        <w:t>(2), pp.57-77.</w:t>
      </w:r>
    </w:p>
    <w:p w14:paraId="514585AF" w14:textId="32057F8A" w:rsidR="0034462C" w:rsidRPr="00631DE0" w:rsidRDefault="0034462C"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Clerkin, B.</w:t>
      </w:r>
      <w:r w:rsidR="0025601D"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Quinn, M. (2021)</w:t>
      </w:r>
      <w:r w:rsidR="0025601D"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 xml:space="preserve">Institutional agents missing in action? </w:t>
      </w:r>
      <w:r w:rsidR="0025601D" w:rsidRPr="00631DE0">
        <w:rPr>
          <w:rFonts w:ascii="Times New Roman" w:hAnsi="Times New Roman" w:cs="Times New Roman"/>
          <w:color w:val="000000" w:themeColor="text1"/>
          <w:sz w:val="24"/>
          <w:szCs w:val="24"/>
        </w:rPr>
        <w:t>m</w:t>
      </w:r>
      <w:r w:rsidRPr="00631DE0">
        <w:rPr>
          <w:rFonts w:ascii="Times New Roman" w:hAnsi="Times New Roman" w:cs="Times New Roman"/>
          <w:color w:val="000000" w:themeColor="text1"/>
          <w:sz w:val="24"/>
          <w:szCs w:val="24"/>
        </w:rPr>
        <w:t>anagement accounting at non-governmental organisations</w:t>
      </w:r>
      <w:r w:rsidR="0025601D"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Critical Perspectives on Accounting</w:t>
      </w:r>
      <w:r w:rsidRPr="00631DE0">
        <w:rPr>
          <w:rFonts w:ascii="Times New Roman" w:hAnsi="Times New Roman" w:cs="Times New Roman"/>
          <w:color w:val="000000" w:themeColor="text1"/>
          <w:sz w:val="24"/>
          <w:szCs w:val="24"/>
        </w:rPr>
        <w:t>, 81,</w:t>
      </w:r>
      <w:r w:rsidR="0025601D" w:rsidRPr="00631DE0">
        <w:rPr>
          <w:rFonts w:ascii="Times New Roman" w:hAnsi="Times New Roman" w:cs="Times New Roman"/>
          <w:color w:val="000000" w:themeColor="text1"/>
          <w:sz w:val="24"/>
          <w:szCs w:val="24"/>
        </w:rPr>
        <w:t xml:space="preserve"> P.</w:t>
      </w:r>
      <w:r w:rsidRPr="00631DE0">
        <w:rPr>
          <w:rFonts w:ascii="Times New Roman" w:hAnsi="Times New Roman" w:cs="Times New Roman"/>
          <w:color w:val="000000" w:themeColor="text1"/>
          <w:sz w:val="24"/>
          <w:szCs w:val="24"/>
        </w:rPr>
        <w:t>102276.</w:t>
      </w:r>
    </w:p>
    <w:p w14:paraId="495C984A" w14:textId="40134126" w:rsidR="0077040E" w:rsidRPr="00631DE0" w:rsidRDefault="00AC362C"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Comyns, B.</w:t>
      </w:r>
      <w:r w:rsidR="00DC1F1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Figge, F. (2015) </w:t>
      </w:r>
      <w:r w:rsidR="00DC1F1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Greenhouse gas reporting quality in the oil and gas industry: a longitudinal study using </w:t>
      </w:r>
      <w:r w:rsidR="00DC1F11" w:rsidRPr="00631DE0">
        <w:rPr>
          <w:rFonts w:ascii="Times New Roman" w:hAnsi="Times New Roman" w:cs="Times New Roman"/>
          <w:color w:val="000000" w:themeColor="text1"/>
          <w:sz w:val="24"/>
          <w:szCs w:val="24"/>
        </w:rPr>
        <w:t>the</w:t>
      </w:r>
      <w:r w:rsidRPr="00631DE0">
        <w:rPr>
          <w:rFonts w:ascii="Times New Roman" w:hAnsi="Times New Roman" w:cs="Times New Roman"/>
          <w:color w:val="000000" w:themeColor="text1"/>
          <w:sz w:val="24"/>
          <w:szCs w:val="24"/>
        </w:rPr>
        <w:t xml:space="preserve"> typology of ‘search</w:t>
      </w:r>
      <w:r w:rsidR="00DC1F1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experience and credence’</w:t>
      </w:r>
      <w:r w:rsidR="00DC1F11" w:rsidRPr="00631DE0">
        <w:rPr>
          <w:rFonts w:ascii="Times New Roman" w:hAnsi="Times New Roman" w:cs="Times New Roman"/>
          <w:color w:val="000000" w:themeColor="text1"/>
          <w:sz w:val="24"/>
          <w:szCs w:val="24"/>
        </w:rPr>
        <w:t xml:space="preserve"> of</w:t>
      </w:r>
      <w:r w:rsidRPr="00631DE0">
        <w:rPr>
          <w:rFonts w:ascii="Times New Roman" w:hAnsi="Times New Roman" w:cs="Times New Roman"/>
          <w:color w:val="000000" w:themeColor="text1"/>
          <w:sz w:val="24"/>
          <w:szCs w:val="24"/>
        </w:rPr>
        <w:t xml:space="preserve"> information</w:t>
      </w:r>
      <w:r w:rsidR="00DC1F1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Accounting,</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Auditing and Accountability Journal</w:t>
      </w:r>
      <w:r w:rsidRPr="00631DE0">
        <w:rPr>
          <w:rFonts w:ascii="Times New Roman" w:hAnsi="Times New Roman" w:cs="Times New Roman"/>
          <w:color w:val="000000" w:themeColor="text1"/>
          <w:sz w:val="24"/>
          <w:szCs w:val="24"/>
        </w:rPr>
        <w:t xml:space="preserve">, 28 </w:t>
      </w:r>
      <w:r w:rsidR="00DC1F1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3</w:t>
      </w:r>
      <w:r w:rsidR="00DC1F1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pp. 403-433.</w:t>
      </w:r>
    </w:p>
    <w:p w14:paraId="3CCF056D" w14:textId="77777777" w:rsidR="00B62663" w:rsidRPr="00631DE0" w:rsidRDefault="00B62663" w:rsidP="00B62663">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Connolly, C., Hyndman, N. (2013) ‘Charity accountability in the UK: through the eyes of the donor’, </w:t>
      </w:r>
      <w:r w:rsidRPr="00631DE0">
        <w:rPr>
          <w:rFonts w:ascii="Times New Roman" w:hAnsi="Times New Roman" w:cs="Times New Roman"/>
          <w:i/>
          <w:iCs/>
          <w:color w:val="000000" w:themeColor="text1"/>
          <w:sz w:val="24"/>
          <w:szCs w:val="24"/>
        </w:rPr>
        <w:t>Qualitative Research in Accounting &amp; Management</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10</w:t>
      </w:r>
      <w:r w:rsidRPr="00631DE0">
        <w:rPr>
          <w:rFonts w:ascii="Times New Roman" w:hAnsi="Times New Roman" w:cs="Times New Roman"/>
          <w:color w:val="000000" w:themeColor="text1"/>
          <w:sz w:val="24"/>
          <w:szCs w:val="24"/>
        </w:rPr>
        <w:t>(3/4), pp.259-278.</w:t>
      </w:r>
    </w:p>
    <w:p w14:paraId="29DB3295" w14:textId="18864A87" w:rsidR="00B62663" w:rsidRPr="00631DE0" w:rsidRDefault="00B62663"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lastRenderedPageBreak/>
        <w:t>Connolly, C., Hyndman, N., McConville, D. (2014) ‘UK charity accounting: Developments, issues and recent research’, </w:t>
      </w:r>
      <w:r w:rsidRPr="00631DE0">
        <w:rPr>
          <w:rFonts w:ascii="Times New Roman" w:hAnsi="Times New Roman" w:cs="Times New Roman"/>
          <w:i/>
          <w:iCs/>
          <w:color w:val="000000" w:themeColor="text1"/>
          <w:sz w:val="24"/>
          <w:szCs w:val="24"/>
        </w:rPr>
        <w:t>Performance Management in Nonprofit Organizations</w:t>
      </w:r>
      <w:r w:rsidRPr="00631DE0">
        <w:rPr>
          <w:rFonts w:ascii="Times New Roman" w:hAnsi="Times New Roman" w:cs="Times New Roman"/>
          <w:color w:val="000000" w:themeColor="text1"/>
          <w:sz w:val="24"/>
          <w:szCs w:val="24"/>
        </w:rPr>
        <w:t>, pp.177-204.</w:t>
      </w:r>
    </w:p>
    <w:p w14:paraId="43B32055" w14:textId="1890C28F" w:rsidR="00B62663" w:rsidRPr="00631DE0" w:rsidRDefault="00B62663"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Connolly, C., Hyndman, N., Liguori, M. (2017) ‘Performance accountability: A study of the UK and Irish charity practices at a time of change</w:t>
      </w:r>
      <w:r w:rsidR="00D85CAD" w:rsidRPr="00631DE0">
        <w:rPr>
          <w:rFonts w:ascii="Times New Roman" w:hAnsi="Times New Roman" w:cs="Times New Roman"/>
          <w:color w:val="000000" w:themeColor="text1"/>
          <w:sz w:val="24"/>
          <w:szCs w:val="24"/>
        </w:rPr>
        <w:t xml:space="preserve">’, </w:t>
      </w:r>
      <w:r w:rsidR="00D85CAD" w:rsidRPr="00631DE0">
        <w:rPr>
          <w:rFonts w:ascii="Times New Roman" w:hAnsi="Times New Roman" w:cs="Times New Roman"/>
          <w:i/>
          <w:iCs/>
          <w:color w:val="000000" w:themeColor="text1"/>
          <w:sz w:val="24"/>
          <w:szCs w:val="24"/>
        </w:rPr>
        <w:t>Accounting</w:t>
      </w:r>
      <w:r w:rsidRPr="00631DE0">
        <w:rPr>
          <w:rFonts w:ascii="Times New Roman" w:hAnsi="Times New Roman" w:cs="Times New Roman"/>
          <w:i/>
          <w:iCs/>
          <w:color w:val="000000" w:themeColor="text1"/>
          <w:sz w:val="24"/>
          <w:szCs w:val="24"/>
        </w:rPr>
        <w:t>, Finance and Governance Review</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24</w:t>
      </w:r>
      <w:r w:rsidRPr="00631DE0">
        <w:rPr>
          <w:rFonts w:ascii="Times New Roman" w:hAnsi="Times New Roman" w:cs="Times New Roman"/>
          <w:color w:val="000000" w:themeColor="text1"/>
          <w:sz w:val="24"/>
          <w:szCs w:val="24"/>
        </w:rPr>
        <w:t>(1), pp.45-70.</w:t>
      </w:r>
    </w:p>
    <w:p w14:paraId="03E1C28B" w14:textId="1994EA50" w:rsidR="00D85CAD" w:rsidRPr="00631DE0" w:rsidRDefault="00D85CAD"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Conway, L., O’Keefe, A., Hrasky, L. (2015) ‘Legitimacy, accountability and impression management in NGOs: the Indian Ocean tsunami’, </w:t>
      </w:r>
      <w:r w:rsidRPr="00631DE0">
        <w:rPr>
          <w:rFonts w:ascii="Times New Roman" w:hAnsi="Times New Roman" w:cs="Times New Roman"/>
          <w:i/>
          <w:iCs/>
          <w:color w:val="000000" w:themeColor="text1"/>
          <w:sz w:val="24"/>
          <w:szCs w:val="24"/>
        </w:rPr>
        <w:t>Account Audit. Account. J.</w:t>
      </w:r>
      <w:r w:rsidRPr="00631DE0">
        <w:rPr>
          <w:rFonts w:ascii="Times New Roman" w:hAnsi="Times New Roman" w:cs="Times New Roman"/>
          <w:color w:val="000000" w:themeColor="text1"/>
          <w:sz w:val="24"/>
          <w:szCs w:val="24"/>
        </w:rPr>
        <w:t>,28 (7), pp.1075–1098</w:t>
      </w:r>
    </w:p>
    <w:p w14:paraId="31B9872D" w14:textId="6444330F" w:rsidR="00973996" w:rsidRPr="00631DE0" w:rsidRDefault="00973996"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Corazza, L., Truant, E., Scagnelli, S.D., Mio, C. (2020) ‘Sustainability reporting after the Costa Concordia disaster: a multi-theory study on legitimacy, impression management and image restoration’, </w:t>
      </w:r>
      <w:r w:rsidRPr="00631DE0">
        <w:rPr>
          <w:rFonts w:ascii="Times New Roman" w:hAnsi="Times New Roman" w:cs="Times New Roman"/>
          <w:i/>
          <w:iCs/>
          <w:color w:val="000000" w:themeColor="text1"/>
          <w:sz w:val="24"/>
          <w:szCs w:val="24"/>
        </w:rPr>
        <w:t>Accounting, Auditing &amp; Accountability Journal</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33</w:t>
      </w:r>
      <w:r w:rsidRPr="00631DE0">
        <w:rPr>
          <w:rFonts w:ascii="Times New Roman" w:hAnsi="Times New Roman" w:cs="Times New Roman"/>
          <w:color w:val="000000" w:themeColor="text1"/>
          <w:sz w:val="24"/>
          <w:szCs w:val="24"/>
        </w:rPr>
        <w:t>(8), pp.1909-1941.</w:t>
      </w:r>
    </w:p>
    <w:p w14:paraId="0A81E6FE" w14:textId="0B64D4D6" w:rsidR="00DC1F11" w:rsidRPr="00631DE0" w:rsidRDefault="00DC1F11"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shd w:val="clear" w:color="auto" w:fill="FFFFFF"/>
        </w:rPr>
        <w:t>Costa, E., Andreaus, M. (2021) ‘Social impact and performance measurement systems in an Italian social enterprise: a participatory action research project’, </w:t>
      </w:r>
      <w:r w:rsidRPr="00631DE0">
        <w:rPr>
          <w:rFonts w:ascii="Times New Roman" w:hAnsi="Times New Roman" w:cs="Times New Roman"/>
          <w:i/>
          <w:iCs/>
          <w:color w:val="000000" w:themeColor="text1"/>
          <w:sz w:val="24"/>
          <w:szCs w:val="24"/>
          <w:shd w:val="clear" w:color="auto" w:fill="FFFFFF"/>
        </w:rPr>
        <w:t>Journal of Public Budgeting, Accounting &amp; Financial Management</w:t>
      </w:r>
      <w:r w:rsidRPr="00631DE0">
        <w:rPr>
          <w:rFonts w:ascii="Times New Roman" w:hAnsi="Times New Roman" w:cs="Times New Roman"/>
          <w:color w:val="000000" w:themeColor="text1"/>
          <w:sz w:val="24"/>
          <w:szCs w:val="24"/>
          <w:shd w:val="clear" w:color="auto" w:fill="FFFFFF"/>
        </w:rPr>
        <w:t>, </w:t>
      </w:r>
      <w:r w:rsidRPr="00631DE0">
        <w:rPr>
          <w:rFonts w:ascii="Times New Roman" w:hAnsi="Times New Roman" w:cs="Times New Roman"/>
          <w:i/>
          <w:iCs/>
          <w:color w:val="000000" w:themeColor="text1"/>
          <w:sz w:val="24"/>
          <w:szCs w:val="24"/>
          <w:shd w:val="clear" w:color="auto" w:fill="FFFFFF"/>
        </w:rPr>
        <w:t>33</w:t>
      </w:r>
      <w:r w:rsidRPr="00631DE0">
        <w:rPr>
          <w:rFonts w:ascii="Times New Roman" w:hAnsi="Times New Roman" w:cs="Times New Roman"/>
          <w:color w:val="000000" w:themeColor="text1"/>
          <w:sz w:val="24"/>
          <w:szCs w:val="24"/>
          <w:shd w:val="clear" w:color="auto" w:fill="FFFFFF"/>
        </w:rPr>
        <w:t>(3), pp.289-313.</w:t>
      </w:r>
    </w:p>
    <w:p w14:paraId="3A7166E6" w14:textId="55515C77" w:rsidR="00DC1F11" w:rsidRPr="00631DE0" w:rsidRDefault="00DC1F11"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Cui, X., Xie, W. (2021) ‘Adapting agriculture to climate change through growing season adjustments: evidence from corn in China’, </w:t>
      </w:r>
      <w:r w:rsidRPr="00631DE0">
        <w:rPr>
          <w:rFonts w:ascii="Times New Roman" w:hAnsi="Times New Roman" w:cs="Times New Roman"/>
          <w:i/>
          <w:iCs/>
          <w:color w:val="000000" w:themeColor="text1"/>
          <w:sz w:val="24"/>
          <w:szCs w:val="24"/>
        </w:rPr>
        <w:t>American Journal of Agricultural Economics</w:t>
      </w:r>
      <w:r w:rsidRPr="00631DE0">
        <w:rPr>
          <w:rFonts w:ascii="Times New Roman" w:hAnsi="Times New Roman" w:cs="Times New Roman"/>
          <w:color w:val="000000" w:themeColor="text1"/>
          <w:sz w:val="24"/>
          <w:szCs w:val="24"/>
        </w:rPr>
        <w:t>, 104, pp. 249–272.</w:t>
      </w:r>
    </w:p>
    <w:p w14:paraId="0DA8A92C" w14:textId="52A06784" w:rsidR="001736B5" w:rsidRPr="00631DE0" w:rsidRDefault="001736B5"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D'Amico, E., Coluccia, D., Fontana,S.,Solimene, S. (2016) ‘Factors influencing corporate environmental disclosure’, </w:t>
      </w:r>
      <w:r w:rsidRPr="00631DE0">
        <w:rPr>
          <w:rFonts w:ascii="Times New Roman" w:hAnsi="Times New Roman" w:cs="Times New Roman"/>
          <w:i/>
          <w:iCs/>
          <w:color w:val="000000" w:themeColor="text1"/>
          <w:sz w:val="24"/>
          <w:szCs w:val="24"/>
        </w:rPr>
        <w:t>Business Strategy and the Environment</w:t>
      </w:r>
      <w:r w:rsidRPr="00631DE0">
        <w:rPr>
          <w:rFonts w:ascii="Times New Roman" w:hAnsi="Times New Roman" w:cs="Times New Roman"/>
          <w:color w:val="000000" w:themeColor="text1"/>
          <w:sz w:val="24"/>
          <w:szCs w:val="24"/>
        </w:rPr>
        <w:t>, 25 (3), pp. 178-192.</w:t>
      </w:r>
    </w:p>
    <w:p w14:paraId="4E1063DE" w14:textId="75E74152" w:rsidR="006927D4" w:rsidRPr="00631DE0" w:rsidRDefault="006927D4"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DEFRA. (2013) </w:t>
      </w:r>
      <w:r w:rsidRPr="00631DE0">
        <w:rPr>
          <w:rFonts w:ascii="Times New Roman" w:hAnsi="Times New Roman" w:cs="Times New Roman"/>
          <w:i/>
          <w:iCs/>
          <w:color w:val="000000" w:themeColor="text1"/>
          <w:sz w:val="24"/>
          <w:szCs w:val="24"/>
        </w:rPr>
        <w:t>Environmental reporting guidelines: Including mandatory greenhouse gas emissions reporting guidance</w:t>
      </w:r>
      <w:r w:rsidRPr="00631DE0">
        <w:rPr>
          <w:rFonts w:ascii="Times New Roman" w:hAnsi="Times New Roman" w:cs="Times New Roman"/>
          <w:color w:val="000000" w:themeColor="text1"/>
          <w:sz w:val="24"/>
          <w:szCs w:val="24"/>
        </w:rPr>
        <w:t>. Department for Environmental Food &amp;Rural Affairs.</w:t>
      </w:r>
      <w:r w:rsidR="003803C0" w:rsidRPr="00631DE0">
        <w:rPr>
          <w:rFonts w:ascii="Times New Roman" w:hAnsi="Times New Roman" w:cs="Times New Roman"/>
          <w:color w:val="000000" w:themeColor="text1"/>
          <w:sz w:val="24"/>
          <w:szCs w:val="24"/>
        </w:rPr>
        <w:t xml:space="preserve"> Available at</w:t>
      </w:r>
      <w:r w:rsidRPr="00631DE0">
        <w:rPr>
          <w:rFonts w:ascii="Times New Roman" w:hAnsi="Times New Roman" w:cs="Times New Roman"/>
          <w:color w:val="000000" w:themeColor="text1"/>
          <w:sz w:val="24"/>
          <w:szCs w:val="24"/>
        </w:rPr>
        <w:t xml:space="preserve"> </w:t>
      </w:r>
      <w:hyperlink r:id="rId8" w:history="1">
        <w:r w:rsidRPr="00631DE0">
          <w:rPr>
            <w:rStyle w:val="Hyperlink"/>
            <w:rFonts w:ascii="Times New Roman" w:hAnsi="Times New Roman" w:cs="Times New Roman"/>
            <w:color w:val="000000" w:themeColor="text1"/>
            <w:sz w:val="24"/>
            <w:szCs w:val="24"/>
            <w:u w:val="none"/>
          </w:rPr>
          <w:t>www.gov</w:t>
        </w:r>
      </w:hyperlink>
      <w:r w:rsidRPr="00631DE0">
        <w:rPr>
          <w:rFonts w:ascii="Times New Roman" w:hAnsi="Times New Roman" w:cs="Times New Roman"/>
          <w:color w:val="000000" w:themeColor="text1"/>
          <w:sz w:val="24"/>
          <w:szCs w:val="24"/>
        </w:rPr>
        <w:t>.uk/government/uploads/system/uploads/attachment_data/file/206392/pb13944-env-reporting-guidance.pdf. Accessed 20.09.25.</w:t>
      </w:r>
    </w:p>
    <w:p w14:paraId="74DAAD17" w14:textId="66D89092" w:rsidR="00DC1F11" w:rsidRPr="00631DE0" w:rsidRDefault="00DC1F11"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Deegan, C. (2019) ‘Legitimacy theory: despite its enduring popularity and contribution, time is right for a necessary makeover’, </w:t>
      </w:r>
      <w:r w:rsidRPr="00631DE0">
        <w:rPr>
          <w:rFonts w:ascii="Times New Roman" w:hAnsi="Times New Roman" w:cs="Times New Roman"/>
          <w:i/>
          <w:iCs/>
          <w:color w:val="000000" w:themeColor="text1"/>
          <w:sz w:val="24"/>
          <w:szCs w:val="24"/>
        </w:rPr>
        <w:t>Accounting Auditing Accountability Journal</w:t>
      </w:r>
      <w:r w:rsidRPr="00631DE0">
        <w:rPr>
          <w:rFonts w:ascii="Times New Roman" w:hAnsi="Times New Roman" w:cs="Times New Roman"/>
          <w:color w:val="000000" w:themeColor="text1"/>
          <w:sz w:val="24"/>
          <w:szCs w:val="24"/>
        </w:rPr>
        <w:t>, 32 (8), pp. 2307–2329.</w:t>
      </w:r>
    </w:p>
    <w:p w14:paraId="181A1936" w14:textId="73D5C496" w:rsidR="007A0AF7" w:rsidRPr="00631DE0" w:rsidRDefault="00824C40"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Deegan, C. (2017)</w:t>
      </w:r>
      <w:r w:rsidR="00DC1F11" w:rsidRPr="00631DE0">
        <w:rPr>
          <w:rFonts w:ascii="Times New Roman" w:hAnsi="Times New Roman" w:cs="Times New Roman"/>
          <w:color w:val="000000" w:themeColor="text1"/>
          <w:sz w:val="24"/>
          <w:szCs w:val="24"/>
        </w:rPr>
        <w:t xml:space="preserve"> ‘Twenty-five</w:t>
      </w:r>
      <w:r w:rsidRPr="00631DE0">
        <w:rPr>
          <w:rFonts w:ascii="Times New Roman" w:hAnsi="Times New Roman" w:cs="Times New Roman"/>
          <w:color w:val="000000" w:themeColor="text1"/>
          <w:sz w:val="24"/>
          <w:szCs w:val="24"/>
        </w:rPr>
        <w:t xml:space="preserve"> years of social and environmental accounting research within critical perspectives of accounting: hits, misses and ways forward</w:t>
      </w:r>
      <w:r w:rsidR="00DC1F1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Critical Perspectives on Accounting</w:t>
      </w:r>
      <w:r w:rsidRPr="00631DE0">
        <w:rPr>
          <w:rFonts w:ascii="Times New Roman" w:hAnsi="Times New Roman" w:cs="Times New Roman"/>
          <w:color w:val="000000" w:themeColor="text1"/>
          <w:sz w:val="24"/>
          <w:szCs w:val="24"/>
        </w:rPr>
        <w:t xml:space="preserve">, </w:t>
      </w:r>
      <w:r w:rsidR="00DC1F1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43</w:t>
      </w:r>
      <w:r w:rsidR="00DC1F1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pp. 65-87.</w:t>
      </w:r>
    </w:p>
    <w:p w14:paraId="143D2C52" w14:textId="5D1EBFAE" w:rsidR="00EA5F99" w:rsidRPr="00631DE0" w:rsidRDefault="00EA5F99"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Deegan, C.</w:t>
      </w:r>
      <w:r w:rsidR="00F36D57"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2014</w:t>
      </w:r>
      <w:r w:rsidR="00F36D5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00F36D5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An overview of</w:t>
      </w:r>
      <w:r w:rsidR="00F36D57" w:rsidRPr="00631DE0">
        <w:rPr>
          <w:rFonts w:ascii="Times New Roman" w:hAnsi="Times New Roman" w:cs="Times New Roman"/>
          <w:color w:val="000000" w:themeColor="text1"/>
          <w:sz w:val="24"/>
          <w:szCs w:val="24"/>
        </w:rPr>
        <w:t xml:space="preserve"> the</w:t>
      </w:r>
      <w:r w:rsidRPr="00631DE0">
        <w:rPr>
          <w:rFonts w:ascii="Times New Roman" w:hAnsi="Times New Roman" w:cs="Times New Roman"/>
          <w:color w:val="000000" w:themeColor="text1"/>
          <w:sz w:val="24"/>
          <w:szCs w:val="24"/>
        </w:rPr>
        <w:t xml:space="preserve"> legitimacy theory as applied within the social and environmental accounting literature</w:t>
      </w:r>
      <w:r w:rsidR="00F36D5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Sustainability accounting and accountability</w:t>
      </w:r>
      <w:r w:rsidRPr="00631DE0">
        <w:rPr>
          <w:rFonts w:ascii="Times New Roman" w:hAnsi="Times New Roman" w:cs="Times New Roman"/>
          <w:color w:val="000000" w:themeColor="text1"/>
          <w:sz w:val="24"/>
          <w:szCs w:val="24"/>
        </w:rPr>
        <w:t>, pp.248-272.</w:t>
      </w:r>
    </w:p>
    <w:p w14:paraId="70258013" w14:textId="7EEF4C29" w:rsidR="001B4AC8" w:rsidRPr="00631DE0" w:rsidRDefault="001B4AC8"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Deegan, C. (2002) ‘Introduction: legitimising effect of social and environmental disclosures–a theoretical foundation</w:t>
      </w:r>
      <w:r w:rsidR="002738CD"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Accounting, auditing &amp; accountability journal</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15</w:t>
      </w:r>
      <w:r w:rsidRPr="00631DE0">
        <w:rPr>
          <w:rFonts w:ascii="Times New Roman" w:hAnsi="Times New Roman" w:cs="Times New Roman"/>
          <w:color w:val="000000" w:themeColor="text1"/>
          <w:sz w:val="24"/>
          <w:szCs w:val="24"/>
        </w:rPr>
        <w:t>(3), pp.282-311.</w:t>
      </w:r>
    </w:p>
    <w:p w14:paraId="671FEC7B" w14:textId="3AC85630" w:rsidR="00BE63F0" w:rsidRPr="00631DE0" w:rsidRDefault="007A0AF7"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Deephouse, D., Bundy, J., Tost, L., Suchman, M. </w:t>
      </w:r>
      <w:r w:rsidR="00F36D5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2017</w:t>
      </w:r>
      <w:r w:rsidR="00F36D57" w:rsidRPr="00631DE0">
        <w:rPr>
          <w:rFonts w:ascii="Times New Roman" w:hAnsi="Times New Roman" w:cs="Times New Roman"/>
          <w:color w:val="000000" w:themeColor="text1"/>
          <w:sz w:val="24"/>
          <w:szCs w:val="24"/>
        </w:rPr>
        <w:t>)</w:t>
      </w:r>
      <w:r w:rsidRPr="00631DE0">
        <w:rPr>
          <w:rFonts w:ascii="Times New Roman" w:hAnsi="Times New Roman" w:cs="Times New Roman"/>
          <w:i/>
          <w:iCs/>
          <w:color w:val="000000" w:themeColor="text1"/>
          <w:sz w:val="24"/>
          <w:szCs w:val="24"/>
        </w:rPr>
        <w:t xml:space="preserve"> Organizational legitimacy: six key questions. In: Deephouse, D., Bundy, J., Tost, L. (Eds.), Organizational Legitimacy: Six Key Questions</w:t>
      </w:r>
      <w:r w:rsidRPr="00631DE0">
        <w:rPr>
          <w:rFonts w:ascii="Times New Roman" w:hAnsi="Times New Roman" w:cs="Times New Roman"/>
          <w:color w:val="000000" w:themeColor="text1"/>
          <w:sz w:val="24"/>
          <w:szCs w:val="24"/>
        </w:rPr>
        <w:t>. SAGE Publications Ltd, pp. 27–52.</w:t>
      </w:r>
    </w:p>
    <w:p w14:paraId="47C22A18" w14:textId="4F4FDC37" w:rsidR="00F97851" w:rsidRPr="00631DE0" w:rsidRDefault="00F97851"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lastRenderedPageBreak/>
        <w:t>De Marchi, V.</w:t>
      </w:r>
      <w:r w:rsidR="00F36D57"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2012</w:t>
      </w:r>
      <w:r w:rsidR="00F36D5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00F36D5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Environmental innovation and R&amp;D cooperation: Empirical evidence from Spanish manufacturing firms</w:t>
      </w:r>
      <w:r w:rsidR="00F36D5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Research policy</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41</w:t>
      </w:r>
      <w:r w:rsidRPr="00631DE0">
        <w:rPr>
          <w:rFonts w:ascii="Times New Roman" w:hAnsi="Times New Roman" w:cs="Times New Roman"/>
          <w:color w:val="000000" w:themeColor="text1"/>
          <w:sz w:val="24"/>
          <w:szCs w:val="24"/>
        </w:rPr>
        <w:t>(3), pp.614-623.</w:t>
      </w:r>
    </w:p>
    <w:p w14:paraId="224E8F23" w14:textId="67CAAC42" w:rsidR="005E2595" w:rsidRPr="00631DE0" w:rsidRDefault="005E2595"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Dhanani, A., Connolly, C. (2015)</w:t>
      </w:r>
      <w:r w:rsidR="00F36D57" w:rsidRPr="00631DE0">
        <w:rPr>
          <w:rFonts w:ascii="Times New Roman" w:hAnsi="Times New Roman" w:cs="Times New Roman"/>
          <w:color w:val="000000" w:themeColor="text1"/>
          <w:sz w:val="24"/>
          <w:szCs w:val="24"/>
        </w:rPr>
        <w:t xml:space="preserve"> ‘</w:t>
      </w:r>
      <w:r w:rsidR="00E61993" w:rsidRPr="00631DE0">
        <w:rPr>
          <w:rFonts w:ascii="Times New Roman" w:hAnsi="Times New Roman" w:cs="Times New Roman"/>
          <w:color w:val="000000" w:themeColor="text1"/>
          <w:sz w:val="24"/>
          <w:szCs w:val="24"/>
        </w:rPr>
        <w:t>Non-governmental</w:t>
      </w:r>
      <w:r w:rsidRPr="00631DE0">
        <w:rPr>
          <w:rFonts w:ascii="Times New Roman" w:hAnsi="Times New Roman" w:cs="Times New Roman"/>
          <w:color w:val="000000" w:themeColor="text1"/>
          <w:sz w:val="24"/>
          <w:szCs w:val="24"/>
        </w:rPr>
        <w:t xml:space="preserve"> organizational accountability: Talking the talk and walking the walk</w:t>
      </w:r>
      <w:r w:rsidR="00F36D5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Journal of Business Ethics</w:t>
      </w:r>
      <w:r w:rsidRPr="00631DE0">
        <w:rPr>
          <w:rFonts w:ascii="Times New Roman" w:hAnsi="Times New Roman" w:cs="Times New Roman"/>
          <w:color w:val="000000" w:themeColor="text1"/>
          <w:sz w:val="24"/>
          <w:szCs w:val="24"/>
        </w:rPr>
        <w:t>, 29(1), 613–637.</w:t>
      </w:r>
    </w:p>
    <w:p w14:paraId="681D141C" w14:textId="0255041E" w:rsidR="005671EA" w:rsidRPr="00631DE0" w:rsidRDefault="005671EA"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Dhanani, A., Connolly, C. (2012) ‘Discharging not‐for‐profit accountability: UK charities and public discourse’, </w:t>
      </w:r>
      <w:r w:rsidRPr="00631DE0">
        <w:rPr>
          <w:rFonts w:ascii="Times New Roman" w:hAnsi="Times New Roman" w:cs="Times New Roman"/>
          <w:i/>
          <w:iCs/>
          <w:color w:val="000000" w:themeColor="text1"/>
          <w:sz w:val="24"/>
          <w:szCs w:val="24"/>
        </w:rPr>
        <w:t>Accounting, Auditing &amp; Accountability Journal</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25</w:t>
      </w:r>
      <w:r w:rsidRPr="00631DE0">
        <w:rPr>
          <w:rFonts w:ascii="Times New Roman" w:hAnsi="Times New Roman" w:cs="Times New Roman"/>
          <w:color w:val="000000" w:themeColor="text1"/>
          <w:sz w:val="24"/>
          <w:szCs w:val="24"/>
        </w:rPr>
        <w:t>(7), pp.1140-1169.</w:t>
      </w:r>
    </w:p>
    <w:p w14:paraId="4ECFC74D" w14:textId="141DB389" w:rsidR="004F012D" w:rsidRPr="00631DE0" w:rsidRDefault="00F36D57"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Diesendorf, M. (2010) ‘The climate action movement in Australia’, </w:t>
      </w:r>
      <w:r w:rsidRPr="00631DE0">
        <w:rPr>
          <w:rFonts w:ascii="Times New Roman" w:hAnsi="Times New Roman" w:cs="Times New Roman"/>
          <w:i/>
          <w:iCs/>
          <w:color w:val="000000" w:themeColor="text1"/>
          <w:sz w:val="24"/>
          <w:szCs w:val="24"/>
        </w:rPr>
        <w:t>Social Alternatives</w:t>
      </w:r>
      <w:r w:rsidRPr="00631DE0">
        <w:rPr>
          <w:rFonts w:ascii="Times New Roman" w:hAnsi="Times New Roman" w:cs="Times New Roman"/>
          <w:color w:val="000000" w:themeColor="text1"/>
          <w:sz w:val="24"/>
          <w:szCs w:val="24"/>
        </w:rPr>
        <w:t>, 29(3), 56–62.</w:t>
      </w:r>
    </w:p>
    <w:p w14:paraId="419CD058" w14:textId="549805F3" w:rsidR="006907C3" w:rsidRPr="00631DE0" w:rsidRDefault="006907C3"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DiMaggio, P. J., Powell, W. W. (1983)</w:t>
      </w:r>
      <w:r w:rsidR="00F36D57"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The iron cage revisited institutional isomorphism and collective rationality in</w:t>
      </w:r>
      <w:r w:rsidR="00F36D57" w:rsidRPr="00631DE0">
        <w:rPr>
          <w:rFonts w:ascii="Times New Roman" w:hAnsi="Times New Roman" w:cs="Times New Roman"/>
          <w:color w:val="000000" w:themeColor="text1"/>
          <w:sz w:val="24"/>
          <w:szCs w:val="24"/>
        </w:rPr>
        <w:t xml:space="preserve"> the</w:t>
      </w:r>
      <w:r w:rsidRPr="00631DE0">
        <w:rPr>
          <w:rFonts w:ascii="Times New Roman" w:hAnsi="Times New Roman" w:cs="Times New Roman"/>
          <w:color w:val="000000" w:themeColor="text1"/>
          <w:sz w:val="24"/>
          <w:szCs w:val="24"/>
        </w:rPr>
        <w:t xml:space="preserve"> organizational fields</w:t>
      </w:r>
      <w:r w:rsidR="00F36D5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Advances in Strategic Management</w:t>
      </w:r>
      <w:r w:rsidRPr="00631DE0">
        <w:rPr>
          <w:rFonts w:ascii="Times New Roman" w:hAnsi="Times New Roman" w:cs="Times New Roman"/>
          <w:color w:val="000000" w:themeColor="text1"/>
          <w:sz w:val="24"/>
          <w:szCs w:val="24"/>
        </w:rPr>
        <w:t xml:space="preserve">, 48(2), </w:t>
      </w:r>
      <w:r w:rsidR="00F36D57" w:rsidRPr="00631DE0">
        <w:rPr>
          <w:rFonts w:ascii="Times New Roman" w:hAnsi="Times New Roman" w:cs="Times New Roman"/>
          <w:color w:val="000000" w:themeColor="text1"/>
          <w:sz w:val="24"/>
          <w:szCs w:val="24"/>
        </w:rPr>
        <w:t>pp.</w:t>
      </w:r>
      <w:r w:rsidRPr="00631DE0">
        <w:rPr>
          <w:rFonts w:ascii="Times New Roman" w:hAnsi="Times New Roman" w:cs="Times New Roman"/>
          <w:color w:val="000000" w:themeColor="text1"/>
          <w:sz w:val="24"/>
          <w:szCs w:val="24"/>
        </w:rPr>
        <w:t>147–160.</w:t>
      </w:r>
    </w:p>
    <w:p w14:paraId="33296545" w14:textId="1D001A19" w:rsidR="00677C08" w:rsidRPr="00631DE0" w:rsidRDefault="00336243" w:rsidP="00171628">
      <w:pPr>
        <w:suppressAutoHyphens/>
        <w:autoSpaceDN w:val="0"/>
        <w:spacing w:after="120" w:line="276" w:lineRule="auto"/>
        <w:ind w:firstLine="0"/>
        <w:textAlignment w:val="baseline"/>
        <w:rPr>
          <w:rFonts w:ascii="Times New Roman" w:hAnsi="Times New Roman" w:cs="Times New Roman"/>
          <w:color w:val="000000" w:themeColor="text1"/>
        </w:rPr>
      </w:pPr>
      <w:r w:rsidRPr="00631DE0">
        <w:rPr>
          <w:rFonts w:ascii="Times New Roman" w:hAnsi="Times New Roman" w:cs="Times New Roman"/>
          <w:color w:val="000000" w:themeColor="text1"/>
        </w:rPr>
        <w:t xml:space="preserve">Ding, J., Lu, Z., Yu, C.H. </w:t>
      </w:r>
      <w:r w:rsidR="00F36D57" w:rsidRPr="00631DE0">
        <w:rPr>
          <w:rFonts w:ascii="Times New Roman" w:hAnsi="Times New Roman" w:cs="Times New Roman"/>
          <w:color w:val="000000" w:themeColor="text1"/>
        </w:rPr>
        <w:t>(</w:t>
      </w:r>
      <w:r w:rsidRPr="00631DE0">
        <w:rPr>
          <w:rFonts w:ascii="Times New Roman" w:hAnsi="Times New Roman" w:cs="Times New Roman"/>
          <w:color w:val="000000" w:themeColor="text1"/>
        </w:rPr>
        <w:t>2022</w:t>
      </w:r>
      <w:r w:rsidR="00F36D57" w:rsidRPr="00631DE0">
        <w:rPr>
          <w:rFonts w:ascii="Times New Roman" w:hAnsi="Times New Roman" w:cs="Times New Roman"/>
          <w:color w:val="000000" w:themeColor="text1"/>
        </w:rPr>
        <w:t>)</w:t>
      </w:r>
      <w:r w:rsidRPr="00631DE0">
        <w:rPr>
          <w:rFonts w:ascii="Times New Roman" w:hAnsi="Times New Roman" w:cs="Times New Roman"/>
          <w:color w:val="000000" w:themeColor="text1"/>
        </w:rPr>
        <w:t xml:space="preserve"> </w:t>
      </w:r>
      <w:r w:rsidR="00F36D57" w:rsidRPr="00631DE0">
        <w:rPr>
          <w:rFonts w:ascii="Times New Roman" w:hAnsi="Times New Roman" w:cs="Times New Roman"/>
          <w:color w:val="000000" w:themeColor="text1"/>
        </w:rPr>
        <w:t>‘</w:t>
      </w:r>
      <w:r w:rsidRPr="00631DE0">
        <w:rPr>
          <w:rFonts w:ascii="Times New Roman" w:hAnsi="Times New Roman" w:cs="Times New Roman"/>
          <w:color w:val="000000" w:themeColor="text1"/>
        </w:rPr>
        <w:t>Environmental information disclosure and firms’ green innovation: Evidence from China</w:t>
      </w:r>
      <w:r w:rsidR="00F36D57" w:rsidRPr="00631DE0">
        <w:rPr>
          <w:rFonts w:ascii="Times New Roman" w:hAnsi="Times New Roman" w:cs="Times New Roman"/>
          <w:color w:val="000000" w:themeColor="text1"/>
        </w:rPr>
        <w:t>’,</w:t>
      </w:r>
      <w:r w:rsidRPr="00631DE0">
        <w:rPr>
          <w:rFonts w:ascii="Times New Roman" w:hAnsi="Times New Roman" w:cs="Times New Roman"/>
          <w:color w:val="000000" w:themeColor="text1"/>
        </w:rPr>
        <w:t> </w:t>
      </w:r>
      <w:r w:rsidRPr="00631DE0">
        <w:rPr>
          <w:rFonts w:ascii="Times New Roman" w:hAnsi="Times New Roman" w:cs="Times New Roman"/>
          <w:i/>
          <w:iCs/>
          <w:color w:val="000000" w:themeColor="text1"/>
        </w:rPr>
        <w:t>International Review of Economics &amp; Finance</w:t>
      </w:r>
      <w:r w:rsidRPr="00631DE0">
        <w:rPr>
          <w:rFonts w:ascii="Times New Roman" w:hAnsi="Times New Roman" w:cs="Times New Roman"/>
          <w:color w:val="000000" w:themeColor="text1"/>
        </w:rPr>
        <w:t>, </w:t>
      </w:r>
      <w:r w:rsidRPr="00631DE0">
        <w:rPr>
          <w:rFonts w:ascii="Times New Roman" w:hAnsi="Times New Roman" w:cs="Times New Roman"/>
          <w:i/>
          <w:iCs/>
          <w:color w:val="000000" w:themeColor="text1"/>
        </w:rPr>
        <w:t>81</w:t>
      </w:r>
      <w:r w:rsidRPr="00631DE0">
        <w:rPr>
          <w:rFonts w:ascii="Times New Roman" w:hAnsi="Times New Roman" w:cs="Times New Roman"/>
          <w:color w:val="000000" w:themeColor="text1"/>
        </w:rPr>
        <w:t>, pp.147-159.</w:t>
      </w:r>
    </w:p>
    <w:p w14:paraId="42010F92" w14:textId="74A40956" w:rsidR="00F72443" w:rsidRPr="00631DE0" w:rsidRDefault="00F72443" w:rsidP="00171628">
      <w:pPr>
        <w:suppressAutoHyphens/>
        <w:autoSpaceDN w:val="0"/>
        <w:spacing w:after="120" w:line="276" w:lineRule="auto"/>
        <w:ind w:firstLine="0"/>
        <w:textAlignment w:val="baseline"/>
        <w:rPr>
          <w:rFonts w:ascii="Times New Roman" w:hAnsi="Times New Roman" w:cs="Times New Roman"/>
          <w:color w:val="000000" w:themeColor="text1"/>
        </w:rPr>
      </w:pPr>
      <w:r w:rsidRPr="00631DE0">
        <w:rPr>
          <w:rFonts w:ascii="Times New Roman" w:hAnsi="Times New Roman" w:cs="Times New Roman"/>
          <w:color w:val="000000" w:themeColor="text1"/>
        </w:rPr>
        <w:t xml:space="preserve">Dowling, J., Pfeffer, J. (1975) ‘Organisational legitimacy: social values and organisational behaviour’, </w:t>
      </w:r>
      <w:r w:rsidRPr="00631DE0">
        <w:rPr>
          <w:rFonts w:ascii="Times New Roman" w:hAnsi="Times New Roman" w:cs="Times New Roman"/>
          <w:i/>
          <w:iCs/>
          <w:color w:val="000000" w:themeColor="text1"/>
        </w:rPr>
        <w:t>The Pacific Sociological Review</w:t>
      </w:r>
      <w:r w:rsidRPr="00631DE0">
        <w:rPr>
          <w:rFonts w:ascii="Times New Roman" w:hAnsi="Times New Roman" w:cs="Times New Roman"/>
          <w:color w:val="000000" w:themeColor="text1"/>
        </w:rPr>
        <w:t>,18(1), pp.122-136.</w:t>
      </w:r>
    </w:p>
    <w:p w14:paraId="56E2A26B" w14:textId="3749165B" w:rsidR="00A5381F" w:rsidRPr="00631DE0" w:rsidRDefault="00A5381F"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Duff, A. (2018) </w:t>
      </w:r>
      <w:r w:rsidR="00D87C5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Intellectual capital disclosure: evidence from UK accounting firms</w:t>
      </w:r>
      <w:r w:rsidR="00D87C5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Journal</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of Intellectual Capital</w:t>
      </w:r>
      <w:r w:rsidRPr="00631DE0">
        <w:rPr>
          <w:rFonts w:ascii="Times New Roman" w:hAnsi="Times New Roman" w:cs="Times New Roman"/>
          <w:color w:val="000000" w:themeColor="text1"/>
          <w:sz w:val="24"/>
          <w:szCs w:val="24"/>
        </w:rPr>
        <w:t xml:space="preserve">, 19 </w:t>
      </w:r>
      <w:r w:rsidR="00D87C5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4</w:t>
      </w:r>
      <w:r w:rsidR="00D87C5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pp. 768-786.</w:t>
      </w:r>
    </w:p>
    <w:p w14:paraId="7E32DFDF" w14:textId="6603DD59" w:rsidR="00973996" w:rsidRPr="00631DE0" w:rsidRDefault="00973996"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Edgar, C., Beck, M., Brennan, M. (2018) ‘Impression management in annual report narratives: the case of the UK private finance initiative’, </w:t>
      </w:r>
      <w:r w:rsidRPr="00631DE0">
        <w:rPr>
          <w:rFonts w:ascii="Times New Roman" w:hAnsi="Times New Roman" w:cs="Times New Roman"/>
          <w:i/>
          <w:iCs/>
          <w:color w:val="000000" w:themeColor="text1"/>
          <w:sz w:val="24"/>
          <w:szCs w:val="24"/>
        </w:rPr>
        <w:t>Accounting, Auditing &amp; Accountability Journal</w:t>
      </w:r>
      <w:r w:rsidRPr="00631DE0">
        <w:rPr>
          <w:rFonts w:ascii="Times New Roman" w:hAnsi="Times New Roman" w:cs="Times New Roman"/>
          <w:color w:val="000000" w:themeColor="text1"/>
          <w:sz w:val="24"/>
          <w:szCs w:val="24"/>
        </w:rPr>
        <w:t>, 31(6), pp. 1566-1592.</w:t>
      </w:r>
    </w:p>
    <w:p w14:paraId="28F10E1B" w14:textId="4E8706D9" w:rsidR="002A7048" w:rsidRPr="00631DE0" w:rsidRDefault="002A7048"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El‐Haj, M., Rayson, P., Walker, M., Young, S., Simaki, V. (2019)</w:t>
      </w:r>
      <w:r w:rsidR="00D87C51"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In search of meaning: Lessons, resources and next steps for computational analysis of financial discourse</w:t>
      </w:r>
      <w:r w:rsidR="00D87C5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Journal of</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Business Finance &amp; Accounting</w:t>
      </w:r>
      <w:r w:rsidRPr="00631DE0">
        <w:rPr>
          <w:rFonts w:ascii="Times New Roman" w:hAnsi="Times New Roman" w:cs="Times New Roman"/>
          <w:color w:val="000000" w:themeColor="text1"/>
          <w:sz w:val="24"/>
          <w:szCs w:val="24"/>
        </w:rPr>
        <w:t>, 46(3-4),</w:t>
      </w:r>
      <w:r w:rsidR="00D87C51" w:rsidRPr="00631DE0">
        <w:rPr>
          <w:rFonts w:ascii="Times New Roman" w:hAnsi="Times New Roman" w:cs="Times New Roman"/>
          <w:color w:val="000000" w:themeColor="text1"/>
          <w:sz w:val="24"/>
          <w:szCs w:val="24"/>
        </w:rPr>
        <w:t xml:space="preserve"> pp.</w:t>
      </w:r>
      <w:r w:rsidRPr="00631DE0">
        <w:rPr>
          <w:rFonts w:ascii="Times New Roman" w:hAnsi="Times New Roman" w:cs="Times New Roman"/>
          <w:color w:val="000000" w:themeColor="text1"/>
          <w:sz w:val="24"/>
          <w:szCs w:val="24"/>
        </w:rPr>
        <w:t xml:space="preserve"> 265-306.</w:t>
      </w:r>
    </w:p>
    <w:p w14:paraId="192EBF11" w14:textId="248F89D6" w:rsidR="000D7C1A" w:rsidRPr="00631DE0" w:rsidRDefault="000D7C1A"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Espeland, W. (2016)</w:t>
      </w:r>
      <w:r w:rsidR="00D87C51"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Reverse engineering and</w:t>
      </w:r>
      <w:r w:rsidR="00D87C51" w:rsidRPr="00631DE0">
        <w:rPr>
          <w:rFonts w:ascii="Times New Roman" w:hAnsi="Times New Roman" w:cs="Times New Roman"/>
          <w:color w:val="000000" w:themeColor="text1"/>
          <w:sz w:val="24"/>
          <w:szCs w:val="24"/>
        </w:rPr>
        <w:t xml:space="preserve"> the</w:t>
      </w:r>
      <w:r w:rsidRPr="00631DE0">
        <w:rPr>
          <w:rFonts w:ascii="Times New Roman" w:hAnsi="Times New Roman" w:cs="Times New Roman"/>
          <w:color w:val="000000" w:themeColor="text1"/>
          <w:sz w:val="24"/>
          <w:szCs w:val="24"/>
        </w:rPr>
        <w:t xml:space="preserve"> emotional attachments as</w:t>
      </w:r>
      <w:r w:rsidR="00D87C51" w:rsidRPr="00631DE0">
        <w:rPr>
          <w:rFonts w:ascii="Times New Roman" w:hAnsi="Times New Roman" w:cs="Times New Roman"/>
          <w:color w:val="000000" w:themeColor="text1"/>
          <w:sz w:val="24"/>
          <w:szCs w:val="24"/>
        </w:rPr>
        <w:t xml:space="preserve"> a</w:t>
      </w:r>
      <w:r w:rsidRPr="00631DE0">
        <w:rPr>
          <w:rFonts w:ascii="Times New Roman" w:hAnsi="Times New Roman" w:cs="Times New Roman"/>
          <w:color w:val="000000" w:themeColor="text1"/>
          <w:sz w:val="24"/>
          <w:szCs w:val="24"/>
        </w:rPr>
        <w:t xml:space="preserve"> </w:t>
      </w:r>
      <w:r w:rsidR="00D87C51" w:rsidRPr="00631DE0">
        <w:rPr>
          <w:rFonts w:ascii="Times New Roman" w:hAnsi="Times New Roman" w:cs="Times New Roman"/>
          <w:color w:val="000000" w:themeColor="text1"/>
          <w:sz w:val="24"/>
          <w:szCs w:val="24"/>
        </w:rPr>
        <w:t>mechanism</w:t>
      </w:r>
      <w:r w:rsidRPr="00631DE0">
        <w:rPr>
          <w:rFonts w:ascii="Times New Roman" w:hAnsi="Times New Roman" w:cs="Times New Roman"/>
          <w:color w:val="000000" w:themeColor="text1"/>
          <w:sz w:val="24"/>
          <w:szCs w:val="24"/>
        </w:rPr>
        <w:t xml:space="preserve"> mediating the effects of quantification</w:t>
      </w:r>
      <w:r w:rsidR="00D87C5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Historical Social Research</w:t>
      </w:r>
      <w:r w:rsidRPr="00631DE0">
        <w:rPr>
          <w:rFonts w:ascii="Times New Roman" w:hAnsi="Times New Roman" w:cs="Times New Roman"/>
          <w:color w:val="000000" w:themeColor="text1"/>
          <w:sz w:val="24"/>
          <w:szCs w:val="24"/>
        </w:rPr>
        <w:t>, 41(2),</w:t>
      </w:r>
      <w:r w:rsidR="00D87C51" w:rsidRPr="00631DE0">
        <w:rPr>
          <w:rFonts w:ascii="Times New Roman" w:hAnsi="Times New Roman" w:cs="Times New Roman"/>
          <w:color w:val="000000" w:themeColor="text1"/>
          <w:sz w:val="24"/>
          <w:szCs w:val="24"/>
        </w:rPr>
        <w:t xml:space="preserve"> pp.</w:t>
      </w:r>
      <w:r w:rsidRPr="00631DE0">
        <w:rPr>
          <w:rFonts w:ascii="Times New Roman" w:hAnsi="Times New Roman" w:cs="Times New Roman"/>
          <w:color w:val="000000" w:themeColor="text1"/>
          <w:sz w:val="24"/>
          <w:szCs w:val="24"/>
        </w:rPr>
        <w:t xml:space="preserve"> 280–304.</w:t>
      </w:r>
    </w:p>
    <w:p w14:paraId="08B2C7FC" w14:textId="29D6243F" w:rsidR="000D7C1A" w:rsidRPr="00631DE0" w:rsidRDefault="000D7C1A"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Espeland, W., Sauder, M. (2016) </w:t>
      </w:r>
      <w:r w:rsidRPr="00631DE0">
        <w:rPr>
          <w:rFonts w:ascii="Times New Roman" w:hAnsi="Times New Roman" w:cs="Times New Roman"/>
          <w:i/>
          <w:iCs/>
          <w:color w:val="000000" w:themeColor="text1"/>
          <w:sz w:val="24"/>
          <w:szCs w:val="24"/>
        </w:rPr>
        <w:t>Engines of</w:t>
      </w:r>
      <w:r w:rsidR="00D87C51" w:rsidRPr="00631DE0">
        <w:rPr>
          <w:rFonts w:ascii="Times New Roman" w:hAnsi="Times New Roman" w:cs="Times New Roman"/>
          <w:i/>
          <w:iCs/>
          <w:color w:val="000000" w:themeColor="text1"/>
          <w:sz w:val="24"/>
          <w:szCs w:val="24"/>
        </w:rPr>
        <w:t xml:space="preserve"> the</w:t>
      </w:r>
      <w:r w:rsidRPr="00631DE0">
        <w:rPr>
          <w:rFonts w:ascii="Times New Roman" w:hAnsi="Times New Roman" w:cs="Times New Roman"/>
          <w:i/>
          <w:iCs/>
          <w:color w:val="000000" w:themeColor="text1"/>
          <w:sz w:val="24"/>
          <w:szCs w:val="24"/>
        </w:rPr>
        <w:t xml:space="preserve"> anxiety. </w:t>
      </w:r>
      <w:r w:rsidR="00D87C51" w:rsidRPr="00631DE0">
        <w:rPr>
          <w:rFonts w:ascii="Times New Roman" w:hAnsi="Times New Roman" w:cs="Times New Roman"/>
          <w:i/>
          <w:iCs/>
          <w:color w:val="000000" w:themeColor="text1"/>
          <w:sz w:val="24"/>
          <w:szCs w:val="24"/>
        </w:rPr>
        <w:t>a</w:t>
      </w:r>
      <w:r w:rsidRPr="00631DE0">
        <w:rPr>
          <w:rFonts w:ascii="Times New Roman" w:hAnsi="Times New Roman" w:cs="Times New Roman"/>
          <w:i/>
          <w:iCs/>
          <w:color w:val="000000" w:themeColor="text1"/>
          <w:sz w:val="24"/>
          <w:szCs w:val="24"/>
        </w:rPr>
        <w:t>cademic rankings, reputation and accountability</w:t>
      </w:r>
      <w:r w:rsidRPr="00631DE0">
        <w:rPr>
          <w:rFonts w:ascii="Times New Roman" w:hAnsi="Times New Roman" w:cs="Times New Roman"/>
          <w:color w:val="000000" w:themeColor="text1"/>
          <w:sz w:val="24"/>
          <w:szCs w:val="24"/>
        </w:rPr>
        <w:t>. New York: Russell Sage Foundation.</w:t>
      </w:r>
    </w:p>
    <w:p w14:paraId="651B6AAD" w14:textId="4D4B4BFE" w:rsidR="00C33535" w:rsidRPr="00631DE0" w:rsidRDefault="00C33535"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Fernando, Y., Jabbour,  C., Wah,</w:t>
      </w:r>
      <w:r w:rsidR="00D87C51"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 xml:space="preserve"> X. (2019) </w:t>
      </w:r>
      <w:r w:rsidR="00D87C5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Pursuing green growth in technology firms through the connections between</w:t>
      </w:r>
      <w:r w:rsidR="00D87C51" w:rsidRPr="00631DE0">
        <w:rPr>
          <w:rFonts w:ascii="Times New Roman" w:hAnsi="Times New Roman" w:cs="Times New Roman"/>
          <w:color w:val="000000" w:themeColor="text1"/>
          <w:sz w:val="24"/>
          <w:szCs w:val="24"/>
        </w:rPr>
        <w:t xml:space="preserve"> the</w:t>
      </w:r>
      <w:r w:rsidRPr="00631DE0">
        <w:rPr>
          <w:rFonts w:ascii="Times New Roman" w:hAnsi="Times New Roman" w:cs="Times New Roman"/>
          <w:color w:val="000000" w:themeColor="text1"/>
          <w:sz w:val="24"/>
          <w:szCs w:val="24"/>
        </w:rPr>
        <w:t xml:space="preserve"> environmental innovation and sustainable business performance: Does service capability matter</w:t>
      </w:r>
      <w:r w:rsidR="00D87C5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Resources, Conservation and Recycling</w:t>
      </w:r>
      <w:r w:rsidRPr="00631DE0">
        <w:rPr>
          <w:rFonts w:ascii="Times New Roman" w:hAnsi="Times New Roman" w:cs="Times New Roman"/>
          <w:color w:val="000000" w:themeColor="text1"/>
          <w:sz w:val="24"/>
          <w:szCs w:val="24"/>
        </w:rPr>
        <w:t>, 141,</w:t>
      </w:r>
      <w:r w:rsidR="00D87C51" w:rsidRPr="00631DE0">
        <w:rPr>
          <w:rFonts w:ascii="Times New Roman" w:hAnsi="Times New Roman" w:cs="Times New Roman"/>
          <w:color w:val="000000" w:themeColor="text1"/>
          <w:sz w:val="24"/>
          <w:szCs w:val="24"/>
        </w:rPr>
        <w:t xml:space="preserve"> pp.</w:t>
      </w:r>
      <w:r w:rsidRPr="00631DE0">
        <w:rPr>
          <w:rFonts w:ascii="Times New Roman" w:hAnsi="Times New Roman" w:cs="Times New Roman"/>
          <w:color w:val="000000" w:themeColor="text1"/>
          <w:sz w:val="24"/>
          <w:szCs w:val="24"/>
        </w:rPr>
        <w:t xml:space="preserve"> 8–20.</w:t>
      </w:r>
    </w:p>
    <w:p w14:paraId="2279FF19" w14:textId="568E5E6E" w:rsidR="003803C0" w:rsidRPr="00631DE0" w:rsidRDefault="007C2882"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Fernando, S., Lawrence, S. (2014) ‘A theoretical framework for CSR practices: integrating legitimacy, stakeholder</w:t>
      </w:r>
      <w:r w:rsidR="003803C0" w:rsidRPr="00631DE0">
        <w:rPr>
          <w:rFonts w:ascii="Times New Roman" w:hAnsi="Times New Roman" w:cs="Times New Roman"/>
          <w:color w:val="000000" w:themeColor="text1"/>
          <w:sz w:val="24"/>
          <w:szCs w:val="24"/>
        </w:rPr>
        <w:t xml:space="preserve"> and</w:t>
      </w:r>
      <w:r w:rsidRPr="00631DE0">
        <w:rPr>
          <w:rFonts w:ascii="Times New Roman" w:hAnsi="Times New Roman" w:cs="Times New Roman"/>
          <w:color w:val="000000" w:themeColor="text1"/>
          <w:sz w:val="24"/>
          <w:szCs w:val="24"/>
        </w:rPr>
        <w:t xml:space="preserve"> institutional theory’,</w:t>
      </w:r>
      <w:r w:rsidR="003803C0" w:rsidRPr="00631DE0">
        <w:rPr>
          <w:rFonts w:ascii="Times New Roman" w:hAnsi="Times New Roman" w:cs="Times New Roman"/>
          <w:color w:val="000000" w:themeColor="text1"/>
          <w:sz w:val="24"/>
          <w:szCs w:val="24"/>
        </w:rPr>
        <w:t xml:space="preserve"> </w:t>
      </w:r>
      <w:r w:rsidR="003803C0" w:rsidRPr="00631DE0">
        <w:rPr>
          <w:rFonts w:ascii="Times New Roman" w:hAnsi="Times New Roman" w:cs="Times New Roman"/>
          <w:i/>
          <w:iCs/>
          <w:color w:val="000000" w:themeColor="text1"/>
          <w:sz w:val="24"/>
          <w:szCs w:val="24"/>
        </w:rPr>
        <w:t xml:space="preserve">Journal of Theoretical Accounting Research, </w:t>
      </w:r>
      <w:r w:rsidR="003803C0" w:rsidRPr="00631DE0">
        <w:rPr>
          <w:rFonts w:ascii="Times New Roman" w:hAnsi="Times New Roman" w:cs="Times New Roman"/>
          <w:color w:val="000000" w:themeColor="text1"/>
          <w:sz w:val="24"/>
          <w:szCs w:val="24"/>
        </w:rPr>
        <w:t>10 (1), pp. 149-178.</w:t>
      </w:r>
    </w:p>
    <w:p w14:paraId="3D7EE8C3" w14:textId="541C67BB" w:rsidR="00C35BEF" w:rsidRPr="00631DE0" w:rsidRDefault="00C35BEF"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shd w:val="clear" w:color="auto" w:fill="FFFFFF"/>
        </w:rPr>
        <w:t>Fifka, S., Kühn, L., Loza Adaui, R., Stiglbauer, M. (2016) ‘Promoting development in weak institutional environments:</w:t>
      </w:r>
      <w:r w:rsidR="006478D9" w:rsidRPr="00631DE0">
        <w:rPr>
          <w:rFonts w:ascii="Times New Roman" w:hAnsi="Times New Roman" w:cs="Times New Roman"/>
          <w:color w:val="000000" w:themeColor="text1"/>
          <w:sz w:val="24"/>
          <w:szCs w:val="24"/>
          <w:shd w:val="clear" w:color="auto" w:fill="FFFFFF"/>
        </w:rPr>
        <w:t xml:space="preserve"> </w:t>
      </w:r>
      <w:r w:rsidR="003803C0" w:rsidRPr="00631DE0">
        <w:rPr>
          <w:rFonts w:ascii="Times New Roman" w:hAnsi="Times New Roman" w:cs="Times New Roman"/>
          <w:color w:val="000000" w:themeColor="text1"/>
          <w:sz w:val="24"/>
          <w:szCs w:val="24"/>
          <w:shd w:val="clear" w:color="auto" w:fill="FFFFFF"/>
        </w:rPr>
        <w:t>t</w:t>
      </w:r>
      <w:r w:rsidR="006478D9" w:rsidRPr="00631DE0">
        <w:rPr>
          <w:rFonts w:ascii="Times New Roman" w:hAnsi="Times New Roman" w:cs="Times New Roman"/>
          <w:color w:val="000000" w:themeColor="text1"/>
          <w:sz w:val="24"/>
          <w:szCs w:val="24"/>
          <w:shd w:val="clear" w:color="auto" w:fill="FFFFFF"/>
        </w:rPr>
        <w:t>he</w:t>
      </w:r>
      <w:r w:rsidRPr="00631DE0">
        <w:rPr>
          <w:rFonts w:ascii="Times New Roman" w:hAnsi="Times New Roman" w:cs="Times New Roman"/>
          <w:color w:val="000000" w:themeColor="text1"/>
          <w:sz w:val="24"/>
          <w:szCs w:val="24"/>
          <w:shd w:val="clear" w:color="auto" w:fill="FFFFFF"/>
        </w:rPr>
        <w:t xml:space="preserve"> understanding and transmission of the sustainability by the NGOS in the Latin America</w:t>
      </w:r>
      <w:r w:rsidR="003803C0"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w:t>
      </w:r>
      <w:r w:rsidRPr="00631DE0">
        <w:rPr>
          <w:rFonts w:ascii="Times New Roman" w:hAnsi="Times New Roman" w:cs="Times New Roman"/>
          <w:i/>
          <w:iCs/>
          <w:color w:val="000000" w:themeColor="text1"/>
          <w:sz w:val="24"/>
          <w:szCs w:val="24"/>
          <w:shd w:val="clear" w:color="auto" w:fill="FFFFFF"/>
        </w:rPr>
        <w:t>VOLUNTAS’, International Journal of Voluntary and Nonprofit Organizations</w:t>
      </w:r>
      <w:r w:rsidRPr="00631DE0">
        <w:rPr>
          <w:rFonts w:ascii="Times New Roman" w:hAnsi="Times New Roman" w:cs="Times New Roman"/>
          <w:color w:val="000000" w:themeColor="text1"/>
          <w:sz w:val="24"/>
          <w:szCs w:val="24"/>
          <w:shd w:val="clear" w:color="auto" w:fill="FFFFFF"/>
        </w:rPr>
        <w:t>, </w:t>
      </w:r>
      <w:r w:rsidRPr="00631DE0">
        <w:rPr>
          <w:rFonts w:ascii="Times New Roman" w:hAnsi="Times New Roman" w:cs="Times New Roman"/>
          <w:i/>
          <w:iCs/>
          <w:color w:val="000000" w:themeColor="text1"/>
          <w:sz w:val="24"/>
          <w:szCs w:val="24"/>
          <w:shd w:val="clear" w:color="auto" w:fill="FFFFFF"/>
        </w:rPr>
        <w:t>27</w:t>
      </w:r>
      <w:r w:rsidRPr="00631DE0">
        <w:rPr>
          <w:rFonts w:ascii="Times New Roman" w:hAnsi="Times New Roman" w:cs="Times New Roman"/>
          <w:color w:val="000000" w:themeColor="text1"/>
          <w:sz w:val="24"/>
          <w:szCs w:val="24"/>
          <w:shd w:val="clear" w:color="auto" w:fill="FFFFFF"/>
        </w:rPr>
        <w:t>, pp.1091-1122.</w:t>
      </w:r>
    </w:p>
    <w:p w14:paraId="2243DEF3" w14:textId="6EB07E29" w:rsidR="00DD1DB3" w:rsidRPr="00631DE0" w:rsidRDefault="00CD2561"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lastRenderedPageBreak/>
        <w:t>Filatotchev, I.</w:t>
      </w:r>
      <w:r w:rsidR="006478D9"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Nakajima, C.</w:t>
      </w:r>
      <w:r w:rsidR="006478D9"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2014</w:t>
      </w:r>
      <w:r w:rsidR="006478D9"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006478D9"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Corporate governance, responsible managerial </w:t>
      </w:r>
      <w:r w:rsidR="00DD1DB3" w:rsidRPr="00631DE0">
        <w:rPr>
          <w:rFonts w:ascii="Times New Roman" w:hAnsi="Times New Roman" w:cs="Times New Roman"/>
          <w:color w:val="000000" w:themeColor="text1"/>
          <w:sz w:val="24"/>
          <w:szCs w:val="24"/>
        </w:rPr>
        <w:t>behaviour</w:t>
      </w:r>
      <w:r w:rsidRPr="00631DE0">
        <w:rPr>
          <w:rFonts w:ascii="Times New Roman" w:hAnsi="Times New Roman" w:cs="Times New Roman"/>
          <w:color w:val="000000" w:themeColor="text1"/>
          <w:sz w:val="24"/>
          <w:szCs w:val="24"/>
        </w:rPr>
        <w:t xml:space="preserve">, </w:t>
      </w:r>
      <w:r w:rsidR="00DD1DB3" w:rsidRPr="00631DE0">
        <w:rPr>
          <w:rFonts w:ascii="Times New Roman" w:hAnsi="Times New Roman" w:cs="Times New Roman"/>
          <w:color w:val="000000" w:themeColor="text1"/>
          <w:sz w:val="24"/>
          <w:szCs w:val="24"/>
        </w:rPr>
        <w:t xml:space="preserve">and corporate social responsibility: organizational efficiency versus organizational legitimacy’, </w:t>
      </w:r>
      <w:r w:rsidR="00DD1DB3" w:rsidRPr="00631DE0">
        <w:rPr>
          <w:rFonts w:ascii="Times New Roman" w:hAnsi="Times New Roman" w:cs="Times New Roman"/>
          <w:i/>
          <w:iCs/>
          <w:color w:val="000000" w:themeColor="text1"/>
          <w:sz w:val="24"/>
          <w:szCs w:val="24"/>
        </w:rPr>
        <w:t>Academy of Management Perspectives</w:t>
      </w:r>
      <w:r w:rsidR="00DD1DB3" w:rsidRPr="00631DE0">
        <w:rPr>
          <w:rFonts w:ascii="Times New Roman" w:hAnsi="Times New Roman" w:cs="Times New Roman"/>
          <w:color w:val="000000" w:themeColor="text1"/>
          <w:sz w:val="24"/>
          <w:szCs w:val="24"/>
        </w:rPr>
        <w:t>, </w:t>
      </w:r>
      <w:r w:rsidR="00DD1DB3" w:rsidRPr="00631DE0">
        <w:rPr>
          <w:rFonts w:ascii="Times New Roman" w:hAnsi="Times New Roman" w:cs="Times New Roman"/>
          <w:i/>
          <w:iCs/>
          <w:color w:val="000000" w:themeColor="text1"/>
          <w:sz w:val="24"/>
          <w:szCs w:val="24"/>
        </w:rPr>
        <w:t>28</w:t>
      </w:r>
      <w:r w:rsidR="00DD1DB3" w:rsidRPr="00631DE0">
        <w:rPr>
          <w:rFonts w:ascii="Times New Roman" w:hAnsi="Times New Roman" w:cs="Times New Roman"/>
          <w:color w:val="000000" w:themeColor="text1"/>
          <w:sz w:val="24"/>
          <w:szCs w:val="24"/>
        </w:rPr>
        <w:t>(3), pp.289-306.</w:t>
      </w:r>
    </w:p>
    <w:p w14:paraId="33FC0482" w14:textId="57E64B1E" w:rsidR="00FF075D" w:rsidRPr="00631DE0" w:rsidRDefault="00144C5E"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Fisher, I., Hall, P. </w:t>
      </w:r>
      <w:r w:rsidR="00DD1DB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1991</w:t>
      </w:r>
      <w:r w:rsidR="00DD1DB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00DD1DB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Bootstrap algorithms for</w:t>
      </w:r>
      <w:r w:rsidR="00DD1DB3" w:rsidRPr="00631DE0">
        <w:rPr>
          <w:rFonts w:ascii="Times New Roman" w:hAnsi="Times New Roman" w:cs="Times New Roman"/>
          <w:color w:val="000000" w:themeColor="text1"/>
          <w:sz w:val="24"/>
          <w:szCs w:val="24"/>
        </w:rPr>
        <w:t xml:space="preserve"> the</w:t>
      </w:r>
      <w:r w:rsidRPr="00631DE0">
        <w:rPr>
          <w:rFonts w:ascii="Times New Roman" w:hAnsi="Times New Roman" w:cs="Times New Roman"/>
          <w:color w:val="000000" w:themeColor="text1"/>
          <w:sz w:val="24"/>
          <w:szCs w:val="24"/>
        </w:rPr>
        <w:t xml:space="preserve"> small samples</w:t>
      </w:r>
      <w:r w:rsidR="00DD1DB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Journal of statistical planning and inference</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27</w:t>
      </w:r>
      <w:r w:rsidRPr="00631DE0">
        <w:rPr>
          <w:rFonts w:ascii="Times New Roman" w:hAnsi="Times New Roman" w:cs="Times New Roman"/>
          <w:color w:val="000000" w:themeColor="text1"/>
          <w:sz w:val="24"/>
          <w:szCs w:val="24"/>
        </w:rPr>
        <w:t>(2), pp.157-169.</w:t>
      </w:r>
    </w:p>
    <w:p w14:paraId="5C3A4087" w14:textId="4D5D1EF0" w:rsidR="008548B3" w:rsidRPr="00631DE0" w:rsidRDefault="00A736D9"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shd w:val="clear" w:color="auto" w:fill="FFFFFF"/>
        </w:rPr>
        <w:t xml:space="preserve">Friedman, A., Miles, S. (2002) ‘Developing stakeholder theory’, </w:t>
      </w:r>
      <w:r w:rsidRPr="00631DE0">
        <w:rPr>
          <w:rFonts w:ascii="Times New Roman" w:hAnsi="Times New Roman" w:cs="Times New Roman"/>
          <w:i/>
          <w:iCs/>
          <w:color w:val="000000" w:themeColor="text1"/>
          <w:sz w:val="24"/>
          <w:szCs w:val="24"/>
          <w:shd w:val="clear" w:color="auto" w:fill="FFFFFF"/>
        </w:rPr>
        <w:t>Journal of management studies</w:t>
      </w:r>
      <w:r w:rsidRPr="00631DE0">
        <w:rPr>
          <w:rFonts w:ascii="Times New Roman" w:hAnsi="Times New Roman" w:cs="Times New Roman"/>
          <w:color w:val="000000" w:themeColor="text1"/>
          <w:sz w:val="24"/>
          <w:szCs w:val="24"/>
          <w:shd w:val="clear" w:color="auto" w:fill="FFFFFF"/>
        </w:rPr>
        <w:t>, </w:t>
      </w:r>
      <w:r w:rsidRPr="00631DE0">
        <w:rPr>
          <w:rFonts w:ascii="Times New Roman" w:hAnsi="Times New Roman" w:cs="Times New Roman"/>
          <w:i/>
          <w:iCs/>
          <w:color w:val="000000" w:themeColor="text1"/>
          <w:sz w:val="24"/>
          <w:szCs w:val="24"/>
          <w:shd w:val="clear" w:color="auto" w:fill="FFFFFF"/>
        </w:rPr>
        <w:t>39</w:t>
      </w:r>
      <w:r w:rsidRPr="00631DE0">
        <w:rPr>
          <w:rFonts w:ascii="Times New Roman" w:hAnsi="Times New Roman" w:cs="Times New Roman"/>
          <w:color w:val="000000" w:themeColor="text1"/>
          <w:sz w:val="24"/>
          <w:szCs w:val="24"/>
          <w:shd w:val="clear" w:color="auto" w:fill="FFFFFF"/>
        </w:rPr>
        <w:t>(1), pp.1-21.</w:t>
      </w:r>
    </w:p>
    <w:p w14:paraId="6504F859" w14:textId="324FA5A2" w:rsidR="00DD1DB3" w:rsidRPr="00631DE0" w:rsidRDefault="001E07A4"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García‐Sánchez, M.</w:t>
      </w:r>
      <w:r w:rsidR="00DD1DB3"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2020</w:t>
      </w:r>
      <w:r w:rsidR="00DD1DB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00DD1DB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The moderating role of board monitoring power in the relationship between </w:t>
      </w:r>
      <w:r w:rsidR="00DD1DB3" w:rsidRPr="00631DE0">
        <w:rPr>
          <w:rFonts w:ascii="Times New Roman" w:hAnsi="Times New Roman" w:cs="Times New Roman"/>
          <w:color w:val="000000" w:themeColor="text1"/>
          <w:sz w:val="24"/>
          <w:szCs w:val="24"/>
        </w:rPr>
        <w:t xml:space="preserve">environmental conditions and corporate social responsibility’, </w:t>
      </w:r>
      <w:r w:rsidR="00DD1DB3" w:rsidRPr="00631DE0">
        <w:rPr>
          <w:rFonts w:ascii="Times New Roman" w:hAnsi="Times New Roman" w:cs="Times New Roman"/>
          <w:i/>
          <w:iCs/>
          <w:color w:val="000000" w:themeColor="text1"/>
          <w:sz w:val="24"/>
          <w:szCs w:val="24"/>
        </w:rPr>
        <w:t xml:space="preserve">Business Ethics: A European Review, </w:t>
      </w:r>
      <w:r w:rsidR="00DD1DB3" w:rsidRPr="00631DE0">
        <w:rPr>
          <w:rFonts w:ascii="Times New Roman" w:hAnsi="Times New Roman" w:cs="Times New Roman"/>
          <w:color w:val="000000" w:themeColor="text1"/>
          <w:sz w:val="24"/>
          <w:szCs w:val="24"/>
        </w:rPr>
        <w:t>29 (1), pp. 114-129.</w:t>
      </w:r>
    </w:p>
    <w:p w14:paraId="4F895271" w14:textId="2D63055A" w:rsidR="000D7C1A" w:rsidRPr="00631DE0" w:rsidRDefault="000D7C1A"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Garcı´a-Sanchez, M., Raimo, N.</w:t>
      </w:r>
      <w:r w:rsidR="00DD1DB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Vitolla, F. (2021) </w:t>
      </w:r>
      <w:r w:rsidR="00DD1DB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Are environmentally innovative companies inclined towards</w:t>
      </w:r>
      <w:r w:rsidR="00DD1DB3" w:rsidRPr="00631DE0">
        <w:rPr>
          <w:rFonts w:ascii="Times New Roman" w:hAnsi="Times New Roman" w:cs="Times New Roman"/>
          <w:color w:val="000000" w:themeColor="text1"/>
          <w:sz w:val="24"/>
          <w:szCs w:val="24"/>
        </w:rPr>
        <w:t xml:space="preserve"> the</w:t>
      </w:r>
      <w:r w:rsidRPr="00631DE0">
        <w:rPr>
          <w:rFonts w:ascii="Times New Roman" w:hAnsi="Times New Roman" w:cs="Times New Roman"/>
          <w:color w:val="000000" w:themeColor="text1"/>
          <w:sz w:val="24"/>
          <w:szCs w:val="24"/>
        </w:rPr>
        <w:t xml:space="preserve"> integrated environmental disclosure policies</w:t>
      </w:r>
      <w:r w:rsidR="00DD1DB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Administrative Sciences</w:t>
      </w:r>
      <w:r w:rsidRPr="00631DE0">
        <w:rPr>
          <w:rFonts w:ascii="Times New Roman" w:hAnsi="Times New Roman" w:cs="Times New Roman"/>
          <w:color w:val="000000" w:themeColor="text1"/>
          <w:sz w:val="24"/>
          <w:szCs w:val="24"/>
        </w:rPr>
        <w:t>, 1</w:t>
      </w:r>
      <w:r w:rsidR="00DD1DB3" w:rsidRPr="00631DE0">
        <w:rPr>
          <w:rFonts w:ascii="Times New Roman" w:hAnsi="Times New Roman" w:cs="Times New Roman"/>
          <w:color w:val="000000" w:themeColor="text1"/>
          <w:sz w:val="24"/>
          <w:szCs w:val="24"/>
        </w:rPr>
        <w:t>1(</w:t>
      </w:r>
      <w:r w:rsidRPr="00631DE0">
        <w:rPr>
          <w:rFonts w:ascii="Times New Roman" w:hAnsi="Times New Roman" w:cs="Times New Roman"/>
          <w:color w:val="000000" w:themeColor="text1"/>
          <w:sz w:val="24"/>
          <w:szCs w:val="24"/>
        </w:rPr>
        <w:t>1</w:t>
      </w:r>
      <w:r w:rsidR="00DD1DB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pp.29.</w:t>
      </w:r>
    </w:p>
    <w:p w14:paraId="71A59270" w14:textId="2BE63D90" w:rsidR="00DD1DB3" w:rsidRPr="00631DE0" w:rsidRDefault="00DD1DB3"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Gerged, M. (2021) ‘Factors affecting corporate environmental disclosure in emerging markets: the role of corporate governance structures’, </w:t>
      </w:r>
      <w:r w:rsidRPr="00631DE0">
        <w:rPr>
          <w:rFonts w:ascii="Times New Roman" w:hAnsi="Times New Roman" w:cs="Times New Roman"/>
          <w:i/>
          <w:iCs/>
          <w:color w:val="000000" w:themeColor="text1"/>
          <w:sz w:val="24"/>
          <w:szCs w:val="24"/>
        </w:rPr>
        <w:t>Business Strategy and the Environment</w:t>
      </w:r>
      <w:r w:rsidRPr="00631DE0">
        <w:rPr>
          <w:rFonts w:ascii="Times New Roman" w:hAnsi="Times New Roman" w:cs="Times New Roman"/>
          <w:color w:val="000000" w:themeColor="text1"/>
          <w:sz w:val="24"/>
          <w:szCs w:val="24"/>
        </w:rPr>
        <w:t xml:space="preserve">, 30 (1), pp.609-629. </w:t>
      </w:r>
    </w:p>
    <w:p w14:paraId="1C7A0D39" w14:textId="58B14ECA" w:rsidR="000D7C1A" w:rsidRPr="00631DE0" w:rsidRDefault="000D7C1A"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Giannarakis, G., Andronikidis, A.</w:t>
      </w:r>
      <w:r w:rsidR="00DD1DB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Sariannidis, N. (20</w:t>
      </w:r>
      <w:r w:rsidR="00D15FE2" w:rsidRPr="00631DE0">
        <w:rPr>
          <w:rFonts w:ascii="Times New Roman" w:hAnsi="Times New Roman" w:cs="Times New Roman"/>
          <w:color w:val="000000" w:themeColor="text1"/>
          <w:sz w:val="24"/>
          <w:szCs w:val="24"/>
        </w:rPr>
        <w:t>20</w:t>
      </w:r>
      <w:r w:rsidRPr="00631DE0">
        <w:rPr>
          <w:rFonts w:ascii="Times New Roman" w:hAnsi="Times New Roman" w:cs="Times New Roman"/>
          <w:color w:val="000000" w:themeColor="text1"/>
          <w:sz w:val="24"/>
          <w:szCs w:val="24"/>
        </w:rPr>
        <w:t xml:space="preserve">) </w:t>
      </w:r>
      <w:r w:rsidR="00DD1DB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Determinants of environmental disclosure: investigating new and conventional corporate governance characteristics</w:t>
      </w:r>
      <w:r w:rsidR="00DD1DB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Annals of Operations Research</w:t>
      </w:r>
      <w:r w:rsidRPr="00631DE0">
        <w:rPr>
          <w:rFonts w:ascii="Times New Roman" w:hAnsi="Times New Roman" w:cs="Times New Roman"/>
          <w:color w:val="000000" w:themeColor="text1"/>
          <w:sz w:val="24"/>
          <w:szCs w:val="24"/>
        </w:rPr>
        <w:t xml:space="preserve">, 294 </w:t>
      </w:r>
      <w:r w:rsidR="00DD1DB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1/2</w:t>
      </w:r>
      <w:r w:rsidR="00DD1DB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pp.1-19.</w:t>
      </w:r>
    </w:p>
    <w:p w14:paraId="1D1C459C" w14:textId="1EC670E9" w:rsidR="00A411C9" w:rsidRPr="00631DE0" w:rsidRDefault="00A411C9"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Giles, O.</w:t>
      </w:r>
      <w:r w:rsidR="00DD1DB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Murphy, D. </w:t>
      </w:r>
      <w:r w:rsidR="00DD1DB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2016</w:t>
      </w:r>
      <w:r w:rsidR="00DD1DB3"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00630A0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SLAPPed: the relationship between SLAPP suits and changed ESG reporting by firms</w:t>
      </w:r>
      <w:r w:rsidR="00630A0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Sustainability Accounting, Management and Policy Journal</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7</w:t>
      </w:r>
      <w:r w:rsidRPr="00631DE0">
        <w:rPr>
          <w:rFonts w:ascii="Times New Roman" w:hAnsi="Times New Roman" w:cs="Times New Roman"/>
          <w:color w:val="000000" w:themeColor="text1"/>
          <w:sz w:val="24"/>
          <w:szCs w:val="24"/>
        </w:rPr>
        <w:t>(1), pp.44-79.</w:t>
      </w:r>
    </w:p>
    <w:p w14:paraId="75D7A2A5" w14:textId="64E83F39" w:rsidR="000D7C1A" w:rsidRPr="00631DE0" w:rsidRDefault="000D7C1A"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rPr>
        <w:t xml:space="preserve">Goddard, </w:t>
      </w:r>
      <w:r w:rsidR="00630A07" w:rsidRPr="00631DE0">
        <w:rPr>
          <w:rFonts w:ascii="Times New Roman" w:hAnsi="Times New Roman" w:cs="Times New Roman"/>
          <w:color w:val="000000" w:themeColor="text1"/>
          <w:sz w:val="24"/>
          <w:szCs w:val="24"/>
        </w:rPr>
        <w:t>A. (</w:t>
      </w:r>
      <w:r w:rsidRPr="00631DE0">
        <w:rPr>
          <w:rFonts w:ascii="Times New Roman" w:hAnsi="Times New Roman" w:cs="Times New Roman"/>
          <w:color w:val="000000" w:themeColor="text1"/>
          <w:sz w:val="24"/>
          <w:szCs w:val="24"/>
        </w:rPr>
        <w:t>2020</w:t>
      </w:r>
      <w:r w:rsidR="00630A0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00630A0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Accountability and accounting in the NGO field comprising the UK and Africa - a Bordieusian analysis</w:t>
      </w:r>
      <w:r w:rsidR="00630A07" w:rsidRPr="00631DE0">
        <w:rPr>
          <w:rFonts w:ascii="Times New Roman" w:hAnsi="Times New Roman" w:cs="Times New Roman"/>
          <w:color w:val="000000" w:themeColor="text1"/>
          <w:sz w:val="24"/>
          <w:szCs w:val="24"/>
        </w:rPr>
        <w:t>’,</w:t>
      </w:r>
      <w:r w:rsidR="00630A07" w:rsidRPr="00631DE0">
        <w:rPr>
          <w:rFonts w:ascii="Times New Roman" w:hAnsi="Times New Roman" w:cs="Times New Roman"/>
          <w:i/>
          <w:iCs/>
          <w:color w:val="000000" w:themeColor="text1"/>
          <w:sz w:val="24"/>
          <w:szCs w:val="24"/>
          <w:shd w:val="clear" w:color="auto" w:fill="FFFFFF"/>
        </w:rPr>
        <w:t xml:space="preserve"> Critical Perspectives on Accounting</w:t>
      </w:r>
      <w:r w:rsidR="00630A07" w:rsidRPr="00631DE0">
        <w:rPr>
          <w:rFonts w:ascii="Times New Roman" w:hAnsi="Times New Roman" w:cs="Times New Roman"/>
          <w:color w:val="000000" w:themeColor="text1"/>
          <w:sz w:val="24"/>
          <w:szCs w:val="24"/>
          <w:shd w:val="clear" w:color="auto" w:fill="FFFFFF"/>
        </w:rPr>
        <w:t>, </w:t>
      </w:r>
      <w:r w:rsidR="00630A07" w:rsidRPr="00631DE0">
        <w:rPr>
          <w:rFonts w:ascii="Times New Roman" w:hAnsi="Times New Roman" w:cs="Times New Roman"/>
          <w:i/>
          <w:iCs/>
          <w:color w:val="000000" w:themeColor="text1"/>
          <w:sz w:val="24"/>
          <w:szCs w:val="24"/>
          <w:shd w:val="clear" w:color="auto" w:fill="FFFFFF"/>
        </w:rPr>
        <w:t>78</w:t>
      </w:r>
      <w:r w:rsidR="00630A07" w:rsidRPr="00631DE0">
        <w:rPr>
          <w:rFonts w:ascii="Times New Roman" w:hAnsi="Times New Roman" w:cs="Times New Roman"/>
          <w:color w:val="000000" w:themeColor="text1"/>
          <w:sz w:val="24"/>
          <w:szCs w:val="24"/>
          <w:shd w:val="clear" w:color="auto" w:fill="FFFFFF"/>
        </w:rPr>
        <w:t>, p.102200.</w:t>
      </w:r>
    </w:p>
    <w:p w14:paraId="2618F626" w14:textId="696E9141" w:rsidR="006927D4" w:rsidRPr="00631DE0" w:rsidRDefault="006927D4"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 xml:space="preserve">Gouldson, A., &amp; Sullivan, R. (2013) ‘Long-term corporate climate change targets: what could they deliver’, </w:t>
      </w:r>
      <w:r w:rsidRPr="00631DE0">
        <w:rPr>
          <w:rFonts w:ascii="Times New Roman" w:hAnsi="Times New Roman" w:cs="Times New Roman"/>
          <w:i/>
          <w:iCs/>
          <w:color w:val="000000" w:themeColor="text1"/>
          <w:sz w:val="24"/>
          <w:szCs w:val="24"/>
          <w:shd w:val="clear" w:color="auto" w:fill="FFFFFF"/>
        </w:rPr>
        <w:t>Environmental Science &amp; Policy</w:t>
      </w:r>
      <w:r w:rsidRPr="00631DE0">
        <w:rPr>
          <w:rFonts w:ascii="Times New Roman" w:hAnsi="Times New Roman" w:cs="Times New Roman"/>
          <w:color w:val="000000" w:themeColor="text1"/>
          <w:sz w:val="24"/>
          <w:szCs w:val="24"/>
          <w:shd w:val="clear" w:color="auto" w:fill="FFFFFF"/>
        </w:rPr>
        <w:t>, 27, pp.1–10</w:t>
      </w:r>
    </w:p>
    <w:p w14:paraId="47B4C6BA" w14:textId="2836A33E" w:rsidR="00DE1C1D" w:rsidRPr="00631DE0" w:rsidRDefault="00DE1C1D"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bookmarkStart w:id="22" w:name="_Hlk211084609"/>
      <w:r w:rsidRPr="00631DE0">
        <w:rPr>
          <w:rFonts w:ascii="Times New Roman" w:hAnsi="Times New Roman" w:cs="Times New Roman"/>
          <w:color w:val="000000" w:themeColor="text1"/>
          <w:sz w:val="24"/>
          <w:szCs w:val="24"/>
          <w:shd w:val="clear" w:color="auto" w:fill="FFFFFF"/>
        </w:rPr>
        <w:t xml:space="preserve">Granto Thorton </w:t>
      </w:r>
      <w:bookmarkEnd w:id="22"/>
      <w:r w:rsidRPr="00631DE0">
        <w:rPr>
          <w:rFonts w:ascii="Times New Roman" w:hAnsi="Times New Roman" w:cs="Times New Roman"/>
          <w:color w:val="000000" w:themeColor="text1"/>
          <w:sz w:val="24"/>
          <w:szCs w:val="24"/>
          <w:shd w:val="clear" w:color="auto" w:fill="FFFFFF"/>
        </w:rPr>
        <w:t xml:space="preserve">(2023) </w:t>
      </w:r>
      <w:r w:rsidRPr="00631DE0">
        <w:rPr>
          <w:rFonts w:ascii="Times New Roman" w:hAnsi="Times New Roman" w:cs="Times New Roman"/>
          <w:i/>
          <w:iCs/>
          <w:color w:val="000000" w:themeColor="text1"/>
          <w:sz w:val="24"/>
          <w:szCs w:val="24"/>
          <w:shd w:val="clear" w:color="auto" w:fill="FFFFFF"/>
        </w:rPr>
        <w:t>Charity Sector Developments</w:t>
      </w:r>
      <w:r w:rsidRPr="00631DE0">
        <w:rPr>
          <w:rFonts w:ascii="Times New Roman" w:hAnsi="Times New Roman" w:cs="Times New Roman"/>
          <w:color w:val="000000" w:themeColor="text1"/>
          <w:sz w:val="24"/>
          <w:szCs w:val="24"/>
          <w:shd w:val="clear" w:color="auto" w:fill="FFFFFF"/>
        </w:rPr>
        <w:t xml:space="preserve">. </w:t>
      </w:r>
      <w:r w:rsidR="003803C0" w:rsidRPr="00631DE0">
        <w:rPr>
          <w:rFonts w:ascii="Times New Roman" w:hAnsi="Times New Roman" w:cs="Times New Roman"/>
          <w:color w:val="000000" w:themeColor="text1"/>
          <w:sz w:val="24"/>
          <w:szCs w:val="24"/>
          <w:shd w:val="clear" w:color="auto" w:fill="FFFFFF"/>
        </w:rPr>
        <w:t>Granto Thorton:</w:t>
      </w:r>
      <w:r w:rsidRPr="00631DE0">
        <w:rPr>
          <w:rFonts w:ascii="Times New Roman" w:hAnsi="Times New Roman" w:cs="Times New Roman"/>
          <w:color w:val="000000" w:themeColor="text1"/>
          <w:sz w:val="24"/>
          <w:szCs w:val="24"/>
          <w:shd w:val="clear" w:color="auto" w:fill="FFFFFF"/>
        </w:rPr>
        <w:t xml:space="preserve"> London</w:t>
      </w:r>
    </w:p>
    <w:p w14:paraId="752EA1AC" w14:textId="746DE575" w:rsidR="00770B3D" w:rsidRPr="00631DE0" w:rsidRDefault="00770B3D"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 xml:space="preserve">Gregory, A., Tharyan, R., Whittaker, J. (2014) ‘Corporate social responsibility and firm value: Disaggregating the effects on cash flow, risk and growth’, </w:t>
      </w:r>
      <w:r w:rsidRPr="00631DE0">
        <w:rPr>
          <w:rFonts w:ascii="Times New Roman" w:hAnsi="Times New Roman" w:cs="Times New Roman"/>
          <w:i/>
          <w:iCs/>
          <w:color w:val="000000" w:themeColor="text1"/>
          <w:sz w:val="24"/>
          <w:szCs w:val="24"/>
          <w:shd w:val="clear" w:color="auto" w:fill="FFFFFF"/>
        </w:rPr>
        <w:t>Journal of Business Ethics</w:t>
      </w:r>
      <w:r w:rsidRPr="00631DE0">
        <w:rPr>
          <w:rFonts w:ascii="Times New Roman" w:hAnsi="Times New Roman" w:cs="Times New Roman"/>
          <w:color w:val="000000" w:themeColor="text1"/>
          <w:sz w:val="24"/>
          <w:szCs w:val="24"/>
          <w:shd w:val="clear" w:color="auto" w:fill="FFFFFF"/>
        </w:rPr>
        <w:t>, 124(4), 633–657.</w:t>
      </w:r>
    </w:p>
    <w:p w14:paraId="1341C5AB" w14:textId="42598FE1" w:rsidR="001D709A" w:rsidRPr="00631DE0" w:rsidRDefault="001D709A"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F80A50">
        <w:rPr>
          <w:rFonts w:ascii="Times New Roman" w:hAnsi="Times New Roman" w:cs="Times New Roman"/>
          <w:color w:val="000000" w:themeColor="text1"/>
          <w:sz w:val="24"/>
          <w:szCs w:val="24"/>
        </w:rPr>
        <w:t>Guthrie, J., Petty, R., &amp; Ricceri, F. (2006)</w:t>
      </w:r>
      <w:r w:rsidR="00DE1C1D" w:rsidRPr="00F80A5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The voluntary reporting of intellectual capital: comparing evidence from Hong Kong and Australia</w:t>
      </w:r>
      <w:r w:rsidR="00DE1C1D"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Journal of intellectual capital</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7</w:t>
      </w:r>
      <w:r w:rsidRPr="00631DE0">
        <w:rPr>
          <w:rFonts w:ascii="Times New Roman" w:hAnsi="Times New Roman" w:cs="Times New Roman"/>
          <w:color w:val="000000" w:themeColor="text1"/>
          <w:sz w:val="24"/>
          <w:szCs w:val="24"/>
        </w:rPr>
        <w:t>(2), 254-271.</w:t>
      </w:r>
    </w:p>
    <w:p w14:paraId="3BE9A236" w14:textId="77777777" w:rsidR="00080D4F" w:rsidRPr="00631DE0" w:rsidRDefault="00630A07"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Harris, E.E., Neely, D.G. (2016) ‘Multiple information signals in the market for the charitable donations’, </w:t>
      </w:r>
      <w:r w:rsidRPr="00631DE0">
        <w:rPr>
          <w:rFonts w:ascii="Times New Roman" w:hAnsi="Times New Roman" w:cs="Times New Roman"/>
          <w:i/>
          <w:iCs/>
          <w:color w:val="000000" w:themeColor="text1"/>
          <w:sz w:val="24"/>
          <w:szCs w:val="24"/>
        </w:rPr>
        <w:t>Contemporary Accounting Research</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33</w:t>
      </w:r>
      <w:r w:rsidRPr="00631DE0">
        <w:rPr>
          <w:rFonts w:ascii="Times New Roman" w:hAnsi="Times New Roman" w:cs="Times New Roman"/>
          <w:color w:val="000000" w:themeColor="text1"/>
          <w:sz w:val="24"/>
          <w:szCs w:val="24"/>
        </w:rPr>
        <w:t>(3), pp.989-1012.</w:t>
      </w:r>
    </w:p>
    <w:p w14:paraId="5E0ABF34" w14:textId="53214209" w:rsidR="00080D4F" w:rsidRPr="00631DE0" w:rsidRDefault="00080D4F"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Harris, E.,</w:t>
      </w:r>
      <w:r w:rsidR="003803C0"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Neely, D. (2021) ‘Determinants &amp; consequences of nonprofit transparency’, </w:t>
      </w:r>
      <w:r w:rsidRPr="00631DE0">
        <w:rPr>
          <w:rFonts w:ascii="Times New Roman" w:hAnsi="Times New Roman" w:cs="Times New Roman"/>
          <w:i/>
          <w:iCs/>
          <w:color w:val="000000" w:themeColor="text1"/>
          <w:sz w:val="24"/>
          <w:szCs w:val="24"/>
        </w:rPr>
        <w:t>Journal of Accounting, Auditing &amp; Finance</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36</w:t>
      </w:r>
      <w:r w:rsidRPr="00631DE0">
        <w:rPr>
          <w:rFonts w:ascii="Times New Roman" w:hAnsi="Times New Roman" w:cs="Times New Roman"/>
          <w:color w:val="000000" w:themeColor="text1"/>
          <w:sz w:val="24"/>
          <w:szCs w:val="24"/>
        </w:rPr>
        <w:t>(1), pp.195-220.</w:t>
      </w:r>
    </w:p>
    <w:p w14:paraId="6FEE8B08" w14:textId="488C95C2" w:rsidR="009D03A4" w:rsidRPr="00631DE0" w:rsidRDefault="009D03A4"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lastRenderedPageBreak/>
        <w:t>Harris,</w:t>
      </w:r>
      <w:r w:rsidR="00630A07"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M.</w:t>
      </w:r>
      <w:r w:rsidR="00630A0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Roach, B.</w:t>
      </w:r>
      <w:r w:rsidR="00630A07"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2017</w:t>
      </w:r>
      <w:r w:rsidR="00630A0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Environmental and natural resource economics: A contemporary approach</w:t>
      </w:r>
      <w:r w:rsidRPr="00631DE0">
        <w:rPr>
          <w:rFonts w:ascii="Times New Roman" w:hAnsi="Times New Roman" w:cs="Times New Roman"/>
          <w:color w:val="000000" w:themeColor="text1"/>
          <w:sz w:val="24"/>
          <w:szCs w:val="24"/>
        </w:rPr>
        <w:t>. Routledge.</w:t>
      </w:r>
    </w:p>
    <w:p w14:paraId="08082CB0" w14:textId="5E7DE2E3" w:rsidR="00630A07" w:rsidRPr="00631DE0" w:rsidRDefault="00630A07"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Haque, F., Ntim, C. (2018) ‘Environmental, policy, the sustainable development, governance mechanisms and environmental performance’, </w:t>
      </w:r>
      <w:r w:rsidRPr="00631DE0">
        <w:rPr>
          <w:rFonts w:ascii="Times New Roman" w:hAnsi="Times New Roman" w:cs="Times New Roman"/>
          <w:i/>
          <w:iCs/>
          <w:color w:val="000000" w:themeColor="text1"/>
          <w:sz w:val="24"/>
          <w:szCs w:val="24"/>
        </w:rPr>
        <w:t>Business Strategy and the Environment</w:t>
      </w:r>
      <w:r w:rsidRPr="00631DE0">
        <w:rPr>
          <w:rFonts w:ascii="Times New Roman" w:hAnsi="Times New Roman" w:cs="Times New Roman"/>
          <w:color w:val="000000" w:themeColor="text1"/>
          <w:sz w:val="24"/>
          <w:szCs w:val="24"/>
        </w:rPr>
        <w:t xml:space="preserve">, 27(3), pp. 415–435.  </w:t>
      </w:r>
    </w:p>
    <w:p w14:paraId="42C24689" w14:textId="3D53CD41" w:rsidR="00F95F82" w:rsidRPr="00631DE0" w:rsidRDefault="00F95F82"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Haque, </w:t>
      </w:r>
      <w:r w:rsidR="00630A07" w:rsidRPr="00631DE0">
        <w:rPr>
          <w:rFonts w:ascii="Times New Roman" w:hAnsi="Times New Roman" w:cs="Times New Roman"/>
          <w:color w:val="000000" w:themeColor="text1"/>
          <w:sz w:val="24"/>
          <w:szCs w:val="24"/>
        </w:rPr>
        <w:t>F</w:t>
      </w:r>
      <w:r w:rsidRPr="00631DE0">
        <w:rPr>
          <w:rFonts w:ascii="Times New Roman" w:hAnsi="Times New Roman" w:cs="Times New Roman"/>
          <w:color w:val="000000" w:themeColor="text1"/>
          <w:sz w:val="24"/>
          <w:szCs w:val="24"/>
        </w:rPr>
        <w:t>.</w:t>
      </w:r>
      <w:r w:rsidR="00630A0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Irvine, H. </w:t>
      </w:r>
      <w:r w:rsidR="00630A0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201</w:t>
      </w:r>
      <w:r w:rsidR="00630A07" w:rsidRPr="00631DE0">
        <w:rPr>
          <w:rFonts w:ascii="Times New Roman" w:hAnsi="Times New Roman" w:cs="Times New Roman"/>
          <w:color w:val="000000" w:themeColor="text1"/>
          <w:sz w:val="24"/>
          <w:szCs w:val="24"/>
        </w:rPr>
        <w:t>8)</w:t>
      </w:r>
      <w:r w:rsidRPr="00631DE0">
        <w:rPr>
          <w:rFonts w:ascii="Times New Roman" w:hAnsi="Times New Roman" w:cs="Times New Roman"/>
          <w:color w:val="000000" w:themeColor="text1"/>
          <w:sz w:val="24"/>
          <w:szCs w:val="24"/>
        </w:rPr>
        <w:t xml:space="preserve"> </w:t>
      </w:r>
      <w:r w:rsidR="00630A0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The climate change‐related disclosure and accountability practices of NGOs: Evidence from Australia</w:t>
      </w:r>
      <w:r w:rsidR="00630A0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Financial Accountability &amp; Management</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34</w:t>
      </w:r>
      <w:r w:rsidRPr="00631DE0">
        <w:rPr>
          <w:rFonts w:ascii="Times New Roman" w:hAnsi="Times New Roman" w:cs="Times New Roman"/>
          <w:color w:val="000000" w:themeColor="text1"/>
          <w:sz w:val="24"/>
          <w:szCs w:val="24"/>
        </w:rPr>
        <w:t>(1), pp.45-63.</w:t>
      </w:r>
    </w:p>
    <w:p w14:paraId="63866D21" w14:textId="072055BD" w:rsidR="00332D03" w:rsidRPr="00631DE0" w:rsidRDefault="00332D03"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Helfaya, A., Whittington, M., Alawattage, C. (2019) ‘Exploring the quality of corporate environmental reporting: Surveying preparers’ and users’ perceptions’, </w:t>
      </w:r>
      <w:r w:rsidRPr="00631DE0">
        <w:rPr>
          <w:rFonts w:ascii="Times New Roman" w:hAnsi="Times New Roman" w:cs="Times New Roman"/>
          <w:i/>
          <w:iCs/>
          <w:color w:val="000000" w:themeColor="text1"/>
          <w:sz w:val="24"/>
          <w:szCs w:val="24"/>
        </w:rPr>
        <w:t>Accounting, Auditing</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&amp; Accountability Journal</w:t>
      </w:r>
      <w:r w:rsidRPr="00631DE0">
        <w:rPr>
          <w:rFonts w:ascii="Times New Roman" w:hAnsi="Times New Roman" w:cs="Times New Roman"/>
          <w:color w:val="000000" w:themeColor="text1"/>
          <w:sz w:val="24"/>
          <w:szCs w:val="24"/>
        </w:rPr>
        <w:t>, 32(1), pp. 163–193.</w:t>
      </w:r>
    </w:p>
    <w:p w14:paraId="10CFE092" w14:textId="195D0F3B" w:rsidR="00630A07" w:rsidRPr="00631DE0" w:rsidRDefault="00FF075D"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Ho, E., Eger, S.</w:t>
      </w:r>
      <w:r w:rsidR="00630A0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Courtenay,</w:t>
      </w:r>
      <w:r w:rsidR="00630A07"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 xml:space="preserve">C. (2018) </w:t>
      </w:r>
      <w:r w:rsidR="00630A0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Assessing current monitoring indicators and reporting for</w:t>
      </w:r>
      <w:r w:rsidR="00630A07" w:rsidRPr="00631DE0">
        <w:rPr>
          <w:rFonts w:ascii="Times New Roman" w:hAnsi="Times New Roman" w:cs="Times New Roman"/>
          <w:color w:val="000000" w:themeColor="text1"/>
          <w:sz w:val="24"/>
          <w:szCs w:val="24"/>
        </w:rPr>
        <w:t xml:space="preserve"> the</w:t>
      </w:r>
      <w:r w:rsidRPr="00631DE0">
        <w:rPr>
          <w:rFonts w:ascii="Times New Roman" w:hAnsi="Times New Roman" w:cs="Times New Roman"/>
          <w:color w:val="000000" w:themeColor="text1"/>
          <w:sz w:val="24"/>
          <w:szCs w:val="24"/>
        </w:rPr>
        <w:t xml:space="preserve"> cumulative effects integration: a case study in </w:t>
      </w:r>
      <w:r w:rsidR="00630A07" w:rsidRPr="00631DE0">
        <w:rPr>
          <w:rFonts w:ascii="Times New Roman" w:hAnsi="Times New Roman" w:cs="Times New Roman"/>
          <w:color w:val="000000" w:themeColor="text1"/>
          <w:sz w:val="24"/>
          <w:szCs w:val="24"/>
        </w:rPr>
        <w:t>Muskoka</w:t>
      </w:r>
      <w:r w:rsidRPr="00631DE0">
        <w:rPr>
          <w:rFonts w:ascii="Times New Roman" w:hAnsi="Times New Roman" w:cs="Times New Roman"/>
          <w:color w:val="000000" w:themeColor="text1"/>
          <w:sz w:val="24"/>
          <w:szCs w:val="24"/>
        </w:rPr>
        <w:t>, Ontario, Canada</w:t>
      </w:r>
      <w:r w:rsidR="00630A0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Ecological Indicators</w:t>
      </w:r>
      <w:r w:rsidRPr="00631DE0">
        <w:rPr>
          <w:rFonts w:ascii="Times New Roman" w:hAnsi="Times New Roman" w:cs="Times New Roman"/>
          <w:color w:val="000000" w:themeColor="text1"/>
          <w:sz w:val="24"/>
          <w:szCs w:val="24"/>
        </w:rPr>
        <w:t>, 95, pp.862-876.</w:t>
      </w:r>
    </w:p>
    <w:p w14:paraId="733535EC" w14:textId="3181874C" w:rsidR="001736B5" w:rsidRPr="00631DE0" w:rsidRDefault="001736B5"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Hofer, C., Cantor, D., Dai, J. (2012) ‘The competitive determinants of a firm’s environmental management activities: Evidence from US manufacturing industries’, </w:t>
      </w:r>
      <w:r w:rsidRPr="00631DE0">
        <w:rPr>
          <w:rFonts w:ascii="Times New Roman" w:hAnsi="Times New Roman" w:cs="Times New Roman"/>
          <w:i/>
          <w:iCs/>
          <w:color w:val="000000" w:themeColor="text1"/>
          <w:sz w:val="24"/>
          <w:szCs w:val="24"/>
        </w:rPr>
        <w:t>Journal of Operations</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Management</w:t>
      </w:r>
      <w:r w:rsidRPr="00631DE0">
        <w:rPr>
          <w:rFonts w:ascii="Times New Roman" w:hAnsi="Times New Roman" w:cs="Times New Roman"/>
          <w:color w:val="000000" w:themeColor="text1"/>
          <w:sz w:val="24"/>
          <w:szCs w:val="24"/>
        </w:rPr>
        <w:t>, 30(1), pp. 69–84.</w:t>
      </w:r>
    </w:p>
    <w:p w14:paraId="59B710F2" w14:textId="0E09B83C" w:rsidR="00C33535" w:rsidRPr="00631DE0" w:rsidRDefault="00C33535"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Hoffman, A.</w:t>
      </w:r>
      <w:r w:rsidR="00630A0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Jennings, P.D.</w:t>
      </w:r>
      <w:r w:rsidR="00630A07"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2018</w:t>
      </w:r>
      <w:r w:rsidR="00630A07"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Re-engaging with sustainability in the Anthropocene era: An institutional approach</w:t>
      </w:r>
      <w:r w:rsidRPr="00631DE0">
        <w:rPr>
          <w:rFonts w:ascii="Times New Roman" w:hAnsi="Times New Roman" w:cs="Times New Roman"/>
          <w:color w:val="000000" w:themeColor="text1"/>
          <w:sz w:val="24"/>
          <w:szCs w:val="24"/>
        </w:rPr>
        <w:t>. Cambridge University Press.</w:t>
      </w:r>
    </w:p>
    <w:p w14:paraId="52BC984F" w14:textId="32920CA8" w:rsidR="00DF2399" w:rsidRPr="00631DE0" w:rsidRDefault="00DF2399"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Homroy, S.</w:t>
      </w:r>
      <w:r w:rsidR="00FA494E"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 Slechten, A.</w:t>
      </w:r>
      <w:r w:rsidR="00FA494E" w:rsidRPr="00631DE0">
        <w:rPr>
          <w:rFonts w:ascii="Times New Roman" w:hAnsi="Times New Roman" w:cs="Times New Roman"/>
          <w:color w:val="000000" w:themeColor="text1"/>
          <w:sz w:val="24"/>
          <w:szCs w:val="24"/>
          <w:shd w:val="clear" w:color="auto" w:fill="FFFFFF"/>
        </w:rPr>
        <w:t xml:space="preserve"> (</w:t>
      </w:r>
      <w:r w:rsidRPr="00631DE0">
        <w:rPr>
          <w:rFonts w:ascii="Times New Roman" w:hAnsi="Times New Roman" w:cs="Times New Roman"/>
          <w:color w:val="000000" w:themeColor="text1"/>
          <w:sz w:val="24"/>
          <w:szCs w:val="24"/>
          <w:shd w:val="clear" w:color="auto" w:fill="FFFFFF"/>
        </w:rPr>
        <w:t>2019</w:t>
      </w:r>
      <w:r w:rsidR="00FA494E" w:rsidRPr="00631DE0">
        <w:rPr>
          <w:rFonts w:ascii="Times New Roman" w:hAnsi="Times New Roman" w:cs="Times New Roman"/>
          <w:color w:val="000000" w:themeColor="text1"/>
          <w:sz w:val="24"/>
          <w:szCs w:val="24"/>
          <w:shd w:val="clear" w:color="auto" w:fill="FFFFFF"/>
        </w:rPr>
        <w:t xml:space="preserve">) ‘Do board expertise and networked boards affects environment performance’, </w:t>
      </w:r>
      <w:r w:rsidRPr="00631DE0">
        <w:rPr>
          <w:rFonts w:ascii="Times New Roman" w:hAnsi="Times New Roman" w:cs="Times New Roman"/>
          <w:i/>
          <w:iCs/>
          <w:color w:val="000000" w:themeColor="text1"/>
          <w:sz w:val="24"/>
          <w:szCs w:val="24"/>
          <w:shd w:val="clear" w:color="auto" w:fill="FFFFFF"/>
        </w:rPr>
        <w:t>Journal of business ethics</w:t>
      </w:r>
      <w:r w:rsidRPr="00631DE0">
        <w:rPr>
          <w:rFonts w:ascii="Times New Roman" w:hAnsi="Times New Roman" w:cs="Times New Roman"/>
          <w:color w:val="000000" w:themeColor="text1"/>
          <w:sz w:val="24"/>
          <w:szCs w:val="24"/>
          <w:shd w:val="clear" w:color="auto" w:fill="FFFFFF"/>
        </w:rPr>
        <w:t>, </w:t>
      </w:r>
      <w:r w:rsidRPr="00631DE0">
        <w:rPr>
          <w:rFonts w:ascii="Times New Roman" w:hAnsi="Times New Roman" w:cs="Times New Roman"/>
          <w:i/>
          <w:iCs/>
          <w:color w:val="000000" w:themeColor="text1"/>
          <w:sz w:val="24"/>
          <w:szCs w:val="24"/>
          <w:shd w:val="clear" w:color="auto" w:fill="FFFFFF"/>
        </w:rPr>
        <w:t>158</w:t>
      </w:r>
      <w:r w:rsidRPr="00631DE0">
        <w:rPr>
          <w:rFonts w:ascii="Times New Roman" w:hAnsi="Times New Roman" w:cs="Times New Roman"/>
          <w:color w:val="000000" w:themeColor="text1"/>
          <w:sz w:val="24"/>
          <w:szCs w:val="24"/>
          <w:shd w:val="clear" w:color="auto" w:fill="FFFFFF"/>
        </w:rPr>
        <w:t>, pp.269-292.</w:t>
      </w:r>
    </w:p>
    <w:p w14:paraId="5D52A5BD" w14:textId="1308926F" w:rsidR="00D85CAD" w:rsidRPr="00631DE0" w:rsidRDefault="00D85CAD"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 xml:space="preserve">Hrasky, S. (2012) ‘Carbon footprints and the legitimation strategies: symbolism or action’, </w:t>
      </w:r>
      <w:r w:rsidRPr="00631DE0">
        <w:rPr>
          <w:rFonts w:ascii="Times New Roman" w:hAnsi="Times New Roman" w:cs="Times New Roman"/>
          <w:i/>
          <w:iCs/>
          <w:color w:val="000000" w:themeColor="text1"/>
          <w:sz w:val="24"/>
          <w:szCs w:val="24"/>
          <w:shd w:val="clear" w:color="auto" w:fill="FFFFFF"/>
        </w:rPr>
        <w:t>Accounting, Auditing and Accountability Journal</w:t>
      </w:r>
      <w:r w:rsidRPr="00631DE0">
        <w:rPr>
          <w:rFonts w:ascii="Times New Roman" w:hAnsi="Times New Roman" w:cs="Times New Roman"/>
          <w:color w:val="000000" w:themeColor="text1"/>
          <w:sz w:val="24"/>
          <w:szCs w:val="24"/>
          <w:shd w:val="clear" w:color="auto" w:fill="FFFFFF"/>
        </w:rPr>
        <w:t>, 25(1), pp. 174–198.</w:t>
      </w:r>
    </w:p>
    <w:p w14:paraId="39A3A3FF" w14:textId="740D0F97" w:rsidR="00FA494E" w:rsidRPr="00631DE0" w:rsidRDefault="00FA494E"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 xml:space="preserve">Huang, R., Chen, D. (2015) ‘Do environmental information disclosure benefit waste discharge reduction? Evidence from China’, </w:t>
      </w:r>
      <w:r w:rsidRPr="00631DE0">
        <w:rPr>
          <w:rFonts w:ascii="Times New Roman" w:hAnsi="Times New Roman" w:cs="Times New Roman"/>
          <w:i/>
          <w:iCs/>
          <w:color w:val="000000" w:themeColor="text1"/>
          <w:sz w:val="24"/>
          <w:szCs w:val="24"/>
          <w:shd w:val="clear" w:color="auto" w:fill="FFFFFF"/>
        </w:rPr>
        <w:t>Journal of Business Ethics</w:t>
      </w:r>
      <w:r w:rsidRPr="00631DE0">
        <w:rPr>
          <w:rFonts w:ascii="Times New Roman" w:hAnsi="Times New Roman" w:cs="Times New Roman"/>
          <w:color w:val="000000" w:themeColor="text1"/>
          <w:sz w:val="24"/>
          <w:szCs w:val="24"/>
          <w:shd w:val="clear" w:color="auto" w:fill="FFFFFF"/>
        </w:rPr>
        <w:t>, </w:t>
      </w:r>
      <w:r w:rsidRPr="00631DE0">
        <w:rPr>
          <w:rFonts w:ascii="Times New Roman" w:hAnsi="Times New Roman" w:cs="Times New Roman"/>
          <w:i/>
          <w:iCs/>
          <w:color w:val="000000" w:themeColor="text1"/>
          <w:sz w:val="24"/>
          <w:szCs w:val="24"/>
          <w:shd w:val="clear" w:color="auto" w:fill="FFFFFF"/>
        </w:rPr>
        <w:t>129</w:t>
      </w:r>
      <w:r w:rsidRPr="00631DE0">
        <w:rPr>
          <w:rFonts w:ascii="Times New Roman" w:hAnsi="Times New Roman" w:cs="Times New Roman"/>
          <w:color w:val="000000" w:themeColor="text1"/>
          <w:sz w:val="24"/>
          <w:szCs w:val="24"/>
          <w:shd w:val="clear" w:color="auto" w:fill="FFFFFF"/>
        </w:rPr>
        <w:t>, pp.535-552.</w:t>
      </w:r>
    </w:p>
    <w:p w14:paraId="540D0914" w14:textId="663015F6" w:rsidR="003375EB" w:rsidRPr="00631DE0" w:rsidRDefault="003375EB"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Hyndman, N.</w:t>
      </w:r>
      <w:r w:rsidR="00FA494E"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McConville, D. (2018)</w:t>
      </w:r>
      <w:r w:rsidR="00FA494E"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Trust and accountability in UK charities: exploring the virtuous circle</w:t>
      </w:r>
      <w:r w:rsidR="00FA494E"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The British Accounting Review</w:t>
      </w:r>
      <w:r w:rsidRPr="00631DE0">
        <w:rPr>
          <w:rFonts w:ascii="Times New Roman" w:hAnsi="Times New Roman" w:cs="Times New Roman"/>
          <w:color w:val="000000" w:themeColor="text1"/>
          <w:sz w:val="24"/>
          <w:szCs w:val="24"/>
        </w:rPr>
        <w:t>, 50</w:t>
      </w:r>
      <w:r w:rsidR="00FA494E"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2</w:t>
      </w:r>
      <w:r w:rsidR="00FA494E"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pp. 227-237.</w:t>
      </w:r>
    </w:p>
    <w:p w14:paraId="42FB3970" w14:textId="17FFB552" w:rsidR="002057FC" w:rsidRPr="00631DE0" w:rsidRDefault="002057FC"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Inman, R.</w:t>
      </w:r>
      <w:r w:rsidR="003803C0"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Green,</w:t>
      </w:r>
      <w:r w:rsidR="00B524B9"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W.</w:t>
      </w:r>
      <w:r w:rsidR="003803C0"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2018</w:t>
      </w:r>
      <w:r w:rsidR="003803C0" w:rsidRPr="00631DE0">
        <w:rPr>
          <w:rFonts w:ascii="Times New Roman" w:hAnsi="Times New Roman" w:cs="Times New Roman"/>
          <w:color w:val="000000" w:themeColor="text1"/>
          <w:sz w:val="24"/>
          <w:szCs w:val="24"/>
        </w:rPr>
        <w:t>) ‘</w:t>
      </w:r>
      <w:r w:rsidRPr="00631DE0">
        <w:rPr>
          <w:rFonts w:ascii="Times New Roman" w:hAnsi="Times New Roman" w:cs="Times New Roman"/>
          <w:color w:val="000000" w:themeColor="text1"/>
          <w:sz w:val="24"/>
          <w:szCs w:val="24"/>
        </w:rPr>
        <w:t>Lean and green combine to impact environmental and operational performance</w:t>
      </w:r>
      <w:r w:rsidR="003803C0"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International Journal of Production Research</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56</w:t>
      </w:r>
      <w:r w:rsidRPr="00631DE0">
        <w:rPr>
          <w:rFonts w:ascii="Times New Roman" w:hAnsi="Times New Roman" w:cs="Times New Roman"/>
          <w:color w:val="000000" w:themeColor="text1"/>
          <w:sz w:val="24"/>
          <w:szCs w:val="24"/>
        </w:rPr>
        <w:t>(14), pp.4802-4818.</w:t>
      </w:r>
    </w:p>
    <w:p w14:paraId="30CF7883" w14:textId="3AF3A5D3" w:rsidR="00ED7A97" w:rsidRPr="00631DE0" w:rsidRDefault="00ED7A97"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 xml:space="preserve">Järvinen, J.T., Laine, M., Hyvönen, T., Kantola, H. (2022) ‘Just look at the numbers: a case study on quantification in corporate environmental disclosures’, </w:t>
      </w:r>
      <w:r w:rsidRPr="00631DE0">
        <w:rPr>
          <w:rFonts w:ascii="Times New Roman" w:hAnsi="Times New Roman" w:cs="Times New Roman"/>
          <w:i/>
          <w:iCs/>
          <w:color w:val="000000" w:themeColor="text1"/>
          <w:sz w:val="24"/>
          <w:szCs w:val="24"/>
          <w:shd w:val="clear" w:color="auto" w:fill="FFFFFF"/>
        </w:rPr>
        <w:t>Journal of Business Ethics</w:t>
      </w:r>
      <w:r w:rsidRPr="00631DE0">
        <w:rPr>
          <w:rFonts w:ascii="Times New Roman" w:hAnsi="Times New Roman" w:cs="Times New Roman"/>
          <w:color w:val="000000" w:themeColor="text1"/>
          <w:sz w:val="24"/>
          <w:szCs w:val="24"/>
          <w:shd w:val="clear" w:color="auto" w:fill="FFFFFF"/>
        </w:rPr>
        <w:t>, 175, pp.23-44.</w:t>
      </w:r>
    </w:p>
    <w:p w14:paraId="68657C19" w14:textId="3AFEDB62" w:rsidR="006927D4" w:rsidRPr="00631DE0" w:rsidRDefault="006927D4"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 xml:space="preserve">Jones, M.,Slack, R. (2013) </w:t>
      </w:r>
      <w:r w:rsidRPr="00631DE0">
        <w:rPr>
          <w:rFonts w:ascii="Times New Roman" w:hAnsi="Times New Roman" w:cs="Times New Roman"/>
          <w:i/>
          <w:iCs/>
          <w:color w:val="000000" w:themeColor="text1"/>
          <w:sz w:val="24"/>
          <w:szCs w:val="24"/>
          <w:shd w:val="clear" w:color="auto" w:fill="FFFFFF"/>
        </w:rPr>
        <w:t>Environmental disclosure and targets in environmental reports: Impression management or legitimacy theory</w:t>
      </w:r>
      <w:r w:rsidRPr="00631DE0">
        <w:rPr>
          <w:rFonts w:ascii="Times New Roman" w:hAnsi="Times New Roman" w:cs="Times New Roman"/>
          <w:color w:val="000000" w:themeColor="text1"/>
          <w:sz w:val="24"/>
          <w:szCs w:val="24"/>
          <w:shd w:val="clear" w:color="auto" w:fill="FFFFFF"/>
        </w:rPr>
        <w:t>. In British accounting and Finance association (BAFA) conference.</w:t>
      </w:r>
    </w:p>
    <w:p w14:paraId="20D95E82" w14:textId="0C59C38D" w:rsidR="00FA494E" w:rsidRPr="00631DE0" w:rsidRDefault="00791DCB"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Kamal, Y.</w:t>
      </w:r>
      <w:r w:rsidR="00FA494E"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 Deegan, C.</w:t>
      </w:r>
      <w:r w:rsidR="00FA494E" w:rsidRPr="00631DE0">
        <w:rPr>
          <w:rFonts w:ascii="Times New Roman" w:hAnsi="Times New Roman" w:cs="Times New Roman"/>
          <w:color w:val="000000" w:themeColor="text1"/>
          <w:sz w:val="24"/>
          <w:szCs w:val="24"/>
          <w:shd w:val="clear" w:color="auto" w:fill="FFFFFF"/>
        </w:rPr>
        <w:t xml:space="preserve"> (</w:t>
      </w:r>
      <w:r w:rsidRPr="00631DE0">
        <w:rPr>
          <w:rFonts w:ascii="Times New Roman" w:hAnsi="Times New Roman" w:cs="Times New Roman"/>
          <w:color w:val="000000" w:themeColor="text1"/>
          <w:sz w:val="24"/>
          <w:szCs w:val="24"/>
          <w:shd w:val="clear" w:color="auto" w:fill="FFFFFF"/>
        </w:rPr>
        <w:t>2013</w:t>
      </w:r>
      <w:r w:rsidR="00FA494E"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 </w:t>
      </w:r>
      <w:r w:rsidR="00FA494E" w:rsidRPr="00631DE0">
        <w:rPr>
          <w:rFonts w:ascii="Times New Roman" w:hAnsi="Times New Roman" w:cs="Times New Roman"/>
          <w:color w:val="000000" w:themeColor="text1"/>
          <w:sz w:val="24"/>
          <w:szCs w:val="24"/>
          <w:shd w:val="clear" w:color="auto" w:fill="FFFFFF"/>
        </w:rPr>
        <w:t xml:space="preserve">‘Corporate social and environment related governance disclosure </w:t>
      </w:r>
      <w:r w:rsidR="007523C1" w:rsidRPr="00631DE0">
        <w:rPr>
          <w:rFonts w:ascii="Times New Roman" w:hAnsi="Times New Roman" w:cs="Times New Roman"/>
          <w:color w:val="000000" w:themeColor="text1"/>
          <w:sz w:val="24"/>
          <w:szCs w:val="24"/>
          <w:shd w:val="clear" w:color="auto" w:fill="FFFFFF"/>
        </w:rPr>
        <w:t>practices</w:t>
      </w:r>
      <w:r w:rsidR="00FA494E" w:rsidRPr="00631DE0">
        <w:rPr>
          <w:rFonts w:ascii="Times New Roman" w:hAnsi="Times New Roman" w:cs="Times New Roman"/>
          <w:color w:val="000000" w:themeColor="text1"/>
          <w:sz w:val="24"/>
          <w:szCs w:val="24"/>
          <w:shd w:val="clear" w:color="auto" w:fill="FFFFFF"/>
        </w:rPr>
        <w:t xml:space="preserve"> in the textile and </w:t>
      </w:r>
      <w:r w:rsidR="007523C1" w:rsidRPr="00631DE0">
        <w:rPr>
          <w:rFonts w:ascii="Times New Roman" w:hAnsi="Times New Roman" w:cs="Times New Roman"/>
          <w:color w:val="000000" w:themeColor="text1"/>
          <w:sz w:val="24"/>
          <w:szCs w:val="24"/>
          <w:shd w:val="clear" w:color="auto" w:fill="FFFFFF"/>
        </w:rPr>
        <w:t xml:space="preserve">garment industry: evidence from a developing country’, </w:t>
      </w:r>
      <w:r w:rsidR="007523C1" w:rsidRPr="00631DE0">
        <w:rPr>
          <w:rFonts w:ascii="Times New Roman" w:hAnsi="Times New Roman" w:cs="Times New Roman"/>
          <w:i/>
          <w:iCs/>
          <w:color w:val="000000" w:themeColor="text1"/>
          <w:sz w:val="24"/>
          <w:szCs w:val="24"/>
          <w:shd w:val="clear" w:color="auto" w:fill="FFFFFF"/>
        </w:rPr>
        <w:t>Australian Accounting Review,</w:t>
      </w:r>
      <w:r w:rsidR="007523C1" w:rsidRPr="00631DE0">
        <w:rPr>
          <w:rFonts w:ascii="Times New Roman" w:hAnsi="Times New Roman" w:cs="Times New Roman"/>
          <w:color w:val="000000" w:themeColor="text1"/>
          <w:sz w:val="24"/>
          <w:szCs w:val="24"/>
          <w:shd w:val="clear" w:color="auto" w:fill="FFFFFF"/>
        </w:rPr>
        <w:t xml:space="preserve"> 23(2), pp. 117-134.</w:t>
      </w:r>
    </w:p>
    <w:p w14:paraId="3C488BE5" w14:textId="34EB95AB" w:rsidR="00B33E6A" w:rsidRPr="00631DE0" w:rsidRDefault="00B33E6A"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lastRenderedPageBreak/>
        <w:t xml:space="preserve">Kemp, J., Morgan, G. (2019) </w:t>
      </w:r>
      <w:r w:rsidR="007C2882"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Incidence and perceptions of “qualified” accounts filed by small charities</w:t>
      </w:r>
      <w:r w:rsidR="007C2882"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 In </w:t>
      </w:r>
      <w:r w:rsidRPr="00631DE0">
        <w:rPr>
          <w:rFonts w:ascii="Times New Roman" w:hAnsi="Times New Roman" w:cs="Times New Roman"/>
          <w:i/>
          <w:iCs/>
          <w:color w:val="000000" w:themeColor="text1"/>
          <w:sz w:val="24"/>
          <w:szCs w:val="24"/>
          <w:shd w:val="clear" w:color="auto" w:fill="FFFFFF"/>
        </w:rPr>
        <w:t>Accounting forum</w:t>
      </w:r>
      <w:r w:rsidRPr="00631DE0">
        <w:rPr>
          <w:rFonts w:ascii="Times New Roman" w:hAnsi="Times New Roman" w:cs="Times New Roman"/>
          <w:color w:val="000000" w:themeColor="text1"/>
          <w:sz w:val="24"/>
          <w:szCs w:val="24"/>
          <w:shd w:val="clear" w:color="auto" w:fill="FFFFFF"/>
        </w:rPr>
        <w:t> (Vol. 43, No. 1, pp. 62-84). Routledge.</w:t>
      </w:r>
    </w:p>
    <w:p w14:paraId="01720E55" w14:textId="2D42B099" w:rsidR="0077040E" w:rsidRPr="00631DE0" w:rsidRDefault="0077040E"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Kotcher, J., Maibach, E., Miller, J., Campbell, E., Alqodmani, L., Maiero, M., Wyns, A. (2021)</w:t>
      </w:r>
      <w:r w:rsidR="007523C1"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 xml:space="preserve">Views of health professionals on climate change and health: </w:t>
      </w:r>
      <w:r w:rsidR="007523C1" w:rsidRPr="00631DE0">
        <w:rPr>
          <w:rFonts w:ascii="Times New Roman" w:hAnsi="Times New Roman" w:cs="Times New Roman"/>
          <w:color w:val="000000" w:themeColor="text1"/>
          <w:sz w:val="24"/>
          <w:szCs w:val="24"/>
        </w:rPr>
        <w:t>a</w:t>
      </w:r>
      <w:r w:rsidRPr="00631DE0">
        <w:rPr>
          <w:rFonts w:ascii="Times New Roman" w:hAnsi="Times New Roman" w:cs="Times New Roman"/>
          <w:color w:val="000000" w:themeColor="text1"/>
          <w:sz w:val="24"/>
          <w:szCs w:val="24"/>
        </w:rPr>
        <w:t xml:space="preserve"> multinational survey study</w:t>
      </w:r>
      <w:r w:rsidR="007523C1"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The Lancet Planetary Health</w:t>
      </w:r>
      <w:r w:rsidRPr="00631DE0">
        <w:rPr>
          <w:rFonts w:ascii="Times New Roman" w:hAnsi="Times New Roman" w:cs="Times New Roman"/>
          <w:color w:val="000000" w:themeColor="text1"/>
          <w:sz w:val="24"/>
          <w:szCs w:val="24"/>
        </w:rPr>
        <w:t xml:space="preserve">, 5(5), </w:t>
      </w:r>
      <w:r w:rsidR="007523C1" w:rsidRPr="00631DE0">
        <w:rPr>
          <w:rFonts w:ascii="Times New Roman" w:hAnsi="Times New Roman" w:cs="Times New Roman"/>
          <w:color w:val="000000" w:themeColor="text1"/>
          <w:sz w:val="24"/>
          <w:szCs w:val="24"/>
        </w:rPr>
        <w:t>pp.</w:t>
      </w:r>
      <w:r w:rsidRPr="00631DE0">
        <w:rPr>
          <w:rFonts w:ascii="Times New Roman" w:hAnsi="Times New Roman" w:cs="Times New Roman"/>
          <w:color w:val="000000" w:themeColor="text1"/>
          <w:sz w:val="24"/>
          <w:szCs w:val="24"/>
        </w:rPr>
        <w:t>316–323.</w:t>
      </w:r>
    </w:p>
    <w:p w14:paraId="3A208271" w14:textId="72D91155" w:rsidR="007523C1" w:rsidRPr="00631DE0" w:rsidRDefault="00934F8F"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 xml:space="preserve">Krippendorff, K., </w:t>
      </w:r>
      <w:r w:rsidR="007523C1"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2018</w:t>
      </w:r>
      <w:r w:rsidR="007523C1" w:rsidRPr="00631DE0">
        <w:rPr>
          <w:rFonts w:ascii="Times New Roman" w:hAnsi="Times New Roman" w:cs="Times New Roman"/>
          <w:color w:val="000000" w:themeColor="text1"/>
          <w:sz w:val="24"/>
          <w:szCs w:val="24"/>
          <w:shd w:val="clear" w:color="auto" w:fill="FFFFFF"/>
        </w:rPr>
        <w:t xml:space="preserve">) </w:t>
      </w:r>
      <w:r w:rsidR="007523C1" w:rsidRPr="00631DE0">
        <w:rPr>
          <w:rFonts w:ascii="Times New Roman" w:hAnsi="Times New Roman" w:cs="Times New Roman"/>
          <w:i/>
          <w:iCs/>
          <w:color w:val="000000" w:themeColor="text1"/>
          <w:sz w:val="24"/>
          <w:szCs w:val="24"/>
          <w:shd w:val="clear" w:color="auto" w:fill="FFFFFF"/>
        </w:rPr>
        <w:t>Content analysis: an introduction to methodology</w:t>
      </w:r>
      <w:r w:rsidR="007523C1" w:rsidRPr="00631DE0">
        <w:rPr>
          <w:rFonts w:ascii="Times New Roman" w:hAnsi="Times New Roman" w:cs="Times New Roman"/>
          <w:color w:val="000000" w:themeColor="text1"/>
          <w:sz w:val="24"/>
          <w:szCs w:val="24"/>
          <w:shd w:val="clear" w:color="auto" w:fill="FFFFFF"/>
        </w:rPr>
        <w:t>. Sage Publications</w:t>
      </w:r>
    </w:p>
    <w:p w14:paraId="5ED459DD" w14:textId="326BBA3D" w:rsidR="000D7C1A" w:rsidRPr="00631DE0" w:rsidRDefault="000D7C1A"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 xml:space="preserve">Laine, M., Järvinen, J., Hyvönen, T., Kantola, H. (2017) </w:t>
      </w:r>
      <w:r w:rsidR="007523C1"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Ambiguity of financial environmental information: </w:t>
      </w:r>
      <w:r w:rsidR="007523C1" w:rsidRPr="00631DE0">
        <w:rPr>
          <w:rFonts w:ascii="Times New Roman" w:hAnsi="Times New Roman" w:cs="Times New Roman"/>
          <w:color w:val="000000" w:themeColor="text1"/>
          <w:sz w:val="24"/>
          <w:szCs w:val="24"/>
          <w:shd w:val="clear" w:color="auto" w:fill="FFFFFF"/>
        </w:rPr>
        <w:t>a</w:t>
      </w:r>
      <w:r w:rsidRPr="00631DE0">
        <w:rPr>
          <w:rFonts w:ascii="Times New Roman" w:hAnsi="Times New Roman" w:cs="Times New Roman"/>
          <w:color w:val="000000" w:themeColor="text1"/>
          <w:sz w:val="24"/>
          <w:szCs w:val="24"/>
          <w:shd w:val="clear" w:color="auto" w:fill="FFFFFF"/>
        </w:rPr>
        <w:t xml:space="preserve"> case study of Finnish energy company</w:t>
      </w:r>
      <w:r w:rsidR="007523C1"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 </w:t>
      </w:r>
      <w:r w:rsidRPr="00631DE0">
        <w:rPr>
          <w:rFonts w:ascii="Times New Roman" w:hAnsi="Times New Roman" w:cs="Times New Roman"/>
          <w:i/>
          <w:iCs/>
          <w:color w:val="000000" w:themeColor="text1"/>
          <w:sz w:val="24"/>
          <w:szCs w:val="24"/>
          <w:shd w:val="clear" w:color="auto" w:fill="FFFFFF"/>
        </w:rPr>
        <w:t>Accounting, Auditing &amp; Accountability</w:t>
      </w:r>
      <w:r w:rsidRPr="00631DE0">
        <w:rPr>
          <w:rFonts w:ascii="Times New Roman" w:hAnsi="Times New Roman" w:cs="Times New Roman"/>
          <w:color w:val="000000" w:themeColor="text1"/>
          <w:sz w:val="24"/>
          <w:szCs w:val="24"/>
          <w:shd w:val="clear" w:color="auto" w:fill="FFFFFF"/>
        </w:rPr>
        <w:t xml:space="preserve"> </w:t>
      </w:r>
      <w:r w:rsidRPr="00631DE0">
        <w:rPr>
          <w:rFonts w:ascii="Times New Roman" w:hAnsi="Times New Roman" w:cs="Times New Roman"/>
          <w:i/>
          <w:iCs/>
          <w:color w:val="000000" w:themeColor="text1"/>
          <w:sz w:val="24"/>
          <w:szCs w:val="24"/>
          <w:shd w:val="clear" w:color="auto" w:fill="FFFFFF"/>
        </w:rPr>
        <w:t>Journal</w:t>
      </w:r>
      <w:r w:rsidRPr="00631DE0">
        <w:rPr>
          <w:rFonts w:ascii="Times New Roman" w:hAnsi="Times New Roman" w:cs="Times New Roman"/>
          <w:color w:val="000000" w:themeColor="text1"/>
          <w:sz w:val="24"/>
          <w:szCs w:val="24"/>
          <w:shd w:val="clear" w:color="auto" w:fill="FFFFFF"/>
        </w:rPr>
        <w:t>, 30(3),</w:t>
      </w:r>
      <w:r w:rsidR="007523C1" w:rsidRPr="00631DE0">
        <w:rPr>
          <w:rFonts w:ascii="Times New Roman" w:hAnsi="Times New Roman" w:cs="Times New Roman"/>
          <w:color w:val="000000" w:themeColor="text1"/>
          <w:sz w:val="24"/>
          <w:szCs w:val="24"/>
          <w:shd w:val="clear" w:color="auto" w:fill="FFFFFF"/>
        </w:rPr>
        <w:t xml:space="preserve"> pp.</w:t>
      </w:r>
      <w:r w:rsidRPr="00631DE0">
        <w:rPr>
          <w:rFonts w:ascii="Times New Roman" w:hAnsi="Times New Roman" w:cs="Times New Roman"/>
          <w:color w:val="000000" w:themeColor="text1"/>
          <w:sz w:val="24"/>
          <w:szCs w:val="24"/>
          <w:shd w:val="clear" w:color="auto" w:fill="FFFFFF"/>
        </w:rPr>
        <w:t xml:space="preserve"> 593–619.</w:t>
      </w:r>
    </w:p>
    <w:p w14:paraId="6251F35E" w14:textId="1023E1F9" w:rsidR="00B11A36" w:rsidRPr="00631DE0" w:rsidRDefault="00B11A36"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lang w:val="pl-PL"/>
        </w:rPr>
        <w:t>Lauwo, G., Otusanya</w:t>
      </w:r>
      <w:r w:rsidR="007523C1" w:rsidRPr="00631DE0">
        <w:rPr>
          <w:rFonts w:ascii="Times New Roman" w:hAnsi="Times New Roman" w:cs="Times New Roman"/>
          <w:color w:val="000000" w:themeColor="text1"/>
          <w:sz w:val="24"/>
          <w:szCs w:val="24"/>
          <w:lang w:val="pl-PL"/>
        </w:rPr>
        <w:t>., O,</w:t>
      </w:r>
      <w:r w:rsidRPr="00631DE0">
        <w:rPr>
          <w:rFonts w:ascii="Times New Roman" w:hAnsi="Times New Roman" w:cs="Times New Roman"/>
          <w:color w:val="000000" w:themeColor="text1"/>
          <w:sz w:val="24"/>
          <w:szCs w:val="24"/>
          <w:lang w:val="pl-PL"/>
        </w:rPr>
        <w:t xml:space="preserve"> Bakre</w:t>
      </w:r>
      <w:r w:rsidR="007523C1" w:rsidRPr="00631DE0">
        <w:rPr>
          <w:rFonts w:ascii="Times New Roman" w:hAnsi="Times New Roman" w:cs="Times New Roman"/>
          <w:color w:val="000000" w:themeColor="text1"/>
          <w:sz w:val="24"/>
          <w:szCs w:val="24"/>
          <w:lang w:val="pl-PL"/>
        </w:rPr>
        <w:t>, 0.</w:t>
      </w:r>
      <w:r w:rsidRPr="00631DE0">
        <w:rPr>
          <w:rFonts w:ascii="Times New Roman" w:hAnsi="Times New Roman" w:cs="Times New Roman"/>
          <w:color w:val="000000" w:themeColor="text1"/>
          <w:sz w:val="24"/>
          <w:szCs w:val="24"/>
          <w:lang w:val="pl-PL"/>
        </w:rPr>
        <w:t xml:space="preserve"> </w:t>
      </w:r>
      <w:r w:rsidRPr="00631DE0">
        <w:rPr>
          <w:rFonts w:ascii="Times New Roman" w:hAnsi="Times New Roman" w:cs="Times New Roman"/>
          <w:color w:val="000000" w:themeColor="text1"/>
          <w:sz w:val="24"/>
          <w:szCs w:val="24"/>
        </w:rPr>
        <w:t xml:space="preserve">(2016) ‘Corporate </w:t>
      </w:r>
      <w:r w:rsidR="007523C1" w:rsidRPr="00631DE0">
        <w:rPr>
          <w:rFonts w:ascii="Times New Roman" w:hAnsi="Times New Roman" w:cs="Times New Roman"/>
          <w:color w:val="000000" w:themeColor="text1"/>
          <w:sz w:val="24"/>
          <w:szCs w:val="24"/>
        </w:rPr>
        <w:t>s</w:t>
      </w:r>
      <w:r w:rsidRPr="00631DE0">
        <w:rPr>
          <w:rFonts w:ascii="Times New Roman" w:hAnsi="Times New Roman" w:cs="Times New Roman"/>
          <w:color w:val="000000" w:themeColor="text1"/>
          <w:sz w:val="24"/>
          <w:szCs w:val="24"/>
        </w:rPr>
        <w:t xml:space="preserve">ocial </w:t>
      </w:r>
      <w:r w:rsidR="007523C1" w:rsidRPr="00631DE0">
        <w:rPr>
          <w:rFonts w:ascii="Times New Roman" w:hAnsi="Times New Roman" w:cs="Times New Roman"/>
          <w:color w:val="000000" w:themeColor="text1"/>
          <w:sz w:val="24"/>
          <w:szCs w:val="24"/>
        </w:rPr>
        <w:t>r</w:t>
      </w:r>
      <w:r w:rsidRPr="00631DE0">
        <w:rPr>
          <w:rFonts w:ascii="Times New Roman" w:hAnsi="Times New Roman" w:cs="Times New Roman"/>
          <w:color w:val="000000" w:themeColor="text1"/>
          <w:sz w:val="24"/>
          <w:szCs w:val="24"/>
        </w:rPr>
        <w:t xml:space="preserve">esponsibility </w:t>
      </w:r>
      <w:r w:rsidR="007523C1" w:rsidRPr="00631DE0">
        <w:rPr>
          <w:rFonts w:ascii="Times New Roman" w:hAnsi="Times New Roman" w:cs="Times New Roman"/>
          <w:color w:val="000000" w:themeColor="text1"/>
          <w:sz w:val="24"/>
          <w:szCs w:val="24"/>
        </w:rPr>
        <w:t>r</w:t>
      </w:r>
      <w:r w:rsidRPr="00631DE0">
        <w:rPr>
          <w:rFonts w:ascii="Times New Roman" w:hAnsi="Times New Roman" w:cs="Times New Roman"/>
          <w:color w:val="000000" w:themeColor="text1"/>
          <w:sz w:val="24"/>
          <w:szCs w:val="24"/>
        </w:rPr>
        <w:t xml:space="preserve">eporting in the Mining Sector of Tanzania: (Lack of) Government </w:t>
      </w:r>
      <w:r w:rsidR="007523C1" w:rsidRPr="00631DE0">
        <w:rPr>
          <w:rFonts w:ascii="Times New Roman" w:hAnsi="Times New Roman" w:cs="Times New Roman"/>
          <w:color w:val="000000" w:themeColor="text1"/>
          <w:sz w:val="24"/>
          <w:szCs w:val="24"/>
        </w:rPr>
        <w:t>r</w:t>
      </w:r>
      <w:r w:rsidRPr="00631DE0">
        <w:rPr>
          <w:rFonts w:ascii="Times New Roman" w:hAnsi="Times New Roman" w:cs="Times New Roman"/>
          <w:color w:val="000000" w:themeColor="text1"/>
          <w:sz w:val="24"/>
          <w:szCs w:val="24"/>
        </w:rPr>
        <w:t xml:space="preserve">egulatory </w:t>
      </w:r>
      <w:r w:rsidR="007523C1" w:rsidRPr="00631DE0">
        <w:rPr>
          <w:rFonts w:ascii="Times New Roman" w:hAnsi="Times New Roman" w:cs="Times New Roman"/>
          <w:color w:val="000000" w:themeColor="text1"/>
          <w:sz w:val="24"/>
          <w:szCs w:val="24"/>
        </w:rPr>
        <w:t>c</w:t>
      </w:r>
      <w:r w:rsidRPr="00631DE0">
        <w:rPr>
          <w:rFonts w:ascii="Times New Roman" w:hAnsi="Times New Roman" w:cs="Times New Roman"/>
          <w:color w:val="000000" w:themeColor="text1"/>
          <w:sz w:val="24"/>
          <w:szCs w:val="24"/>
        </w:rPr>
        <w:t xml:space="preserve">ontrols and NGO Activism’, </w:t>
      </w:r>
      <w:r w:rsidRPr="00631DE0">
        <w:rPr>
          <w:rFonts w:ascii="Times New Roman" w:hAnsi="Times New Roman" w:cs="Times New Roman"/>
          <w:i/>
          <w:iCs/>
          <w:color w:val="000000" w:themeColor="text1"/>
          <w:sz w:val="24"/>
          <w:szCs w:val="24"/>
        </w:rPr>
        <w:t>Accounting, Auditing &amp; Accountability Journal</w:t>
      </w:r>
      <w:r w:rsidRPr="00631DE0">
        <w:rPr>
          <w:rFonts w:ascii="Times New Roman" w:hAnsi="Times New Roman" w:cs="Times New Roman"/>
          <w:color w:val="000000" w:themeColor="text1"/>
          <w:sz w:val="24"/>
          <w:szCs w:val="24"/>
        </w:rPr>
        <w:t>, 29</w:t>
      </w:r>
      <w:r w:rsidR="007523C1"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6</w:t>
      </w:r>
      <w:r w:rsidR="007523C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pp. 1038–74</w:t>
      </w:r>
      <w:r w:rsidR="007523C1" w:rsidRPr="00631DE0">
        <w:rPr>
          <w:rFonts w:ascii="Times New Roman" w:hAnsi="Times New Roman" w:cs="Times New Roman"/>
          <w:color w:val="000000" w:themeColor="text1"/>
          <w:sz w:val="24"/>
          <w:szCs w:val="24"/>
        </w:rPr>
        <w:t>.</w:t>
      </w:r>
    </w:p>
    <w:p w14:paraId="2BB66D4D" w14:textId="12A8D416" w:rsidR="004F012D" w:rsidRPr="00631DE0" w:rsidRDefault="004F012D"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Lai, A., Stacchezzini, R. (2021) ‘Organisational and professional challenges amid evolution of sustainability reporting: a theoretical framework and an agenda for future research’, </w:t>
      </w:r>
      <w:r w:rsidRPr="00631DE0">
        <w:rPr>
          <w:rFonts w:ascii="Times New Roman" w:hAnsi="Times New Roman" w:cs="Times New Roman"/>
          <w:i/>
          <w:iCs/>
          <w:color w:val="000000" w:themeColor="text1"/>
          <w:sz w:val="24"/>
          <w:szCs w:val="24"/>
        </w:rPr>
        <w:t>Meditari Accountancy Research</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29</w:t>
      </w:r>
      <w:r w:rsidRPr="00631DE0">
        <w:rPr>
          <w:rFonts w:ascii="Times New Roman" w:hAnsi="Times New Roman" w:cs="Times New Roman"/>
          <w:color w:val="000000" w:themeColor="text1"/>
          <w:sz w:val="24"/>
          <w:szCs w:val="24"/>
        </w:rPr>
        <w:t>(3), pp.405-429.</w:t>
      </w:r>
    </w:p>
    <w:p w14:paraId="6462E3D3" w14:textId="31C6B919" w:rsidR="0058579A" w:rsidRPr="00631DE0" w:rsidRDefault="0058579A"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Leardini, C., Rossi, G.</w:t>
      </w:r>
      <w:r w:rsidR="007523C1"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 Landi, S.</w:t>
      </w:r>
      <w:r w:rsidR="007523C1" w:rsidRPr="00631DE0">
        <w:rPr>
          <w:rFonts w:ascii="Times New Roman" w:hAnsi="Times New Roman" w:cs="Times New Roman"/>
          <w:color w:val="000000" w:themeColor="text1"/>
          <w:sz w:val="24"/>
          <w:szCs w:val="24"/>
          <w:shd w:val="clear" w:color="auto" w:fill="FFFFFF"/>
        </w:rPr>
        <w:t xml:space="preserve"> (</w:t>
      </w:r>
      <w:r w:rsidRPr="00631DE0">
        <w:rPr>
          <w:rFonts w:ascii="Times New Roman" w:hAnsi="Times New Roman" w:cs="Times New Roman"/>
          <w:color w:val="000000" w:themeColor="text1"/>
          <w:sz w:val="24"/>
          <w:szCs w:val="24"/>
          <w:shd w:val="clear" w:color="auto" w:fill="FFFFFF"/>
        </w:rPr>
        <w:t>2020</w:t>
      </w:r>
      <w:r w:rsidR="007523C1"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 </w:t>
      </w:r>
      <w:r w:rsidR="007523C1"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Organizational factors affecting charitable giving in the environmental nonprofit context</w:t>
      </w:r>
      <w:r w:rsidR="007523C1"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w:t>
      </w:r>
      <w:r w:rsidRPr="00631DE0">
        <w:rPr>
          <w:rFonts w:ascii="Times New Roman" w:hAnsi="Times New Roman" w:cs="Times New Roman"/>
          <w:i/>
          <w:iCs/>
          <w:color w:val="000000" w:themeColor="text1"/>
          <w:sz w:val="24"/>
          <w:szCs w:val="24"/>
          <w:shd w:val="clear" w:color="auto" w:fill="FFFFFF"/>
        </w:rPr>
        <w:t>Sustainability</w:t>
      </w:r>
      <w:r w:rsidRPr="00631DE0">
        <w:rPr>
          <w:rFonts w:ascii="Times New Roman" w:hAnsi="Times New Roman" w:cs="Times New Roman"/>
          <w:color w:val="000000" w:themeColor="text1"/>
          <w:sz w:val="24"/>
          <w:szCs w:val="24"/>
          <w:shd w:val="clear" w:color="auto" w:fill="FFFFFF"/>
        </w:rPr>
        <w:t>, </w:t>
      </w:r>
      <w:r w:rsidRPr="00631DE0">
        <w:rPr>
          <w:rFonts w:ascii="Times New Roman" w:hAnsi="Times New Roman" w:cs="Times New Roman"/>
          <w:i/>
          <w:iCs/>
          <w:color w:val="000000" w:themeColor="text1"/>
          <w:sz w:val="24"/>
          <w:szCs w:val="24"/>
          <w:shd w:val="clear" w:color="auto" w:fill="FFFFFF"/>
        </w:rPr>
        <w:t>12</w:t>
      </w:r>
      <w:r w:rsidRPr="00631DE0">
        <w:rPr>
          <w:rFonts w:ascii="Times New Roman" w:hAnsi="Times New Roman" w:cs="Times New Roman"/>
          <w:color w:val="000000" w:themeColor="text1"/>
          <w:sz w:val="24"/>
          <w:szCs w:val="24"/>
          <w:shd w:val="clear" w:color="auto" w:fill="FFFFFF"/>
        </w:rPr>
        <w:t>(21), p.8947.</w:t>
      </w:r>
    </w:p>
    <w:p w14:paraId="59F272D6" w14:textId="68D55C56" w:rsidR="00AD2C91" w:rsidRPr="00631DE0" w:rsidRDefault="00AD2C91" w:rsidP="00171628">
      <w:pPr>
        <w:suppressAutoHyphens/>
        <w:autoSpaceDN w:val="0"/>
        <w:spacing w:after="120" w:line="276" w:lineRule="auto"/>
        <w:ind w:firstLine="0"/>
        <w:textAlignment w:val="baseline"/>
        <w:rPr>
          <w:rFonts w:ascii="Times New Roman" w:hAnsi="Times New Roman" w:cs="Times New Roman"/>
          <w:i/>
          <w:iCs/>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 xml:space="preserve">Lee,H. (2013) ‘The role of Triple-A in green supply chain management practices and the  organizational performance’, Available: accessed 10/10/2025 at www. digitalcommons.unl.edu </w:t>
      </w:r>
    </w:p>
    <w:p w14:paraId="3EF86676" w14:textId="62F2BCD5" w:rsidR="00907A3F" w:rsidRPr="00631DE0" w:rsidRDefault="007523C1"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Lee, H. (2017) ‘Does size matter? evaluating corporate environmental disclosure in Australian mining and metal industry:</w:t>
      </w:r>
      <w:r w:rsidR="003F70EF" w:rsidRPr="00631DE0">
        <w:rPr>
          <w:rFonts w:ascii="Times New Roman" w:hAnsi="Times New Roman" w:cs="Times New Roman"/>
          <w:color w:val="000000" w:themeColor="text1"/>
          <w:sz w:val="24"/>
          <w:szCs w:val="24"/>
          <w:shd w:val="clear" w:color="auto" w:fill="FFFFFF"/>
        </w:rPr>
        <w:t xml:space="preserve"> a</w:t>
      </w:r>
      <w:r w:rsidRPr="00631DE0">
        <w:rPr>
          <w:rFonts w:ascii="Times New Roman" w:hAnsi="Times New Roman" w:cs="Times New Roman"/>
          <w:color w:val="000000" w:themeColor="text1"/>
          <w:sz w:val="24"/>
          <w:szCs w:val="24"/>
          <w:shd w:val="clear" w:color="auto" w:fill="FFFFFF"/>
        </w:rPr>
        <w:t xml:space="preserve"> combined approach to</w:t>
      </w:r>
      <w:r w:rsidR="003F70EF" w:rsidRPr="00631DE0">
        <w:rPr>
          <w:rFonts w:ascii="Times New Roman" w:hAnsi="Times New Roman" w:cs="Times New Roman"/>
          <w:color w:val="000000" w:themeColor="text1"/>
          <w:sz w:val="24"/>
          <w:szCs w:val="24"/>
          <w:shd w:val="clear" w:color="auto" w:fill="FFFFFF"/>
        </w:rPr>
        <w:t xml:space="preserve"> the</w:t>
      </w:r>
      <w:r w:rsidRPr="00631DE0">
        <w:rPr>
          <w:rFonts w:ascii="Times New Roman" w:hAnsi="Times New Roman" w:cs="Times New Roman"/>
          <w:color w:val="000000" w:themeColor="text1"/>
          <w:sz w:val="24"/>
          <w:szCs w:val="24"/>
          <w:shd w:val="clear" w:color="auto" w:fill="FFFFFF"/>
        </w:rPr>
        <w:t xml:space="preserve"> quantity and quality measurements’, </w:t>
      </w:r>
      <w:r w:rsidR="00907A3F" w:rsidRPr="00631DE0">
        <w:rPr>
          <w:rFonts w:ascii="Times New Roman" w:hAnsi="Times New Roman" w:cs="Times New Roman"/>
          <w:i/>
          <w:iCs/>
          <w:color w:val="000000" w:themeColor="text1"/>
          <w:sz w:val="24"/>
          <w:szCs w:val="24"/>
          <w:shd w:val="clear" w:color="auto" w:fill="FFFFFF"/>
        </w:rPr>
        <w:t>Business Strategy and the Environment</w:t>
      </w:r>
      <w:r w:rsidR="00907A3F" w:rsidRPr="00631DE0">
        <w:rPr>
          <w:rFonts w:ascii="Times New Roman" w:hAnsi="Times New Roman" w:cs="Times New Roman"/>
          <w:color w:val="000000" w:themeColor="text1"/>
          <w:sz w:val="24"/>
          <w:szCs w:val="24"/>
          <w:shd w:val="clear" w:color="auto" w:fill="FFFFFF"/>
        </w:rPr>
        <w:t>, </w:t>
      </w:r>
      <w:r w:rsidR="00907A3F" w:rsidRPr="00631DE0">
        <w:rPr>
          <w:rFonts w:ascii="Times New Roman" w:hAnsi="Times New Roman" w:cs="Times New Roman"/>
          <w:i/>
          <w:iCs/>
          <w:color w:val="000000" w:themeColor="text1"/>
          <w:sz w:val="24"/>
          <w:szCs w:val="24"/>
          <w:shd w:val="clear" w:color="auto" w:fill="FFFFFF"/>
        </w:rPr>
        <w:t>26</w:t>
      </w:r>
      <w:r w:rsidR="00907A3F" w:rsidRPr="00631DE0">
        <w:rPr>
          <w:rFonts w:ascii="Times New Roman" w:hAnsi="Times New Roman" w:cs="Times New Roman"/>
          <w:color w:val="000000" w:themeColor="text1"/>
          <w:sz w:val="24"/>
          <w:szCs w:val="24"/>
          <w:shd w:val="clear" w:color="auto" w:fill="FFFFFF"/>
        </w:rPr>
        <w:t>(2), pp.209-223.</w:t>
      </w:r>
    </w:p>
    <w:p w14:paraId="7BEFDA9E" w14:textId="720533AC" w:rsidR="00FF0187" w:rsidRPr="00631DE0" w:rsidRDefault="00FF0187"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Lee, S. Y., Park, Y. S., Klassen, R. D. (2015)</w:t>
      </w:r>
      <w:r w:rsidR="003F70EF" w:rsidRPr="00631DE0">
        <w:rPr>
          <w:rFonts w:ascii="Times New Roman" w:hAnsi="Times New Roman" w:cs="Times New Roman"/>
          <w:color w:val="000000" w:themeColor="text1"/>
          <w:sz w:val="24"/>
          <w:szCs w:val="24"/>
          <w:shd w:val="clear" w:color="auto" w:fill="FFFFFF"/>
        </w:rPr>
        <w:t xml:space="preserve"> ‘</w:t>
      </w:r>
      <w:r w:rsidRPr="00631DE0">
        <w:rPr>
          <w:rFonts w:ascii="Times New Roman" w:hAnsi="Times New Roman" w:cs="Times New Roman"/>
          <w:color w:val="000000" w:themeColor="text1"/>
          <w:sz w:val="24"/>
          <w:szCs w:val="24"/>
          <w:shd w:val="clear" w:color="auto" w:fill="FFFFFF"/>
        </w:rPr>
        <w:t>Market responses to firms' voluntary climate change information disclosure and carbon commun</w:t>
      </w:r>
      <w:r w:rsidR="003F70EF" w:rsidRPr="00631DE0">
        <w:rPr>
          <w:rFonts w:ascii="Times New Roman" w:hAnsi="Times New Roman" w:cs="Times New Roman"/>
          <w:color w:val="000000" w:themeColor="text1"/>
          <w:sz w:val="24"/>
          <w:szCs w:val="24"/>
          <w:shd w:val="clear" w:color="auto" w:fill="FFFFFF"/>
        </w:rPr>
        <w:t>i</w:t>
      </w:r>
      <w:r w:rsidRPr="00631DE0">
        <w:rPr>
          <w:rFonts w:ascii="Times New Roman" w:hAnsi="Times New Roman" w:cs="Times New Roman"/>
          <w:color w:val="000000" w:themeColor="text1"/>
          <w:sz w:val="24"/>
          <w:szCs w:val="24"/>
          <w:shd w:val="clear" w:color="auto" w:fill="FFFFFF"/>
        </w:rPr>
        <w:t>cation</w:t>
      </w:r>
      <w:r w:rsidR="003F70EF"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 </w:t>
      </w:r>
      <w:r w:rsidRPr="00631DE0">
        <w:rPr>
          <w:rFonts w:ascii="Times New Roman" w:hAnsi="Times New Roman" w:cs="Times New Roman"/>
          <w:i/>
          <w:iCs/>
          <w:color w:val="000000" w:themeColor="text1"/>
          <w:sz w:val="24"/>
          <w:szCs w:val="24"/>
          <w:shd w:val="clear" w:color="auto" w:fill="FFFFFF"/>
        </w:rPr>
        <w:t>Corporate Social Responsibility and Environmental Management</w:t>
      </w:r>
      <w:r w:rsidRPr="00631DE0">
        <w:rPr>
          <w:rFonts w:ascii="Times New Roman" w:hAnsi="Times New Roman" w:cs="Times New Roman"/>
          <w:color w:val="000000" w:themeColor="text1"/>
          <w:sz w:val="24"/>
          <w:szCs w:val="24"/>
          <w:shd w:val="clear" w:color="auto" w:fill="FFFFFF"/>
        </w:rPr>
        <w:t>, 22(1),</w:t>
      </w:r>
      <w:r w:rsidR="003F70EF" w:rsidRPr="00631DE0">
        <w:rPr>
          <w:rFonts w:ascii="Times New Roman" w:hAnsi="Times New Roman" w:cs="Times New Roman"/>
          <w:color w:val="000000" w:themeColor="text1"/>
          <w:sz w:val="24"/>
          <w:szCs w:val="24"/>
          <w:shd w:val="clear" w:color="auto" w:fill="FFFFFF"/>
        </w:rPr>
        <w:t xml:space="preserve"> pp.</w:t>
      </w:r>
      <w:r w:rsidRPr="00631DE0">
        <w:rPr>
          <w:rFonts w:ascii="Times New Roman" w:hAnsi="Times New Roman" w:cs="Times New Roman"/>
          <w:color w:val="000000" w:themeColor="text1"/>
          <w:sz w:val="24"/>
          <w:szCs w:val="24"/>
          <w:shd w:val="clear" w:color="auto" w:fill="FFFFFF"/>
        </w:rPr>
        <w:t xml:space="preserve"> 1–12</w:t>
      </w:r>
    </w:p>
    <w:p w14:paraId="56F06DC0" w14:textId="301BBA27" w:rsidR="0072151D" w:rsidRPr="00631DE0" w:rsidRDefault="0072151D"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 xml:space="preserve">Li, D., Huang, M., Ren, S., Chen, X., Ning, L. (2018) </w:t>
      </w:r>
      <w:r w:rsidR="003F70EF"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Environmental legitimacy,</w:t>
      </w:r>
      <w:r w:rsidR="003F70EF" w:rsidRPr="00631DE0">
        <w:rPr>
          <w:rFonts w:ascii="Times New Roman" w:hAnsi="Times New Roman" w:cs="Times New Roman"/>
          <w:color w:val="000000" w:themeColor="text1"/>
          <w:sz w:val="24"/>
          <w:szCs w:val="24"/>
          <w:shd w:val="clear" w:color="auto" w:fill="FFFFFF"/>
        </w:rPr>
        <w:t xml:space="preserve"> the</w:t>
      </w:r>
      <w:r w:rsidRPr="00631DE0">
        <w:rPr>
          <w:rFonts w:ascii="Times New Roman" w:hAnsi="Times New Roman" w:cs="Times New Roman"/>
          <w:color w:val="000000" w:themeColor="text1"/>
          <w:sz w:val="24"/>
          <w:szCs w:val="24"/>
          <w:shd w:val="clear" w:color="auto" w:fill="FFFFFF"/>
        </w:rPr>
        <w:t xml:space="preserve"> green innovation, and corporate carbon disclosure: </w:t>
      </w:r>
      <w:r w:rsidR="003F70EF" w:rsidRPr="00631DE0">
        <w:rPr>
          <w:rFonts w:ascii="Times New Roman" w:hAnsi="Times New Roman" w:cs="Times New Roman"/>
          <w:color w:val="000000" w:themeColor="text1"/>
          <w:sz w:val="24"/>
          <w:szCs w:val="24"/>
          <w:shd w:val="clear" w:color="auto" w:fill="FFFFFF"/>
        </w:rPr>
        <w:t>e</w:t>
      </w:r>
      <w:r w:rsidRPr="00631DE0">
        <w:rPr>
          <w:rFonts w:ascii="Times New Roman" w:hAnsi="Times New Roman" w:cs="Times New Roman"/>
          <w:color w:val="000000" w:themeColor="text1"/>
          <w:sz w:val="24"/>
          <w:szCs w:val="24"/>
          <w:shd w:val="clear" w:color="auto" w:fill="FFFFFF"/>
        </w:rPr>
        <w:t>vidence from</w:t>
      </w:r>
      <w:r w:rsidR="003F70EF" w:rsidRPr="00631DE0">
        <w:rPr>
          <w:rFonts w:ascii="Times New Roman" w:hAnsi="Times New Roman" w:cs="Times New Roman"/>
          <w:color w:val="000000" w:themeColor="text1"/>
          <w:sz w:val="24"/>
          <w:szCs w:val="24"/>
          <w:shd w:val="clear" w:color="auto" w:fill="FFFFFF"/>
        </w:rPr>
        <w:t xml:space="preserve"> the</w:t>
      </w:r>
      <w:r w:rsidRPr="00631DE0">
        <w:rPr>
          <w:rFonts w:ascii="Times New Roman" w:hAnsi="Times New Roman" w:cs="Times New Roman"/>
          <w:color w:val="000000" w:themeColor="text1"/>
          <w:sz w:val="24"/>
          <w:szCs w:val="24"/>
          <w:shd w:val="clear" w:color="auto" w:fill="FFFFFF"/>
        </w:rPr>
        <w:t xml:space="preserve"> CDP China 100</w:t>
      </w:r>
      <w:r w:rsidR="003F70EF"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 </w:t>
      </w:r>
      <w:r w:rsidRPr="00631DE0">
        <w:rPr>
          <w:rFonts w:ascii="Times New Roman" w:hAnsi="Times New Roman" w:cs="Times New Roman"/>
          <w:i/>
          <w:iCs/>
          <w:color w:val="000000" w:themeColor="text1"/>
          <w:sz w:val="24"/>
          <w:szCs w:val="24"/>
          <w:shd w:val="clear" w:color="auto" w:fill="FFFFFF"/>
        </w:rPr>
        <w:t>Journal of Business Ethics</w:t>
      </w:r>
      <w:r w:rsidRPr="00631DE0">
        <w:rPr>
          <w:rFonts w:ascii="Times New Roman" w:hAnsi="Times New Roman" w:cs="Times New Roman"/>
          <w:color w:val="000000" w:themeColor="text1"/>
          <w:sz w:val="24"/>
          <w:szCs w:val="24"/>
          <w:shd w:val="clear" w:color="auto" w:fill="FFFFFF"/>
        </w:rPr>
        <w:t>, 150,</w:t>
      </w:r>
      <w:r w:rsidR="003F70EF" w:rsidRPr="00631DE0">
        <w:rPr>
          <w:rFonts w:ascii="Times New Roman" w:hAnsi="Times New Roman" w:cs="Times New Roman"/>
          <w:color w:val="000000" w:themeColor="text1"/>
          <w:sz w:val="24"/>
          <w:szCs w:val="24"/>
          <w:shd w:val="clear" w:color="auto" w:fill="FFFFFF"/>
        </w:rPr>
        <w:t xml:space="preserve"> pp.</w:t>
      </w:r>
      <w:r w:rsidRPr="00631DE0">
        <w:rPr>
          <w:rFonts w:ascii="Times New Roman" w:hAnsi="Times New Roman" w:cs="Times New Roman"/>
          <w:color w:val="000000" w:themeColor="text1"/>
          <w:sz w:val="24"/>
          <w:szCs w:val="24"/>
          <w:shd w:val="clear" w:color="auto" w:fill="FFFFFF"/>
        </w:rPr>
        <w:t xml:space="preserve"> 1089–1104</w:t>
      </w:r>
    </w:p>
    <w:p w14:paraId="329BC418" w14:textId="5281759E" w:rsidR="00F72443" w:rsidRPr="00631DE0" w:rsidRDefault="00F72443"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 xml:space="preserve">Liesen, A., Hoepner, A. G., Patten, D. M., Figge, F. (2015) ‘Does stakeholder pressure influence corporate GHG emissions reporting? empirical evidence from Europe’, </w:t>
      </w:r>
      <w:r w:rsidRPr="00631DE0">
        <w:rPr>
          <w:rFonts w:ascii="Times New Roman" w:hAnsi="Times New Roman" w:cs="Times New Roman"/>
          <w:i/>
          <w:iCs/>
          <w:color w:val="000000" w:themeColor="text1"/>
          <w:sz w:val="24"/>
          <w:szCs w:val="24"/>
          <w:shd w:val="clear" w:color="auto" w:fill="FFFFFF"/>
        </w:rPr>
        <w:t>Accounting, Auditing</w:t>
      </w:r>
      <w:r w:rsidRPr="00631DE0">
        <w:rPr>
          <w:rFonts w:ascii="Times New Roman" w:hAnsi="Times New Roman" w:cs="Times New Roman"/>
          <w:color w:val="000000" w:themeColor="text1"/>
          <w:sz w:val="24"/>
          <w:szCs w:val="24"/>
          <w:shd w:val="clear" w:color="auto" w:fill="FFFFFF"/>
        </w:rPr>
        <w:t xml:space="preserve"> </w:t>
      </w:r>
      <w:r w:rsidRPr="00631DE0">
        <w:rPr>
          <w:rFonts w:ascii="Times New Roman" w:hAnsi="Times New Roman" w:cs="Times New Roman"/>
          <w:i/>
          <w:iCs/>
          <w:color w:val="000000" w:themeColor="text1"/>
          <w:sz w:val="24"/>
          <w:szCs w:val="24"/>
          <w:shd w:val="clear" w:color="auto" w:fill="FFFFFF"/>
        </w:rPr>
        <w:t>&amp; Accountability Journal</w:t>
      </w:r>
      <w:r w:rsidRPr="00631DE0">
        <w:rPr>
          <w:rFonts w:ascii="Times New Roman" w:hAnsi="Times New Roman" w:cs="Times New Roman"/>
          <w:color w:val="000000" w:themeColor="text1"/>
          <w:sz w:val="24"/>
          <w:szCs w:val="24"/>
          <w:shd w:val="clear" w:color="auto" w:fill="FFFFFF"/>
        </w:rPr>
        <w:t>, 28(7), pp.1047-1074.</w:t>
      </w:r>
    </w:p>
    <w:p w14:paraId="00CBAD1E" w14:textId="32C1291C" w:rsidR="002A7048" w:rsidRPr="00631DE0" w:rsidRDefault="002A7048"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Lim, H.</w:t>
      </w:r>
      <w:r w:rsidR="003F70EF"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 Mali, D. (2022) </w:t>
      </w:r>
      <w:r w:rsidR="003F70EF"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A comparative analysis of human capital information opaqueness in South Korea and the UK</w:t>
      </w:r>
      <w:r w:rsidR="003F70EF"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 </w:t>
      </w:r>
      <w:r w:rsidRPr="00631DE0">
        <w:rPr>
          <w:rFonts w:ascii="Times New Roman" w:hAnsi="Times New Roman" w:cs="Times New Roman"/>
          <w:i/>
          <w:iCs/>
          <w:color w:val="000000" w:themeColor="text1"/>
          <w:sz w:val="24"/>
          <w:szCs w:val="24"/>
          <w:shd w:val="clear" w:color="auto" w:fill="FFFFFF"/>
        </w:rPr>
        <w:t>Journal of Intellectual Capital</w:t>
      </w:r>
      <w:r w:rsidRPr="00631DE0">
        <w:rPr>
          <w:rFonts w:ascii="Times New Roman" w:hAnsi="Times New Roman" w:cs="Times New Roman"/>
          <w:color w:val="000000" w:themeColor="text1"/>
          <w:sz w:val="24"/>
          <w:szCs w:val="24"/>
          <w:shd w:val="clear" w:color="auto" w:fill="FFFFFF"/>
        </w:rPr>
        <w:t>, 23(6),</w:t>
      </w:r>
      <w:r w:rsidR="003F70EF" w:rsidRPr="00631DE0">
        <w:rPr>
          <w:rFonts w:ascii="Times New Roman" w:hAnsi="Times New Roman" w:cs="Times New Roman"/>
          <w:color w:val="000000" w:themeColor="text1"/>
          <w:sz w:val="24"/>
          <w:szCs w:val="24"/>
          <w:shd w:val="clear" w:color="auto" w:fill="FFFFFF"/>
        </w:rPr>
        <w:t xml:space="preserve"> pp.</w:t>
      </w:r>
      <w:r w:rsidRPr="00631DE0">
        <w:rPr>
          <w:rFonts w:ascii="Times New Roman" w:hAnsi="Times New Roman" w:cs="Times New Roman"/>
          <w:color w:val="000000" w:themeColor="text1"/>
          <w:sz w:val="24"/>
          <w:szCs w:val="24"/>
          <w:shd w:val="clear" w:color="auto" w:fill="FFFFFF"/>
        </w:rPr>
        <w:t xml:space="preserve"> 1296–1327.</w:t>
      </w:r>
    </w:p>
    <w:p w14:paraId="42749BBA" w14:textId="2E2CCFC2" w:rsidR="007C2882" w:rsidRDefault="007C2882"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Lokman, N., Othman, S., Kamal, M. (2023) ‘Governance, accountability and transparency level of non-profit organisation: a study of Malaysian foundations’, </w:t>
      </w:r>
      <w:r w:rsidRPr="00631DE0">
        <w:rPr>
          <w:rFonts w:ascii="Times New Roman" w:hAnsi="Times New Roman" w:cs="Times New Roman"/>
          <w:i/>
          <w:iCs/>
          <w:color w:val="000000" w:themeColor="text1"/>
          <w:sz w:val="24"/>
          <w:szCs w:val="24"/>
          <w:shd w:val="clear" w:color="auto" w:fill="FFFFFF"/>
        </w:rPr>
        <w:t>International Journal of Business and Technology Management</w:t>
      </w:r>
      <w:r w:rsidRPr="00631DE0">
        <w:rPr>
          <w:rFonts w:ascii="Times New Roman" w:hAnsi="Times New Roman" w:cs="Times New Roman"/>
          <w:color w:val="000000" w:themeColor="text1"/>
          <w:sz w:val="24"/>
          <w:szCs w:val="24"/>
          <w:shd w:val="clear" w:color="auto" w:fill="FFFFFF"/>
        </w:rPr>
        <w:t>, </w:t>
      </w:r>
      <w:r w:rsidRPr="00631DE0">
        <w:rPr>
          <w:rFonts w:ascii="Times New Roman" w:hAnsi="Times New Roman" w:cs="Times New Roman"/>
          <w:i/>
          <w:iCs/>
          <w:color w:val="000000" w:themeColor="text1"/>
          <w:sz w:val="24"/>
          <w:szCs w:val="24"/>
          <w:shd w:val="clear" w:color="auto" w:fill="FFFFFF"/>
        </w:rPr>
        <w:t>5</w:t>
      </w:r>
      <w:r w:rsidRPr="00631DE0">
        <w:rPr>
          <w:rFonts w:ascii="Times New Roman" w:hAnsi="Times New Roman" w:cs="Times New Roman"/>
          <w:color w:val="000000" w:themeColor="text1"/>
          <w:sz w:val="24"/>
          <w:szCs w:val="24"/>
          <w:shd w:val="clear" w:color="auto" w:fill="FFFFFF"/>
        </w:rPr>
        <w:t>(1), pp.304-318.</w:t>
      </w:r>
    </w:p>
    <w:p w14:paraId="64A1A1C0" w14:textId="4F77BCE5" w:rsidR="005E48A0" w:rsidRPr="00631DE0" w:rsidRDefault="005E48A0"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5E48A0">
        <w:rPr>
          <w:rFonts w:ascii="Times New Roman" w:hAnsi="Times New Roman" w:cs="Times New Roman"/>
          <w:color w:val="000000" w:themeColor="text1"/>
          <w:sz w:val="24"/>
          <w:szCs w:val="24"/>
          <w:shd w:val="clear" w:color="auto" w:fill="FFFFFF"/>
        </w:rPr>
        <w:t>Loughran, T. and McDonald, B., 2016. Textual analysis in accounting and finance: A survey. </w:t>
      </w:r>
      <w:r w:rsidRPr="005E48A0">
        <w:rPr>
          <w:rFonts w:ascii="Times New Roman" w:hAnsi="Times New Roman" w:cs="Times New Roman"/>
          <w:i/>
          <w:iCs/>
          <w:color w:val="000000" w:themeColor="text1"/>
          <w:sz w:val="24"/>
          <w:szCs w:val="24"/>
          <w:shd w:val="clear" w:color="auto" w:fill="FFFFFF"/>
        </w:rPr>
        <w:t>Journal of accounting research</w:t>
      </w:r>
      <w:r w:rsidRPr="005E48A0">
        <w:rPr>
          <w:rFonts w:ascii="Times New Roman" w:hAnsi="Times New Roman" w:cs="Times New Roman"/>
          <w:color w:val="000000" w:themeColor="text1"/>
          <w:sz w:val="24"/>
          <w:szCs w:val="24"/>
          <w:shd w:val="clear" w:color="auto" w:fill="FFFFFF"/>
        </w:rPr>
        <w:t>, </w:t>
      </w:r>
      <w:r w:rsidRPr="005E48A0">
        <w:rPr>
          <w:rFonts w:ascii="Times New Roman" w:hAnsi="Times New Roman" w:cs="Times New Roman"/>
          <w:i/>
          <w:iCs/>
          <w:color w:val="000000" w:themeColor="text1"/>
          <w:sz w:val="24"/>
          <w:szCs w:val="24"/>
          <w:shd w:val="clear" w:color="auto" w:fill="FFFFFF"/>
        </w:rPr>
        <w:t>54</w:t>
      </w:r>
      <w:r w:rsidRPr="005E48A0">
        <w:rPr>
          <w:rFonts w:ascii="Times New Roman" w:hAnsi="Times New Roman" w:cs="Times New Roman"/>
          <w:color w:val="000000" w:themeColor="text1"/>
          <w:sz w:val="24"/>
          <w:szCs w:val="24"/>
          <w:shd w:val="clear" w:color="auto" w:fill="FFFFFF"/>
        </w:rPr>
        <w:t>(4), pp.1187-1230.</w:t>
      </w:r>
    </w:p>
    <w:p w14:paraId="573260BC" w14:textId="4FB030FC" w:rsidR="00677C08" w:rsidRPr="00631DE0" w:rsidRDefault="00677C08"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rPr>
        <w:lastRenderedPageBreak/>
        <w:t xml:space="preserve">Luo, L. (2019) </w:t>
      </w:r>
      <w:r w:rsidR="003F70EF"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The influence of institutional contexts on the relationship between voluntary carbon disclosure and carbon emission performance</w:t>
      </w:r>
      <w:r w:rsidR="003F70EF"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Accounting and Finance</w:t>
      </w:r>
      <w:r w:rsidRPr="00631DE0">
        <w:rPr>
          <w:rFonts w:ascii="Times New Roman" w:hAnsi="Times New Roman" w:cs="Times New Roman"/>
          <w:color w:val="000000" w:themeColor="text1"/>
          <w:sz w:val="24"/>
          <w:szCs w:val="24"/>
        </w:rPr>
        <w:t>, 59(2),</w:t>
      </w:r>
      <w:r w:rsidR="003F70EF" w:rsidRPr="00631DE0">
        <w:rPr>
          <w:rFonts w:ascii="Times New Roman" w:hAnsi="Times New Roman" w:cs="Times New Roman"/>
          <w:color w:val="000000" w:themeColor="text1"/>
          <w:sz w:val="24"/>
          <w:szCs w:val="24"/>
        </w:rPr>
        <w:t xml:space="preserve"> pp.</w:t>
      </w:r>
      <w:r w:rsidRPr="00631DE0">
        <w:rPr>
          <w:rFonts w:ascii="Times New Roman" w:hAnsi="Times New Roman" w:cs="Times New Roman"/>
          <w:color w:val="000000" w:themeColor="text1"/>
          <w:sz w:val="24"/>
          <w:szCs w:val="24"/>
        </w:rPr>
        <w:t xml:space="preserve"> 1235–1264.</w:t>
      </w:r>
    </w:p>
    <w:p w14:paraId="1E6AD046" w14:textId="2A3993A8" w:rsidR="00E910F4" w:rsidRPr="00631DE0" w:rsidRDefault="00144C5E"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Luo, L.</w:t>
      </w:r>
      <w:r w:rsidR="003F70EF"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 Tang, Q. </w:t>
      </w:r>
      <w:r w:rsidR="003F70EF"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2016</w:t>
      </w:r>
      <w:r w:rsidR="003F70EF"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 </w:t>
      </w:r>
      <w:r w:rsidR="003F70EF" w:rsidRPr="00631DE0">
        <w:rPr>
          <w:rFonts w:ascii="Times New Roman" w:hAnsi="Times New Roman" w:cs="Times New Roman"/>
          <w:color w:val="000000" w:themeColor="text1"/>
          <w:sz w:val="24"/>
          <w:szCs w:val="24"/>
          <w:shd w:val="clear" w:color="auto" w:fill="FFFFFF"/>
        </w:rPr>
        <w:t xml:space="preserve">‘Determinants of the quality of corporate carbon management </w:t>
      </w:r>
      <w:r w:rsidR="006927D4" w:rsidRPr="00631DE0">
        <w:rPr>
          <w:rFonts w:ascii="Times New Roman" w:hAnsi="Times New Roman" w:cs="Times New Roman"/>
          <w:color w:val="000000" w:themeColor="text1"/>
          <w:sz w:val="24"/>
          <w:szCs w:val="24"/>
          <w:shd w:val="clear" w:color="auto" w:fill="FFFFFF"/>
        </w:rPr>
        <w:t>systems:</w:t>
      </w:r>
      <w:r w:rsidR="003F70EF" w:rsidRPr="00631DE0">
        <w:rPr>
          <w:rFonts w:ascii="Times New Roman" w:hAnsi="Times New Roman" w:cs="Times New Roman"/>
          <w:color w:val="000000" w:themeColor="text1"/>
          <w:sz w:val="24"/>
          <w:szCs w:val="24"/>
          <w:shd w:val="clear" w:color="auto" w:fill="FFFFFF"/>
        </w:rPr>
        <w:t xml:space="preserve"> An international study’, </w:t>
      </w:r>
      <w:r w:rsidRPr="00631DE0">
        <w:rPr>
          <w:rFonts w:ascii="Times New Roman" w:hAnsi="Times New Roman" w:cs="Times New Roman"/>
          <w:i/>
          <w:iCs/>
          <w:color w:val="000000" w:themeColor="text1"/>
          <w:sz w:val="24"/>
          <w:szCs w:val="24"/>
          <w:shd w:val="clear" w:color="auto" w:fill="FFFFFF"/>
        </w:rPr>
        <w:t>The International Journal of Accounting</w:t>
      </w:r>
      <w:r w:rsidRPr="00631DE0">
        <w:rPr>
          <w:rFonts w:ascii="Times New Roman" w:hAnsi="Times New Roman" w:cs="Times New Roman"/>
          <w:color w:val="000000" w:themeColor="text1"/>
          <w:sz w:val="24"/>
          <w:szCs w:val="24"/>
          <w:shd w:val="clear" w:color="auto" w:fill="FFFFFF"/>
        </w:rPr>
        <w:t>, </w:t>
      </w:r>
      <w:r w:rsidRPr="00631DE0">
        <w:rPr>
          <w:rFonts w:ascii="Times New Roman" w:hAnsi="Times New Roman" w:cs="Times New Roman"/>
          <w:i/>
          <w:iCs/>
          <w:color w:val="000000" w:themeColor="text1"/>
          <w:sz w:val="24"/>
          <w:szCs w:val="24"/>
          <w:shd w:val="clear" w:color="auto" w:fill="FFFFFF"/>
        </w:rPr>
        <w:t>51</w:t>
      </w:r>
      <w:r w:rsidRPr="00631DE0">
        <w:rPr>
          <w:rFonts w:ascii="Times New Roman" w:hAnsi="Times New Roman" w:cs="Times New Roman"/>
          <w:color w:val="000000" w:themeColor="text1"/>
          <w:sz w:val="24"/>
          <w:szCs w:val="24"/>
          <w:shd w:val="clear" w:color="auto" w:fill="FFFFFF"/>
        </w:rPr>
        <w:t>(2), pp.275-305.</w:t>
      </w:r>
    </w:p>
    <w:p w14:paraId="1038AB6E" w14:textId="7D6BADAF" w:rsidR="006927D4" w:rsidRPr="00631DE0" w:rsidRDefault="006927D4"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Maas, K. (2018) ‘Do corporate social performance targets in executive contribute to corporate social performance targets in executive compensation contribute to corporate social outcome’,</w:t>
      </w:r>
      <w:r w:rsidR="00A7759F" w:rsidRPr="00631DE0">
        <w:rPr>
          <w:rFonts w:ascii="Times New Roman" w:hAnsi="Times New Roman" w:cs="Times New Roman"/>
          <w:color w:val="000000" w:themeColor="text1"/>
          <w:sz w:val="24"/>
          <w:szCs w:val="24"/>
          <w:shd w:val="clear" w:color="auto" w:fill="FFFFFF"/>
        </w:rPr>
        <w:t xml:space="preserve"> </w:t>
      </w:r>
      <w:r w:rsidR="00A7759F" w:rsidRPr="00631DE0">
        <w:rPr>
          <w:rFonts w:ascii="Times New Roman" w:hAnsi="Times New Roman" w:cs="Times New Roman"/>
          <w:i/>
          <w:iCs/>
          <w:color w:val="000000" w:themeColor="text1"/>
          <w:sz w:val="24"/>
          <w:szCs w:val="24"/>
          <w:shd w:val="clear" w:color="auto" w:fill="FFFFFF"/>
        </w:rPr>
        <w:t>Journal of Business Ethics</w:t>
      </w:r>
      <w:r w:rsidR="00A7759F" w:rsidRPr="00631DE0">
        <w:rPr>
          <w:rFonts w:ascii="Times New Roman" w:hAnsi="Times New Roman" w:cs="Times New Roman"/>
          <w:color w:val="000000" w:themeColor="text1"/>
          <w:sz w:val="24"/>
          <w:szCs w:val="24"/>
          <w:shd w:val="clear" w:color="auto" w:fill="FFFFFF"/>
        </w:rPr>
        <w:t xml:space="preserve">, 148(3), pp. 573–585   </w:t>
      </w:r>
    </w:p>
    <w:p w14:paraId="29DD3BAE" w14:textId="0B44BD39" w:rsidR="003F70EF" w:rsidRPr="00631DE0" w:rsidRDefault="003F70EF"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ManesRossi, F., Brusca, I., Choen, S., Lorson, P. (2022) ‘</w:t>
      </w:r>
      <w:r w:rsidR="00E20ADC" w:rsidRPr="00631DE0">
        <w:rPr>
          <w:rFonts w:ascii="Times New Roman" w:hAnsi="Times New Roman" w:cs="Times New Roman"/>
          <w:color w:val="000000" w:themeColor="text1"/>
          <w:sz w:val="24"/>
          <w:szCs w:val="24"/>
          <w:shd w:val="clear" w:color="auto" w:fill="FFFFFF"/>
        </w:rPr>
        <w:t>An a</w:t>
      </w:r>
      <w:r w:rsidRPr="00631DE0">
        <w:rPr>
          <w:rFonts w:ascii="Times New Roman" w:hAnsi="Times New Roman" w:cs="Times New Roman"/>
          <w:color w:val="000000" w:themeColor="text1"/>
          <w:sz w:val="24"/>
          <w:szCs w:val="24"/>
          <w:shd w:val="clear" w:color="auto" w:fill="FFFFFF"/>
        </w:rPr>
        <w:t xml:space="preserve">lternative reporting and non- financial accounting formats’, </w:t>
      </w:r>
      <w:r w:rsidR="00E20ADC" w:rsidRPr="00631DE0">
        <w:rPr>
          <w:rFonts w:ascii="Times New Roman" w:hAnsi="Times New Roman" w:cs="Times New Roman"/>
          <w:i/>
          <w:iCs/>
          <w:color w:val="000000" w:themeColor="text1"/>
          <w:sz w:val="24"/>
          <w:szCs w:val="24"/>
          <w:shd w:val="clear" w:color="auto" w:fill="FFFFFF"/>
        </w:rPr>
        <w:t>European Public Sector Accounting</w:t>
      </w:r>
      <w:r w:rsidR="00E20ADC" w:rsidRPr="00631DE0">
        <w:rPr>
          <w:rFonts w:ascii="Times New Roman" w:hAnsi="Times New Roman" w:cs="Times New Roman"/>
          <w:color w:val="000000" w:themeColor="text1"/>
          <w:sz w:val="24"/>
          <w:szCs w:val="24"/>
          <w:shd w:val="clear" w:color="auto" w:fill="FFFFFF"/>
        </w:rPr>
        <w:t>, 1, pp.505–534.</w:t>
      </w:r>
    </w:p>
    <w:p w14:paraId="000CEAC8" w14:textId="5DD99561" w:rsidR="00E910F4" w:rsidRPr="00631DE0" w:rsidRDefault="00E910F4"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bookmarkStart w:id="23" w:name="_Hlk201760810"/>
      <w:r w:rsidRPr="00631DE0">
        <w:rPr>
          <w:rFonts w:ascii="Times New Roman" w:hAnsi="Times New Roman" w:cs="Times New Roman"/>
          <w:color w:val="000000" w:themeColor="text1"/>
          <w:sz w:val="24"/>
          <w:szCs w:val="24"/>
          <w:shd w:val="clear" w:color="auto" w:fill="FFFFFF"/>
        </w:rPr>
        <w:t>Marquez, L. (2016) ‘The relevance of organisational structure to NGOs approaches to policy process.</w:t>
      </w:r>
      <w:r w:rsidR="00B524B9" w:rsidRPr="00631DE0">
        <w:rPr>
          <w:rFonts w:ascii="Times New Roman" w:hAnsi="Times New Roman" w:cs="Times New Roman"/>
          <w:color w:val="000000" w:themeColor="text1"/>
          <w:sz w:val="24"/>
          <w:szCs w:val="24"/>
          <w:shd w:val="clear" w:color="auto" w:fill="FFFFFF"/>
        </w:rPr>
        <w:t xml:space="preserve">’, </w:t>
      </w:r>
      <w:r w:rsidRPr="00631DE0">
        <w:rPr>
          <w:rFonts w:ascii="Times New Roman" w:hAnsi="Times New Roman" w:cs="Times New Roman"/>
          <w:i/>
          <w:iCs/>
          <w:color w:val="000000" w:themeColor="text1"/>
          <w:sz w:val="24"/>
          <w:szCs w:val="24"/>
          <w:shd w:val="clear" w:color="auto" w:fill="FFFFFF"/>
        </w:rPr>
        <w:t>Voluntas</w:t>
      </w:r>
      <w:r w:rsidR="00B524B9" w:rsidRPr="00631DE0">
        <w:rPr>
          <w:rFonts w:ascii="Times New Roman" w:hAnsi="Times New Roman" w:cs="Times New Roman"/>
          <w:i/>
          <w:iCs/>
          <w:color w:val="000000" w:themeColor="text1"/>
          <w:sz w:val="24"/>
          <w:szCs w:val="24"/>
          <w:shd w:val="clear" w:color="auto" w:fill="FFFFFF"/>
        </w:rPr>
        <w:t xml:space="preserve">: </w:t>
      </w:r>
      <w:r w:rsidRPr="00631DE0">
        <w:rPr>
          <w:rFonts w:ascii="Times New Roman" w:hAnsi="Times New Roman" w:cs="Times New Roman"/>
          <w:color w:val="000000" w:themeColor="text1"/>
          <w:sz w:val="24"/>
          <w:szCs w:val="24"/>
          <w:shd w:val="clear" w:color="auto" w:fill="FFFFFF"/>
        </w:rPr>
        <w:t xml:space="preserve"> </w:t>
      </w:r>
      <w:r w:rsidRPr="00631DE0">
        <w:rPr>
          <w:rFonts w:ascii="Times New Roman" w:hAnsi="Times New Roman" w:cs="Times New Roman"/>
          <w:i/>
          <w:iCs/>
          <w:color w:val="000000" w:themeColor="text1"/>
          <w:sz w:val="24"/>
          <w:szCs w:val="24"/>
          <w:shd w:val="clear" w:color="auto" w:fill="FFFFFF"/>
        </w:rPr>
        <w:t>International Journal of Voluntary and NGOs</w:t>
      </w:r>
      <w:r w:rsidRPr="00631DE0">
        <w:rPr>
          <w:rFonts w:ascii="Times New Roman" w:hAnsi="Times New Roman" w:cs="Times New Roman"/>
          <w:color w:val="000000" w:themeColor="text1"/>
          <w:sz w:val="24"/>
          <w:szCs w:val="24"/>
          <w:shd w:val="clear" w:color="auto" w:fill="FFFFFF"/>
        </w:rPr>
        <w:t>, 27, pp. 465-486.</w:t>
      </w:r>
      <w:bookmarkEnd w:id="23"/>
    </w:p>
    <w:p w14:paraId="7F460E35" w14:textId="0DD388C5" w:rsidR="000D7C1A" w:rsidRPr="00631DE0" w:rsidRDefault="000D7C1A"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Mau, S. (2019)</w:t>
      </w:r>
      <w:r w:rsidR="00E20ADC"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The metric society. On the role of quantification and the social</w:t>
      </w:r>
      <w:r w:rsidRPr="00631DE0">
        <w:rPr>
          <w:rFonts w:ascii="Times New Roman" w:hAnsi="Times New Roman" w:cs="Times New Roman"/>
          <w:color w:val="000000" w:themeColor="text1"/>
          <w:sz w:val="24"/>
          <w:szCs w:val="24"/>
        </w:rPr>
        <w:t>. Cambridge: Polity Press.</w:t>
      </w:r>
    </w:p>
    <w:p w14:paraId="3006F867" w14:textId="437E959A" w:rsidR="00BD3254" w:rsidRPr="00631DE0" w:rsidRDefault="00BD3254"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McConville, D. (2017) ‘New development: transparent impact reporting in charity annual reports—benefits, challenges, areas for development’, </w:t>
      </w:r>
      <w:r w:rsidRPr="00631DE0">
        <w:rPr>
          <w:rFonts w:ascii="Times New Roman" w:hAnsi="Times New Roman" w:cs="Times New Roman"/>
          <w:i/>
          <w:iCs/>
          <w:color w:val="000000" w:themeColor="text1"/>
          <w:sz w:val="24"/>
          <w:szCs w:val="24"/>
        </w:rPr>
        <w:t>Public Money &amp; Management</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37</w:t>
      </w:r>
      <w:r w:rsidRPr="00631DE0">
        <w:rPr>
          <w:rFonts w:ascii="Times New Roman" w:hAnsi="Times New Roman" w:cs="Times New Roman"/>
          <w:color w:val="000000" w:themeColor="text1"/>
          <w:sz w:val="24"/>
          <w:szCs w:val="24"/>
        </w:rPr>
        <w:t>(3), pp.211-216.</w:t>
      </w:r>
    </w:p>
    <w:p w14:paraId="0BD03EBD" w14:textId="474933FD" w:rsidR="00B524B9" w:rsidRPr="00631DE0" w:rsidRDefault="00B524B9"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McCracken, M., McIvor, R., Treacy, R., Wall, T. (2018) </w:t>
      </w:r>
      <w:r w:rsidRPr="00631DE0">
        <w:rPr>
          <w:rFonts w:ascii="Times New Roman" w:hAnsi="Times New Roman" w:cs="Times New Roman"/>
          <w:i/>
          <w:iCs/>
          <w:color w:val="000000" w:themeColor="text1"/>
          <w:sz w:val="24"/>
          <w:szCs w:val="24"/>
        </w:rPr>
        <w:t>A study of human capital reporting in the United Kingdom.</w:t>
      </w:r>
      <w:r w:rsidRPr="00631DE0">
        <w:rPr>
          <w:rFonts w:ascii="Times New Roman" w:hAnsi="Times New Roman" w:cs="Times New Roman"/>
          <w:color w:val="000000" w:themeColor="text1"/>
          <w:sz w:val="24"/>
          <w:szCs w:val="24"/>
        </w:rPr>
        <w:t xml:space="preserve"> In </w:t>
      </w:r>
      <w:r w:rsidRPr="00631DE0">
        <w:rPr>
          <w:rFonts w:ascii="Times New Roman" w:hAnsi="Times New Roman" w:cs="Times New Roman"/>
          <w:i/>
          <w:iCs/>
          <w:color w:val="000000" w:themeColor="text1"/>
          <w:sz w:val="24"/>
          <w:szCs w:val="24"/>
        </w:rPr>
        <w:t>Accounting Forum</w:t>
      </w:r>
      <w:r w:rsidRPr="00631DE0">
        <w:rPr>
          <w:rFonts w:ascii="Times New Roman" w:hAnsi="Times New Roman" w:cs="Times New Roman"/>
          <w:color w:val="000000" w:themeColor="text1"/>
          <w:sz w:val="24"/>
          <w:szCs w:val="24"/>
        </w:rPr>
        <w:t xml:space="preserve"> (Vol. 42, No. 1, pp. 130-141). </w:t>
      </w:r>
    </w:p>
    <w:p w14:paraId="6FFF07C2" w14:textId="22BE3EF6" w:rsidR="00295DFB" w:rsidRPr="00631DE0" w:rsidRDefault="00295DFB"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Melloni, G., Caglio, A., Perego, P. (2017)</w:t>
      </w:r>
      <w:r w:rsidR="00E20ADC"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 xml:space="preserve">Saying more with less? </w:t>
      </w:r>
      <w:r w:rsidR="00E20ADC" w:rsidRPr="00631DE0">
        <w:rPr>
          <w:rFonts w:ascii="Times New Roman" w:hAnsi="Times New Roman" w:cs="Times New Roman"/>
          <w:color w:val="000000" w:themeColor="text1"/>
          <w:sz w:val="24"/>
          <w:szCs w:val="24"/>
        </w:rPr>
        <w:t>d</w:t>
      </w:r>
      <w:r w:rsidRPr="00631DE0">
        <w:rPr>
          <w:rFonts w:ascii="Times New Roman" w:hAnsi="Times New Roman" w:cs="Times New Roman"/>
          <w:color w:val="000000" w:themeColor="text1"/>
          <w:sz w:val="24"/>
          <w:szCs w:val="24"/>
        </w:rPr>
        <w:t>isclosure conciseness, completeness and balance in integrated reports</w:t>
      </w:r>
      <w:r w:rsidR="00E20ADC"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Journal of Accounting and Public Policy</w:t>
      </w:r>
      <w:r w:rsidRPr="00631DE0">
        <w:rPr>
          <w:rFonts w:ascii="Times New Roman" w:hAnsi="Times New Roman" w:cs="Times New Roman"/>
          <w:color w:val="000000" w:themeColor="text1"/>
          <w:sz w:val="24"/>
          <w:szCs w:val="24"/>
        </w:rPr>
        <w:t>, 36(3),</w:t>
      </w:r>
      <w:r w:rsidR="00E20ADC" w:rsidRPr="00631DE0">
        <w:rPr>
          <w:rFonts w:ascii="Times New Roman" w:hAnsi="Times New Roman" w:cs="Times New Roman"/>
          <w:color w:val="000000" w:themeColor="text1"/>
          <w:sz w:val="24"/>
          <w:szCs w:val="24"/>
        </w:rPr>
        <w:t xml:space="preserve"> pp.</w:t>
      </w:r>
      <w:r w:rsidRPr="00631DE0">
        <w:rPr>
          <w:rFonts w:ascii="Times New Roman" w:hAnsi="Times New Roman" w:cs="Times New Roman"/>
          <w:color w:val="000000" w:themeColor="text1"/>
          <w:sz w:val="24"/>
          <w:szCs w:val="24"/>
        </w:rPr>
        <w:t xml:space="preserve"> 220–238. </w:t>
      </w:r>
    </w:p>
    <w:p w14:paraId="30D6F763" w14:textId="7D7C573C" w:rsidR="00E20ADC" w:rsidRPr="00631DE0" w:rsidRDefault="00E20ADC"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Mennicken, A., Espeland, W. (2019) ‘What’s new with numbers? sociological approaches to the study of quantification’, </w:t>
      </w:r>
      <w:r w:rsidRPr="00631DE0">
        <w:rPr>
          <w:rFonts w:ascii="Times New Roman" w:hAnsi="Times New Roman" w:cs="Times New Roman"/>
          <w:i/>
          <w:iCs/>
          <w:color w:val="000000" w:themeColor="text1"/>
          <w:sz w:val="24"/>
          <w:szCs w:val="24"/>
        </w:rPr>
        <w:t>Annual Review of Sociology</w:t>
      </w:r>
      <w:r w:rsidRPr="00631DE0">
        <w:rPr>
          <w:rFonts w:ascii="Times New Roman" w:hAnsi="Times New Roman" w:cs="Times New Roman"/>
          <w:color w:val="000000" w:themeColor="text1"/>
          <w:sz w:val="24"/>
          <w:szCs w:val="24"/>
        </w:rPr>
        <w:t>, 45, 223–245.</w:t>
      </w:r>
    </w:p>
    <w:p w14:paraId="4B9A5C54" w14:textId="2B28340D" w:rsidR="002A7048" w:rsidRPr="00631DE0" w:rsidRDefault="002A7048"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Meyer, J. W., Rowan, B. (1977)</w:t>
      </w:r>
      <w:r w:rsidR="00E910F4"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 xml:space="preserve">Institutionalized organizations: </w:t>
      </w:r>
      <w:r w:rsidR="00E910F4" w:rsidRPr="00631DE0">
        <w:rPr>
          <w:rFonts w:ascii="Times New Roman" w:hAnsi="Times New Roman" w:cs="Times New Roman"/>
          <w:color w:val="000000" w:themeColor="text1"/>
          <w:sz w:val="24"/>
          <w:szCs w:val="24"/>
        </w:rPr>
        <w:t>f</w:t>
      </w:r>
      <w:r w:rsidRPr="00631DE0">
        <w:rPr>
          <w:rFonts w:ascii="Times New Roman" w:hAnsi="Times New Roman" w:cs="Times New Roman"/>
          <w:color w:val="000000" w:themeColor="text1"/>
          <w:sz w:val="24"/>
          <w:szCs w:val="24"/>
        </w:rPr>
        <w:t>ormal structure as myth and ceremony</w:t>
      </w:r>
      <w:r w:rsidR="00E910F4"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American Journal of Sociology</w:t>
      </w:r>
      <w:r w:rsidRPr="00631DE0">
        <w:rPr>
          <w:rFonts w:ascii="Times New Roman" w:hAnsi="Times New Roman" w:cs="Times New Roman"/>
          <w:color w:val="000000" w:themeColor="text1"/>
          <w:sz w:val="24"/>
          <w:szCs w:val="24"/>
        </w:rPr>
        <w:t>, 83(2), 340–363.</w:t>
      </w:r>
    </w:p>
    <w:p w14:paraId="5E07E5EA" w14:textId="7B5DEEF6" w:rsidR="00FA3525" w:rsidRPr="00631DE0" w:rsidRDefault="00FA3525"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Michelon, G., Pilonato, S.</w:t>
      </w:r>
      <w:r w:rsidR="00E910F4"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Ricceri, F. (2015) </w:t>
      </w:r>
      <w:r w:rsidR="00E910F4"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CSR reporting practices and the quality of disclosure: an empirical analysis</w:t>
      </w:r>
      <w:r w:rsidR="00E910F4"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Critical Perspectives on Accounting</w:t>
      </w:r>
      <w:r w:rsidRPr="00631DE0">
        <w:rPr>
          <w:rFonts w:ascii="Times New Roman" w:hAnsi="Times New Roman" w:cs="Times New Roman"/>
          <w:color w:val="000000" w:themeColor="text1"/>
          <w:sz w:val="24"/>
          <w:szCs w:val="24"/>
        </w:rPr>
        <w:t xml:space="preserve">, 33 </w:t>
      </w:r>
      <w:r w:rsidR="00E910F4"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1</w:t>
      </w:r>
      <w:r w:rsidR="00E910F4"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pp. 59-78.</w:t>
      </w:r>
    </w:p>
    <w:p w14:paraId="4ADA3AD9" w14:textId="3C76FF28" w:rsidR="007B312D" w:rsidRPr="00631DE0" w:rsidRDefault="007B312D"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Mittelbach-Hörmanseder, S., Hummel, K., Rammerstorfer, M. (2021) ‘The information content of corporate social responsibility disclosure in Europe: an institutional perspective’, </w:t>
      </w:r>
      <w:r w:rsidRPr="00631DE0">
        <w:rPr>
          <w:rFonts w:ascii="Times New Roman" w:hAnsi="Times New Roman" w:cs="Times New Roman"/>
          <w:i/>
          <w:iCs/>
          <w:color w:val="000000" w:themeColor="text1"/>
          <w:sz w:val="24"/>
          <w:szCs w:val="24"/>
          <w:shd w:val="clear" w:color="auto" w:fill="FFFFFF"/>
        </w:rPr>
        <w:t>European Accounting Review</w:t>
      </w:r>
      <w:r w:rsidRPr="00631DE0">
        <w:rPr>
          <w:rFonts w:ascii="Times New Roman" w:hAnsi="Times New Roman" w:cs="Times New Roman"/>
          <w:color w:val="000000" w:themeColor="text1"/>
          <w:sz w:val="24"/>
          <w:szCs w:val="24"/>
          <w:shd w:val="clear" w:color="auto" w:fill="FFFFFF"/>
        </w:rPr>
        <w:t>, </w:t>
      </w:r>
      <w:r w:rsidRPr="00631DE0">
        <w:rPr>
          <w:rFonts w:ascii="Times New Roman" w:hAnsi="Times New Roman" w:cs="Times New Roman"/>
          <w:i/>
          <w:iCs/>
          <w:color w:val="000000" w:themeColor="text1"/>
          <w:sz w:val="24"/>
          <w:szCs w:val="24"/>
          <w:shd w:val="clear" w:color="auto" w:fill="FFFFFF"/>
        </w:rPr>
        <w:t>30</w:t>
      </w:r>
      <w:r w:rsidRPr="00631DE0">
        <w:rPr>
          <w:rFonts w:ascii="Times New Roman" w:hAnsi="Times New Roman" w:cs="Times New Roman"/>
          <w:color w:val="000000" w:themeColor="text1"/>
          <w:sz w:val="24"/>
          <w:szCs w:val="24"/>
          <w:shd w:val="clear" w:color="auto" w:fill="FFFFFF"/>
        </w:rPr>
        <w:t>(2), pp.309-348.</w:t>
      </w:r>
    </w:p>
    <w:p w14:paraId="6B8804D1" w14:textId="66815912" w:rsidR="00915D21" w:rsidRPr="00631DE0" w:rsidRDefault="009D2B4F"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 xml:space="preserve">Morse, J.M. </w:t>
      </w:r>
      <w:r w:rsidR="00B524B9"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2016</w:t>
      </w:r>
      <w:r w:rsidR="00B524B9"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w:t>
      </w:r>
      <w:r w:rsidRPr="00631DE0">
        <w:rPr>
          <w:rFonts w:ascii="Times New Roman" w:hAnsi="Times New Roman" w:cs="Times New Roman"/>
          <w:i/>
          <w:iCs/>
          <w:color w:val="000000" w:themeColor="text1"/>
          <w:sz w:val="24"/>
          <w:szCs w:val="24"/>
          <w:shd w:val="clear" w:color="auto" w:fill="FFFFFF"/>
        </w:rPr>
        <w:t>Mixed method design: Principles and procedures</w:t>
      </w:r>
      <w:r w:rsidRPr="00631DE0">
        <w:rPr>
          <w:rFonts w:ascii="Times New Roman" w:hAnsi="Times New Roman" w:cs="Times New Roman"/>
          <w:color w:val="000000" w:themeColor="text1"/>
          <w:sz w:val="24"/>
          <w:szCs w:val="24"/>
          <w:shd w:val="clear" w:color="auto" w:fill="FFFFFF"/>
        </w:rPr>
        <w:t>. Routledge.</w:t>
      </w:r>
    </w:p>
    <w:p w14:paraId="1B2CA754" w14:textId="09A7E90E" w:rsidR="00A7759F" w:rsidRPr="00631DE0" w:rsidRDefault="00A7759F" w:rsidP="00171628">
      <w:pPr>
        <w:suppressAutoHyphens/>
        <w:autoSpaceDN w:val="0"/>
        <w:spacing w:after="120" w:line="276" w:lineRule="auto"/>
        <w:ind w:firstLine="0"/>
        <w:textAlignment w:val="baseline"/>
        <w:rPr>
          <w:rFonts w:ascii="Times New Roman" w:hAnsi="Times New Roman" w:cs="Times New Roman"/>
          <w:i/>
          <w:iCs/>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 xml:space="preserve">Moussa, T., Kotb, A., Helfaya, A. (2022) ‘An empirical investigation of the UK environmental targets disclosure: role of environmental governance and performance’, </w:t>
      </w:r>
      <w:r w:rsidRPr="00631DE0">
        <w:rPr>
          <w:rFonts w:ascii="Times New Roman" w:hAnsi="Times New Roman" w:cs="Times New Roman"/>
          <w:i/>
          <w:iCs/>
          <w:color w:val="000000" w:themeColor="text1"/>
          <w:sz w:val="24"/>
          <w:szCs w:val="24"/>
          <w:shd w:val="clear" w:color="auto" w:fill="FFFFFF"/>
        </w:rPr>
        <w:t>European Accounting Review, 31</w:t>
      </w:r>
      <w:r w:rsidRPr="00631DE0">
        <w:rPr>
          <w:rFonts w:ascii="Times New Roman" w:hAnsi="Times New Roman" w:cs="Times New Roman"/>
          <w:color w:val="000000" w:themeColor="text1"/>
          <w:sz w:val="24"/>
          <w:szCs w:val="24"/>
          <w:shd w:val="clear" w:color="auto" w:fill="FFFFFF"/>
        </w:rPr>
        <w:t>(4), pp.937-971.</w:t>
      </w:r>
    </w:p>
    <w:p w14:paraId="795A6A41" w14:textId="1EB091E6" w:rsidR="00F21A32" w:rsidRPr="00631DE0" w:rsidRDefault="00F21A32"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Neu, D., Warsame, H., Pedwell, K. (1998) ‘Managing the public impressions: Environmental disclosures in annual reports’, </w:t>
      </w:r>
      <w:r w:rsidRPr="00631DE0">
        <w:rPr>
          <w:rFonts w:ascii="Times New Roman" w:hAnsi="Times New Roman" w:cs="Times New Roman"/>
          <w:i/>
          <w:iCs/>
          <w:color w:val="000000" w:themeColor="text1"/>
          <w:sz w:val="24"/>
          <w:szCs w:val="24"/>
        </w:rPr>
        <w:t>Accounting, Organizations and Society</w:t>
      </w:r>
      <w:r w:rsidRPr="00631DE0">
        <w:rPr>
          <w:rFonts w:ascii="Times New Roman" w:hAnsi="Times New Roman" w:cs="Times New Roman"/>
          <w:color w:val="000000" w:themeColor="text1"/>
          <w:sz w:val="24"/>
          <w:szCs w:val="24"/>
        </w:rPr>
        <w:t xml:space="preserve">, 23(3), 265–282. </w:t>
      </w:r>
    </w:p>
    <w:p w14:paraId="065B5A63" w14:textId="5DA55777" w:rsidR="00E910F4" w:rsidRPr="00631DE0" w:rsidRDefault="0088705C"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lastRenderedPageBreak/>
        <w:t>Nyberg, D., Wright, C</w:t>
      </w:r>
      <w:r w:rsidR="00E910F4" w:rsidRPr="00631DE0">
        <w:rPr>
          <w:rFonts w:ascii="Times New Roman" w:hAnsi="Times New Roman" w:cs="Times New Roman"/>
          <w:color w:val="000000" w:themeColor="text1"/>
          <w:sz w:val="24"/>
          <w:szCs w:val="24"/>
          <w:shd w:val="clear" w:color="auto" w:fill="FFFFFF"/>
        </w:rPr>
        <w:t xml:space="preserve">. </w:t>
      </w:r>
      <w:r w:rsidRPr="00631DE0">
        <w:rPr>
          <w:rFonts w:ascii="Times New Roman" w:hAnsi="Times New Roman" w:cs="Times New Roman"/>
          <w:color w:val="000000" w:themeColor="text1"/>
          <w:sz w:val="24"/>
          <w:szCs w:val="24"/>
          <w:shd w:val="clear" w:color="auto" w:fill="FFFFFF"/>
        </w:rPr>
        <w:t xml:space="preserve">(2022) </w:t>
      </w:r>
      <w:r w:rsidR="00E910F4" w:rsidRPr="00631DE0">
        <w:rPr>
          <w:rFonts w:ascii="Times New Roman" w:hAnsi="Times New Roman" w:cs="Times New Roman"/>
          <w:color w:val="000000" w:themeColor="text1"/>
          <w:sz w:val="24"/>
          <w:szCs w:val="24"/>
          <w:shd w:val="clear" w:color="auto" w:fill="FFFFFF"/>
        </w:rPr>
        <w:t xml:space="preserve">‘Climate proofing management’, </w:t>
      </w:r>
      <w:r w:rsidR="00E910F4" w:rsidRPr="00631DE0">
        <w:rPr>
          <w:rFonts w:ascii="Times New Roman" w:hAnsi="Times New Roman" w:cs="Times New Roman"/>
          <w:i/>
          <w:iCs/>
          <w:color w:val="000000" w:themeColor="text1"/>
          <w:sz w:val="24"/>
          <w:szCs w:val="24"/>
          <w:shd w:val="clear" w:color="auto" w:fill="FFFFFF"/>
        </w:rPr>
        <w:t>Academy of Management Perspectives</w:t>
      </w:r>
      <w:r w:rsidR="00E910F4" w:rsidRPr="00631DE0">
        <w:rPr>
          <w:rFonts w:ascii="Times New Roman" w:hAnsi="Times New Roman" w:cs="Times New Roman"/>
          <w:color w:val="000000" w:themeColor="text1"/>
          <w:sz w:val="24"/>
          <w:szCs w:val="24"/>
          <w:shd w:val="clear" w:color="auto" w:fill="FFFFFF"/>
        </w:rPr>
        <w:t>, 36 (2), pp. 713-728.</w:t>
      </w:r>
    </w:p>
    <w:p w14:paraId="11EEF96E" w14:textId="0B4303B3" w:rsidR="00E910F4" w:rsidRPr="00631DE0" w:rsidRDefault="00BA5BEB"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Nicolò, G., Zanellato, G.,</w:t>
      </w:r>
      <w:r w:rsidR="00E910F4" w:rsidRPr="00631DE0">
        <w:rPr>
          <w:rFonts w:ascii="Times New Roman" w:hAnsi="Times New Roman" w:cs="Times New Roman"/>
          <w:color w:val="000000" w:themeColor="text1"/>
          <w:sz w:val="24"/>
          <w:szCs w:val="24"/>
        </w:rPr>
        <w:t xml:space="preserve"> Manes-Rossi, F., Tiron-Tudor, A. (2022) ‘</w:t>
      </w:r>
      <w:r w:rsidR="00F8656B" w:rsidRPr="00631DE0">
        <w:rPr>
          <w:rFonts w:ascii="Times New Roman" w:hAnsi="Times New Roman" w:cs="Times New Roman"/>
          <w:color w:val="000000" w:themeColor="text1"/>
          <w:sz w:val="24"/>
          <w:szCs w:val="24"/>
        </w:rPr>
        <w:t xml:space="preserve">The </w:t>
      </w:r>
      <w:r w:rsidR="00E910F4" w:rsidRPr="00631DE0">
        <w:rPr>
          <w:rFonts w:ascii="Times New Roman" w:hAnsi="Times New Roman" w:cs="Times New Roman"/>
          <w:color w:val="000000" w:themeColor="text1"/>
          <w:sz w:val="24"/>
          <w:szCs w:val="24"/>
        </w:rPr>
        <w:t xml:space="preserve">Corporate reporting metamorphosis: the empirical findings from the </w:t>
      </w:r>
      <w:r w:rsidRPr="00631DE0">
        <w:rPr>
          <w:rFonts w:ascii="Times New Roman" w:hAnsi="Times New Roman" w:cs="Times New Roman"/>
          <w:color w:val="000000" w:themeColor="text1"/>
          <w:sz w:val="24"/>
          <w:szCs w:val="24"/>
        </w:rPr>
        <w:t>state-owned enterprises</w:t>
      </w:r>
      <w:r w:rsidR="00E910F4"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00E910F4" w:rsidRPr="00631DE0">
        <w:rPr>
          <w:rFonts w:ascii="Times New Roman" w:hAnsi="Times New Roman" w:cs="Times New Roman"/>
          <w:i/>
          <w:iCs/>
          <w:color w:val="000000" w:themeColor="text1"/>
          <w:sz w:val="24"/>
          <w:szCs w:val="24"/>
        </w:rPr>
        <w:t>Public Money &amp; Management</w:t>
      </w:r>
      <w:r w:rsidR="00E910F4" w:rsidRPr="00631DE0">
        <w:rPr>
          <w:rFonts w:ascii="Times New Roman" w:hAnsi="Times New Roman" w:cs="Times New Roman"/>
          <w:color w:val="000000" w:themeColor="text1"/>
          <w:sz w:val="24"/>
          <w:szCs w:val="24"/>
        </w:rPr>
        <w:t>, 41(2), pp. 138-147.</w:t>
      </w:r>
    </w:p>
    <w:p w14:paraId="7B6E0ABC" w14:textId="7085DA89" w:rsidR="008F17C3" w:rsidRPr="00631DE0" w:rsidRDefault="008F17C3"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O’Dwyer, B., Boomsma, R.</w:t>
      </w:r>
      <w:r w:rsidR="00F8656B"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2015</w:t>
      </w:r>
      <w:r w:rsidR="00F8656B" w:rsidRPr="00631DE0">
        <w:rPr>
          <w:rFonts w:ascii="Times New Roman" w:hAnsi="Times New Roman" w:cs="Times New Roman"/>
          <w:color w:val="000000" w:themeColor="text1"/>
          <w:sz w:val="24"/>
          <w:szCs w:val="24"/>
        </w:rPr>
        <w:t>) ‘</w:t>
      </w:r>
      <w:r w:rsidRPr="00631DE0">
        <w:rPr>
          <w:rFonts w:ascii="Times New Roman" w:hAnsi="Times New Roman" w:cs="Times New Roman"/>
          <w:color w:val="000000" w:themeColor="text1"/>
          <w:sz w:val="24"/>
          <w:szCs w:val="24"/>
        </w:rPr>
        <w:t>The co-construction of</w:t>
      </w:r>
      <w:r w:rsidR="00F8656B" w:rsidRPr="00631DE0">
        <w:rPr>
          <w:rFonts w:ascii="Times New Roman" w:hAnsi="Times New Roman" w:cs="Times New Roman"/>
          <w:color w:val="000000" w:themeColor="text1"/>
          <w:sz w:val="24"/>
          <w:szCs w:val="24"/>
        </w:rPr>
        <w:t xml:space="preserve"> the </w:t>
      </w:r>
      <w:r w:rsidRPr="00631DE0">
        <w:rPr>
          <w:rFonts w:ascii="Times New Roman" w:hAnsi="Times New Roman" w:cs="Times New Roman"/>
          <w:color w:val="000000" w:themeColor="text1"/>
          <w:sz w:val="24"/>
          <w:szCs w:val="24"/>
        </w:rPr>
        <w:t>NGO accountability: aligning imposed and felt accountability in NGO-funder accountability relationships</w:t>
      </w:r>
      <w:r w:rsidR="00F8656B"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Account Audit. Account. J</w:t>
      </w:r>
      <w:r w:rsidR="00F8656B"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28 (1),</w:t>
      </w:r>
      <w:r w:rsidR="00F8656B" w:rsidRPr="00631DE0">
        <w:rPr>
          <w:rFonts w:ascii="Times New Roman" w:hAnsi="Times New Roman" w:cs="Times New Roman"/>
          <w:color w:val="000000" w:themeColor="text1"/>
          <w:sz w:val="24"/>
          <w:szCs w:val="24"/>
        </w:rPr>
        <w:t xml:space="preserve"> pp.</w:t>
      </w:r>
      <w:r w:rsidRPr="00631DE0">
        <w:rPr>
          <w:rFonts w:ascii="Times New Roman" w:hAnsi="Times New Roman" w:cs="Times New Roman"/>
          <w:color w:val="000000" w:themeColor="text1"/>
          <w:sz w:val="24"/>
          <w:szCs w:val="24"/>
        </w:rPr>
        <w:t xml:space="preserve"> 36–68</w:t>
      </w:r>
    </w:p>
    <w:p w14:paraId="4CAA8C9E" w14:textId="4D7FEA76" w:rsidR="00537D22" w:rsidRPr="00631DE0" w:rsidRDefault="00537D22"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O'Dwyer, B., Unerman, J. (2008) ‘The paradox of greater NGO accountability: a case study of Amnesty Ireland’, </w:t>
      </w:r>
      <w:r w:rsidRPr="00631DE0">
        <w:rPr>
          <w:rFonts w:ascii="Times New Roman" w:hAnsi="Times New Roman" w:cs="Times New Roman"/>
          <w:i/>
          <w:iCs/>
          <w:color w:val="000000" w:themeColor="text1"/>
          <w:sz w:val="24"/>
          <w:szCs w:val="24"/>
        </w:rPr>
        <w:t>Accounting</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Organisations</w:t>
      </w:r>
      <w:r w:rsidRPr="00631DE0">
        <w:rPr>
          <w:rFonts w:ascii="Times New Roman" w:hAnsi="Times New Roman" w:cs="Times New Roman"/>
          <w:color w:val="000000" w:themeColor="text1"/>
          <w:sz w:val="24"/>
          <w:szCs w:val="24"/>
        </w:rPr>
        <w:t xml:space="preserve"> &amp; </w:t>
      </w:r>
      <w:r w:rsidRPr="00631DE0">
        <w:rPr>
          <w:rFonts w:ascii="Times New Roman" w:hAnsi="Times New Roman" w:cs="Times New Roman"/>
          <w:i/>
          <w:iCs/>
          <w:color w:val="000000" w:themeColor="text1"/>
          <w:sz w:val="24"/>
          <w:szCs w:val="24"/>
        </w:rPr>
        <w:t>Society</w:t>
      </w:r>
      <w:r w:rsidRPr="00631DE0">
        <w:rPr>
          <w:rFonts w:ascii="Times New Roman" w:hAnsi="Times New Roman" w:cs="Times New Roman"/>
          <w:color w:val="000000" w:themeColor="text1"/>
          <w:sz w:val="24"/>
          <w:szCs w:val="24"/>
        </w:rPr>
        <w:t>, 33(7/8), pp. 801-824</w:t>
      </w:r>
    </w:p>
    <w:p w14:paraId="74C5C9D4" w14:textId="1B101953" w:rsidR="008F17C3" w:rsidRPr="00631DE0" w:rsidRDefault="008F17C3"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Oliveira Neto, G.C., Pinto, R., Amorim,.C., Giannetti, B.F., Ameida, D. </w:t>
      </w:r>
      <w:r w:rsidR="00F8656B"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2018</w:t>
      </w:r>
      <w:r w:rsidR="00F8656B" w:rsidRPr="00631DE0">
        <w:rPr>
          <w:rFonts w:ascii="Times New Roman" w:hAnsi="Times New Roman" w:cs="Times New Roman"/>
          <w:color w:val="000000" w:themeColor="text1"/>
          <w:sz w:val="24"/>
          <w:szCs w:val="24"/>
        </w:rPr>
        <w:t>) ‘</w:t>
      </w:r>
      <w:r w:rsidRPr="00631DE0">
        <w:rPr>
          <w:rFonts w:ascii="Times New Roman" w:hAnsi="Times New Roman" w:cs="Times New Roman"/>
          <w:color w:val="000000" w:themeColor="text1"/>
          <w:sz w:val="24"/>
          <w:szCs w:val="24"/>
        </w:rPr>
        <w:t>A framework of actions for strong sustainability</w:t>
      </w:r>
      <w:r w:rsidR="00F8656B"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J. Clean. Prod</w:t>
      </w:r>
      <w:r w:rsidR="00F8656B"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196, </w:t>
      </w:r>
      <w:r w:rsidR="00F8656B" w:rsidRPr="00631DE0">
        <w:rPr>
          <w:rFonts w:ascii="Times New Roman" w:hAnsi="Times New Roman" w:cs="Times New Roman"/>
          <w:color w:val="000000" w:themeColor="text1"/>
          <w:sz w:val="24"/>
          <w:szCs w:val="24"/>
        </w:rPr>
        <w:t>pp.</w:t>
      </w:r>
      <w:r w:rsidRPr="00631DE0">
        <w:rPr>
          <w:rFonts w:ascii="Times New Roman" w:hAnsi="Times New Roman" w:cs="Times New Roman"/>
          <w:color w:val="000000" w:themeColor="text1"/>
          <w:sz w:val="24"/>
          <w:szCs w:val="24"/>
        </w:rPr>
        <w:t>1629–1643.</w:t>
      </w:r>
    </w:p>
    <w:p w14:paraId="410238B3" w14:textId="4712D609" w:rsidR="00923805" w:rsidRPr="00631DE0" w:rsidRDefault="00923805"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Pariag-Maraye, N., Soobaroyen, T., Mooneeapen, O., Panchoo, O. </w:t>
      </w:r>
      <w:r w:rsidR="00F8656B"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2022</w:t>
      </w:r>
      <w:r w:rsidR="00F8656B"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00F8656B"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Evaluating NGO accounting and reporting practices in a developing economy: </w:t>
      </w:r>
      <w:r w:rsidR="00F8656B" w:rsidRPr="00631DE0">
        <w:rPr>
          <w:rFonts w:ascii="Times New Roman" w:hAnsi="Times New Roman" w:cs="Times New Roman"/>
          <w:color w:val="000000" w:themeColor="text1"/>
          <w:sz w:val="24"/>
          <w:szCs w:val="24"/>
        </w:rPr>
        <w:t>t</w:t>
      </w:r>
      <w:r w:rsidRPr="00631DE0">
        <w:rPr>
          <w:rFonts w:ascii="Times New Roman" w:hAnsi="Times New Roman" w:cs="Times New Roman"/>
          <w:color w:val="000000" w:themeColor="text1"/>
          <w:sz w:val="24"/>
          <w:szCs w:val="24"/>
        </w:rPr>
        <w:t>he case for reforms</w:t>
      </w:r>
      <w:r w:rsidR="00F8656B"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Journal of Public Budgeting, Accounting &amp; Financial Management</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35</w:t>
      </w:r>
      <w:r w:rsidRPr="00631DE0">
        <w:rPr>
          <w:rFonts w:ascii="Times New Roman" w:hAnsi="Times New Roman" w:cs="Times New Roman"/>
          <w:color w:val="000000" w:themeColor="text1"/>
          <w:sz w:val="24"/>
          <w:szCs w:val="24"/>
        </w:rPr>
        <w:t>(1), pp.73-94.</w:t>
      </w:r>
    </w:p>
    <w:p w14:paraId="7C3B9CF0" w14:textId="3B7FF998" w:rsidR="00F8656B" w:rsidRPr="00631DE0" w:rsidRDefault="00F8656B"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Parsons, L., Nielsen, J. (2021) ‘The subjective climate migrant: the climate perceptions, their determinants, and relationship to migration in Cambodia’, </w:t>
      </w:r>
      <w:r w:rsidRPr="00631DE0">
        <w:rPr>
          <w:rFonts w:ascii="Times New Roman" w:hAnsi="Times New Roman" w:cs="Times New Roman"/>
          <w:i/>
          <w:iCs/>
          <w:color w:val="000000" w:themeColor="text1"/>
          <w:sz w:val="24"/>
          <w:szCs w:val="24"/>
        </w:rPr>
        <w:t>Annals of the American Association</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of Geographers</w:t>
      </w:r>
      <w:r w:rsidRPr="00631DE0">
        <w:rPr>
          <w:rFonts w:ascii="Times New Roman" w:hAnsi="Times New Roman" w:cs="Times New Roman"/>
          <w:color w:val="000000" w:themeColor="text1"/>
          <w:sz w:val="24"/>
          <w:szCs w:val="24"/>
        </w:rPr>
        <w:t xml:space="preserve">, 111(4), pp. 971–988. </w:t>
      </w:r>
    </w:p>
    <w:p w14:paraId="5B85FAB9" w14:textId="3DB4F43E" w:rsidR="008522B7" w:rsidRPr="00631DE0" w:rsidRDefault="008522B7"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Passetti, E., Bianchi, L., Battaglia, M., Frey, M. (2019)</w:t>
      </w:r>
      <w:r w:rsidR="00F8656B"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 xml:space="preserve">When democratic principles are not enough: </w:t>
      </w:r>
      <w:r w:rsidR="00F8656B" w:rsidRPr="00631DE0">
        <w:rPr>
          <w:rFonts w:ascii="Times New Roman" w:hAnsi="Times New Roman" w:cs="Times New Roman"/>
          <w:color w:val="000000" w:themeColor="text1"/>
          <w:sz w:val="24"/>
          <w:szCs w:val="24"/>
        </w:rPr>
        <w:t>t</w:t>
      </w:r>
      <w:r w:rsidRPr="00631DE0">
        <w:rPr>
          <w:rFonts w:ascii="Times New Roman" w:hAnsi="Times New Roman" w:cs="Times New Roman"/>
          <w:color w:val="000000" w:themeColor="text1"/>
          <w:sz w:val="24"/>
          <w:szCs w:val="24"/>
        </w:rPr>
        <w:t>ensions and temporalities of dialogic stakeholder engagement</w:t>
      </w:r>
      <w:r w:rsidR="00F8656B"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Journal of Business</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Ethics</w:t>
      </w:r>
      <w:r w:rsidRPr="00631DE0">
        <w:rPr>
          <w:rFonts w:ascii="Times New Roman" w:hAnsi="Times New Roman" w:cs="Times New Roman"/>
          <w:color w:val="000000" w:themeColor="text1"/>
          <w:sz w:val="24"/>
          <w:szCs w:val="24"/>
        </w:rPr>
        <w:t>, 155(1),</w:t>
      </w:r>
      <w:r w:rsidR="00F8656B" w:rsidRPr="00631DE0">
        <w:rPr>
          <w:rFonts w:ascii="Times New Roman" w:hAnsi="Times New Roman" w:cs="Times New Roman"/>
          <w:color w:val="000000" w:themeColor="text1"/>
          <w:sz w:val="24"/>
          <w:szCs w:val="24"/>
        </w:rPr>
        <w:t xml:space="preserve"> pp.</w:t>
      </w:r>
      <w:r w:rsidRPr="00631DE0">
        <w:rPr>
          <w:rFonts w:ascii="Times New Roman" w:hAnsi="Times New Roman" w:cs="Times New Roman"/>
          <w:color w:val="000000" w:themeColor="text1"/>
          <w:sz w:val="24"/>
          <w:szCs w:val="24"/>
        </w:rPr>
        <w:t>173–190</w:t>
      </w:r>
      <w:r w:rsidR="00F8656B" w:rsidRPr="00631DE0">
        <w:rPr>
          <w:rFonts w:ascii="Times New Roman" w:hAnsi="Times New Roman" w:cs="Times New Roman"/>
          <w:color w:val="000000" w:themeColor="text1"/>
          <w:sz w:val="24"/>
          <w:szCs w:val="24"/>
        </w:rPr>
        <w:t>.</w:t>
      </w:r>
    </w:p>
    <w:p w14:paraId="2A0F0570" w14:textId="056F04A1" w:rsidR="00FA3525" w:rsidRPr="00631DE0" w:rsidRDefault="00FA3525"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Patten,</w:t>
      </w:r>
      <w:r w:rsidR="00F8656B"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 xml:space="preserve">M. (2015) </w:t>
      </w:r>
      <w:r w:rsidR="00F8656B"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An insider’s reflection on</w:t>
      </w:r>
      <w:r w:rsidR="00F8656B" w:rsidRPr="00631DE0">
        <w:rPr>
          <w:rFonts w:ascii="Times New Roman" w:hAnsi="Times New Roman" w:cs="Times New Roman"/>
          <w:color w:val="000000" w:themeColor="text1"/>
          <w:sz w:val="24"/>
          <w:szCs w:val="24"/>
        </w:rPr>
        <w:t xml:space="preserve"> the</w:t>
      </w:r>
      <w:r w:rsidRPr="00631DE0">
        <w:rPr>
          <w:rFonts w:ascii="Times New Roman" w:hAnsi="Times New Roman" w:cs="Times New Roman"/>
          <w:color w:val="000000" w:themeColor="text1"/>
          <w:sz w:val="24"/>
          <w:szCs w:val="24"/>
        </w:rPr>
        <w:t xml:space="preserve"> quantitative research in the social and environmental disclosure domain</w:t>
      </w:r>
      <w:r w:rsidR="00F8656B"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Critical Perspective on Accounting</w:t>
      </w:r>
      <w:r w:rsidRPr="00631DE0">
        <w:rPr>
          <w:rFonts w:ascii="Times New Roman" w:hAnsi="Times New Roman" w:cs="Times New Roman"/>
          <w:color w:val="000000" w:themeColor="text1"/>
          <w:sz w:val="24"/>
          <w:szCs w:val="24"/>
        </w:rPr>
        <w:t xml:space="preserve">, 32 </w:t>
      </w:r>
      <w:r w:rsidR="00F8656B"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1</w:t>
      </w:r>
      <w:r w:rsidR="00F8656B"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pp. 45-50.</w:t>
      </w:r>
    </w:p>
    <w:p w14:paraId="0758B2E0" w14:textId="76C40599" w:rsidR="00973996" w:rsidRPr="00631DE0" w:rsidRDefault="00973996"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Perkiss, S., Bernardi, C., Dumay, J., Haslam, J. (2021) ‘A sticky chocolate problem: Impression management and counter accounts in the shaping of corporate image’, </w:t>
      </w:r>
      <w:r w:rsidRPr="00631DE0">
        <w:rPr>
          <w:rFonts w:ascii="Times New Roman" w:hAnsi="Times New Roman" w:cs="Times New Roman"/>
          <w:i/>
          <w:iCs/>
          <w:color w:val="000000" w:themeColor="text1"/>
          <w:sz w:val="24"/>
          <w:szCs w:val="24"/>
        </w:rPr>
        <w:t>Critical Perspectives on</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Accounting</w:t>
      </w:r>
      <w:r w:rsidRPr="00631DE0">
        <w:rPr>
          <w:rFonts w:ascii="Times New Roman" w:hAnsi="Times New Roman" w:cs="Times New Roman"/>
          <w:color w:val="000000" w:themeColor="text1"/>
          <w:sz w:val="24"/>
          <w:szCs w:val="24"/>
        </w:rPr>
        <w:t>, 81, pp. 102229.</w:t>
      </w:r>
    </w:p>
    <w:p w14:paraId="693D62B0" w14:textId="51E123DF" w:rsidR="00543D9B" w:rsidRPr="00631DE0" w:rsidRDefault="00543D9B"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Peters, G. F., Romi, A. M. (2013)</w:t>
      </w:r>
      <w:r w:rsidR="00F8656B"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 xml:space="preserve">Discretionary compliance with mandatory environmental disclosures: </w:t>
      </w:r>
      <w:r w:rsidR="00F8656B" w:rsidRPr="00631DE0">
        <w:rPr>
          <w:rFonts w:ascii="Times New Roman" w:hAnsi="Times New Roman" w:cs="Times New Roman"/>
          <w:color w:val="000000" w:themeColor="text1"/>
          <w:sz w:val="24"/>
          <w:szCs w:val="24"/>
        </w:rPr>
        <w:t>e</w:t>
      </w:r>
      <w:r w:rsidRPr="00631DE0">
        <w:rPr>
          <w:rFonts w:ascii="Times New Roman" w:hAnsi="Times New Roman" w:cs="Times New Roman"/>
          <w:color w:val="000000" w:themeColor="text1"/>
          <w:sz w:val="24"/>
          <w:szCs w:val="24"/>
        </w:rPr>
        <w:t>vidence from SEC filings</w:t>
      </w:r>
      <w:r w:rsidR="00F8656B"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Journal of Accounting and Public Policy</w:t>
      </w:r>
      <w:r w:rsidRPr="00631DE0">
        <w:rPr>
          <w:rFonts w:ascii="Times New Roman" w:hAnsi="Times New Roman" w:cs="Times New Roman"/>
          <w:color w:val="000000" w:themeColor="text1"/>
          <w:sz w:val="24"/>
          <w:szCs w:val="24"/>
        </w:rPr>
        <w:t>, 32(4),</w:t>
      </w:r>
      <w:r w:rsidR="00F8656B" w:rsidRPr="00631DE0">
        <w:rPr>
          <w:rFonts w:ascii="Times New Roman" w:hAnsi="Times New Roman" w:cs="Times New Roman"/>
          <w:color w:val="000000" w:themeColor="text1"/>
          <w:sz w:val="24"/>
          <w:szCs w:val="24"/>
        </w:rPr>
        <w:t xml:space="preserve"> pp.</w:t>
      </w:r>
      <w:r w:rsidRPr="00631DE0">
        <w:rPr>
          <w:rFonts w:ascii="Times New Roman" w:hAnsi="Times New Roman" w:cs="Times New Roman"/>
          <w:color w:val="000000" w:themeColor="text1"/>
          <w:sz w:val="24"/>
          <w:szCs w:val="24"/>
        </w:rPr>
        <w:t xml:space="preserve"> 213–236.</w:t>
      </w:r>
    </w:p>
    <w:p w14:paraId="11A286F7" w14:textId="0409E75E" w:rsidR="000D7C1A" w:rsidRPr="00631DE0" w:rsidRDefault="000D7C1A"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Pfeffer, </w:t>
      </w:r>
      <w:r w:rsidR="00B524B9" w:rsidRPr="00631DE0">
        <w:rPr>
          <w:rFonts w:ascii="Times New Roman" w:hAnsi="Times New Roman" w:cs="Times New Roman"/>
          <w:color w:val="000000" w:themeColor="text1"/>
          <w:sz w:val="24"/>
          <w:szCs w:val="24"/>
        </w:rPr>
        <w:t>J., Salancik</w:t>
      </w:r>
      <w:r w:rsidRPr="00631DE0">
        <w:rPr>
          <w:rFonts w:ascii="Times New Roman" w:hAnsi="Times New Roman" w:cs="Times New Roman"/>
          <w:color w:val="000000" w:themeColor="text1"/>
          <w:sz w:val="24"/>
          <w:szCs w:val="24"/>
        </w:rPr>
        <w:t>, G. R. (1978)</w:t>
      </w:r>
      <w:r w:rsidR="00F8656B"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 xml:space="preserve">The external control of organizations: </w:t>
      </w:r>
      <w:r w:rsidR="00F8656B" w:rsidRPr="00631DE0">
        <w:rPr>
          <w:rFonts w:ascii="Times New Roman" w:hAnsi="Times New Roman" w:cs="Times New Roman"/>
          <w:i/>
          <w:iCs/>
          <w:color w:val="000000" w:themeColor="text1"/>
          <w:sz w:val="24"/>
          <w:szCs w:val="24"/>
        </w:rPr>
        <w:t>a</w:t>
      </w:r>
      <w:r w:rsidRPr="00631DE0">
        <w:rPr>
          <w:rFonts w:ascii="Times New Roman" w:hAnsi="Times New Roman" w:cs="Times New Roman"/>
          <w:i/>
          <w:iCs/>
          <w:color w:val="000000" w:themeColor="text1"/>
          <w:sz w:val="24"/>
          <w:szCs w:val="24"/>
        </w:rPr>
        <w:t xml:space="preserve"> resource dependence</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perspective</w:t>
      </w:r>
      <w:r w:rsidRPr="00631DE0">
        <w:rPr>
          <w:rFonts w:ascii="Times New Roman" w:hAnsi="Times New Roman" w:cs="Times New Roman"/>
          <w:color w:val="000000" w:themeColor="text1"/>
          <w:sz w:val="24"/>
          <w:szCs w:val="24"/>
        </w:rPr>
        <w:t>. New York: Harper &amp; Row.</w:t>
      </w:r>
    </w:p>
    <w:p w14:paraId="618B0312" w14:textId="28D49FD1" w:rsidR="00F8656B" w:rsidRPr="00631DE0" w:rsidRDefault="009D03A4"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Poddar, A., Narula, S. A., Zutshi, A. (2019)</w:t>
      </w:r>
      <w:r w:rsidR="00F8656B"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A study of corporate social responsibility practices of the top Bombay Stock Exchange 500 companies in India and their alignment with the Sustainable Development Goals</w:t>
      </w:r>
      <w:r w:rsidR="00F8656B" w:rsidRPr="00631DE0">
        <w:rPr>
          <w:rFonts w:ascii="Times New Roman" w:hAnsi="Times New Roman" w:cs="Times New Roman"/>
          <w:color w:val="000000" w:themeColor="text1"/>
          <w:sz w:val="24"/>
          <w:szCs w:val="24"/>
        </w:rPr>
        <w:t xml:space="preserve">’, </w:t>
      </w:r>
      <w:r w:rsidR="00F8656B" w:rsidRPr="00631DE0">
        <w:rPr>
          <w:rFonts w:ascii="Times New Roman" w:hAnsi="Times New Roman" w:cs="Times New Roman"/>
          <w:i/>
          <w:iCs/>
          <w:color w:val="000000" w:themeColor="text1"/>
          <w:sz w:val="24"/>
          <w:szCs w:val="24"/>
        </w:rPr>
        <w:t xml:space="preserve">Corporate Responsibility and Environmental Mgt, </w:t>
      </w:r>
      <w:r w:rsidR="00F8656B" w:rsidRPr="00631DE0">
        <w:rPr>
          <w:rFonts w:ascii="Times New Roman" w:hAnsi="Times New Roman" w:cs="Times New Roman"/>
          <w:color w:val="000000" w:themeColor="text1"/>
          <w:sz w:val="24"/>
          <w:szCs w:val="24"/>
        </w:rPr>
        <w:t>26(6), pp.  1184-1205</w:t>
      </w:r>
    </w:p>
    <w:p w14:paraId="48790A2B" w14:textId="1E0B1315" w:rsidR="00B33E6A" w:rsidRPr="00631DE0" w:rsidRDefault="00B33E6A"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Qian, W., &amp; Schaltegger, S. (2017) ‘Revisiting carbon disclosure and performance: Legitimacy and management views’, </w:t>
      </w:r>
      <w:r w:rsidRPr="00631DE0">
        <w:rPr>
          <w:rFonts w:ascii="Times New Roman" w:hAnsi="Times New Roman" w:cs="Times New Roman"/>
          <w:i/>
          <w:iCs/>
          <w:color w:val="000000" w:themeColor="text1"/>
          <w:sz w:val="24"/>
          <w:szCs w:val="24"/>
        </w:rPr>
        <w:t>The British Accounting Review</w:t>
      </w:r>
      <w:r w:rsidRPr="00631DE0">
        <w:rPr>
          <w:rFonts w:ascii="Times New Roman" w:hAnsi="Times New Roman" w:cs="Times New Roman"/>
          <w:color w:val="000000" w:themeColor="text1"/>
          <w:sz w:val="24"/>
          <w:szCs w:val="24"/>
        </w:rPr>
        <w:t>, 49(4), pp. 365–379.</w:t>
      </w:r>
    </w:p>
    <w:p w14:paraId="57AA3CC7" w14:textId="76940E0B" w:rsidR="00EC1648" w:rsidRPr="00631DE0" w:rsidRDefault="00EC1648"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shd w:val="clear" w:color="auto" w:fill="FFFFFF"/>
        </w:rPr>
        <w:lastRenderedPageBreak/>
        <w:t>Radu, C.</w:t>
      </w:r>
      <w:r w:rsidR="00537D22"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 Francoeur, C. </w:t>
      </w:r>
      <w:r w:rsidR="00537D22"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2017</w:t>
      </w:r>
      <w:r w:rsidR="00537D22"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 </w:t>
      </w:r>
      <w:r w:rsidR="00537D22"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Does</w:t>
      </w:r>
      <w:r w:rsidR="00537D22" w:rsidRPr="00631DE0">
        <w:rPr>
          <w:rFonts w:ascii="Times New Roman" w:hAnsi="Times New Roman" w:cs="Times New Roman"/>
          <w:color w:val="000000" w:themeColor="text1"/>
          <w:sz w:val="24"/>
          <w:szCs w:val="24"/>
          <w:shd w:val="clear" w:color="auto" w:fill="FFFFFF"/>
        </w:rPr>
        <w:t xml:space="preserve"> the</w:t>
      </w:r>
      <w:r w:rsidRPr="00631DE0">
        <w:rPr>
          <w:rFonts w:ascii="Times New Roman" w:hAnsi="Times New Roman" w:cs="Times New Roman"/>
          <w:color w:val="000000" w:themeColor="text1"/>
          <w:sz w:val="24"/>
          <w:szCs w:val="24"/>
          <w:shd w:val="clear" w:color="auto" w:fill="FFFFFF"/>
        </w:rPr>
        <w:t xml:space="preserve"> innovation drive environmental disclosure? </w:t>
      </w:r>
      <w:r w:rsidR="00537D22" w:rsidRPr="00631DE0">
        <w:rPr>
          <w:rFonts w:ascii="Times New Roman" w:hAnsi="Times New Roman" w:cs="Times New Roman"/>
          <w:color w:val="000000" w:themeColor="text1"/>
          <w:sz w:val="24"/>
          <w:szCs w:val="24"/>
          <w:shd w:val="clear" w:color="auto" w:fill="FFFFFF"/>
        </w:rPr>
        <w:t>a</w:t>
      </w:r>
      <w:r w:rsidRPr="00631DE0">
        <w:rPr>
          <w:rFonts w:ascii="Times New Roman" w:hAnsi="Times New Roman" w:cs="Times New Roman"/>
          <w:color w:val="000000" w:themeColor="text1"/>
          <w:sz w:val="24"/>
          <w:szCs w:val="24"/>
          <w:shd w:val="clear" w:color="auto" w:fill="FFFFFF"/>
        </w:rPr>
        <w:t xml:space="preserve"> new insight into sustainable development</w:t>
      </w:r>
      <w:r w:rsidR="00537D22"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w:t>
      </w:r>
      <w:r w:rsidRPr="00631DE0">
        <w:rPr>
          <w:rFonts w:ascii="Times New Roman" w:hAnsi="Times New Roman" w:cs="Times New Roman"/>
          <w:i/>
          <w:iCs/>
          <w:color w:val="000000" w:themeColor="text1"/>
          <w:sz w:val="24"/>
          <w:szCs w:val="24"/>
          <w:shd w:val="clear" w:color="auto" w:fill="FFFFFF"/>
        </w:rPr>
        <w:t>Business Strategy and the Environment</w:t>
      </w:r>
      <w:r w:rsidRPr="00631DE0">
        <w:rPr>
          <w:rFonts w:ascii="Times New Roman" w:hAnsi="Times New Roman" w:cs="Times New Roman"/>
          <w:color w:val="000000" w:themeColor="text1"/>
          <w:sz w:val="24"/>
          <w:szCs w:val="24"/>
          <w:shd w:val="clear" w:color="auto" w:fill="FFFFFF"/>
        </w:rPr>
        <w:t>, </w:t>
      </w:r>
      <w:r w:rsidRPr="00631DE0">
        <w:rPr>
          <w:rFonts w:ascii="Times New Roman" w:hAnsi="Times New Roman" w:cs="Times New Roman"/>
          <w:i/>
          <w:iCs/>
          <w:color w:val="000000" w:themeColor="text1"/>
          <w:sz w:val="24"/>
          <w:szCs w:val="24"/>
          <w:shd w:val="clear" w:color="auto" w:fill="FFFFFF"/>
        </w:rPr>
        <w:t>26</w:t>
      </w:r>
      <w:r w:rsidRPr="00631DE0">
        <w:rPr>
          <w:rFonts w:ascii="Times New Roman" w:hAnsi="Times New Roman" w:cs="Times New Roman"/>
          <w:color w:val="000000" w:themeColor="text1"/>
          <w:sz w:val="24"/>
          <w:szCs w:val="24"/>
          <w:shd w:val="clear" w:color="auto" w:fill="FFFFFF"/>
        </w:rPr>
        <w:t>(7), pp.893-911.</w:t>
      </w:r>
    </w:p>
    <w:p w14:paraId="7B2B276C" w14:textId="64206BEF" w:rsidR="006E4288" w:rsidRPr="00631DE0" w:rsidRDefault="006E4288"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Raimo, </w:t>
      </w:r>
      <w:r w:rsidR="00537D22" w:rsidRPr="00631DE0">
        <w:rPr>
          <w:rFonts w:ascii="Times New Roman" w:hAnsi="Times New Roman" w:cs="Times New Roman"/>
          <w:color w:val="000000" w:themeColor="text1"/>
          <w:sz w:val="24"/>
          <w:szCs w:val="24"/>
        </w:rPr>
        <w:t>C</w:t>
      </w:r>
      <w:r w:rsidRPr="00631DE0">
        <w:rPr>
          <w:rFonts w:ascii="Times New Roman" w:hAnsi="Times New Roman" w:cs="Times New Roman"/>
          <w:color w:val="000000" w:themeColor="text1"/>
          <w:sz w:val="24"/>
          <w:szCs w:val="24"/>
        </w:rPr>
        <w:t>., Caragnano, A., Zito, M., Vitolla, F.</w:t>
      </w:r>
      <w:r w:rsidR="00537D22"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Mariani, M. (2021) </w:t>
      </w:r>
      <w:r w:rsidR="00537D22"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Extending the benefits of ESG disclosure: the effect on the cost of debt financing</w:t>
      </w:r>
      <w:r w:rsidR="00537D22"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Corporate Social Responsibility and</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Environmental Management</w:t>
      </w:r>
      <w:r w:rsidRPr="00631DE0">
        <w:rPr>
          <w:rFonts w:ascii="Times New Roman" w:hAnsi="Times New Roman" w:cs="Times New Roman"/>
          <w:color w:val="000000" w:themeColor="text1"/>
          <w:sz w:val="24"/>
          <w:szCs w:val="24"/>
        </w:rPr>
        <w:t>,</w:t>
      </w:r>
      <w:r w:rsidR="00537D22"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28</w:t>
      </w:r>
      <w:r w:rsidR="00537D22"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4</w:t>
      </w:r>
      <w:r w:rsidR="00537D22" w:rsidRPr="00631DE0">
        <w:rPr>
          <w:rFonts w:ascii="Times New Roman" w:hAnsi="Times New Roman" w:cs="Times New Roman"/>
          <w:color w:val="000000" w:themeColor="text1"/>
          <w:sz w:val="24"/>
          <w:szCs w:val="24"/>
        </w:rPr>
        <w:t>), PP. 1412-1421</w:t>
      </w:r>
      <w:r w:rsidR="005C32B1" w:rsidRPr="00631DE0">
        <w:rPr>
          <w:rFonts w:ascii="Times New Roman" w:hAnsi="Times New Roman" w:cs="Times New Roman"/>
          <w:color w:val="000000" w:themeColor="text1"/>
          <w:sz w:val="24"/>
          <w:szCs w:val="24"/>
        </w:rPr>
        <w:t>.</w:t>
      </w:r>
    </w:p>
    <w:p w14:paraId="5262A951" w14:textId="247E2B7E" w:rsidR="007C2882" w:rsidRPr="00631DE0" w:rsidRDefault="007C2882"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Rezaee, Z. (2016) ‘Business sustainability research: a theoretical and integrated perspective’, </w:t>
      </w:r>
      <w:r w:rsidRPr="00631DE0">
        <w:rPr>
          <w:rFonts w:ascii="Times New Roman" w:hAnsi="Times New Roman" w:cs="Times New Roman"/>
          <w:i/>
          <w:iCs/>
          <w:color w:val="000000" w:themeColor="text1"/>
          <w:sz w:val="24"/>
          <w:szCs w:val="24"/>
        </w:rPr>
        <w:t>Journal of Accounting Literature</w:t>
      </w:r>
      <w:r w:rsidRPr="00631DE0">
        <w:rPr>
          <w:rFonts w:ascii="Times New Roman" w:hAnsi="Times New Roman" w:cs="Times New Roman"/>
          <w:color w:val="000000" w:themeColor="text1"/>
          <w:sz w:val="24"/>
          <w:szCs w:val="24"/>
        </w:rPr>
        <w:t>, 36 (1), 48-57.</w:t>
      </w:r>
    </w:p>
    <w:p w14:paraId="028497D7" w14:textId="1729407E" w:rsidR="007A0AF7" w:rsidRPr="00631DE0" w:rsidRDefault="003F5165"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Scobie, M., Lee, B., Smyth, S. </w:t>
      </w:r>
      <w:r w:rsidR="005C32B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2020</w:t>
      </w:r>
      <w:r w:rsidR="005C32B1" w:rsidRPr="00631DE0">
        <w:rPr>
          <w:rFonts w:ascii="Times New Roman" w:hAnsi="Times New Roman" w:cs="Times New Roman"/>
          <w:color w:val="000000" w:themeColor="text1"/>
          <w:sz w:val="24"/>
          <w:szCs w:val="24"/>
        </w:rPr>
        <w:t>) ‘G</w:t>
      </w:r>
      <w:r w:rsidRPr="00631DE0">
        <w:rPr>
          <w:rFonts w:ascii="Times New Roman" w:hAnsi="Times New Roman" w:cs="Times New Roman"/>
          <w:color w:val="000000" w:themeColor="text1"/>
          <w:sz w:val="24"/>
          <w:szCs w:val="24"/>
        </w:rPr>
        <w:t>rounded accountability and</w:t>
      </w:r>
      <w:r w:rsidR="005C32B1" w:rsidRPr="00631DE0">
        <w:rPr>
          <w:rFonts w:ascii="Times New Roman" w:hAnsi="Times New Roman" w:cs="Times New Roman"/>
          <w:color w:val="000000" w:themeColor="text1"/>
          <w:sz w:val="24"/>
          <w:szCs w:val="24"/>
        </w:rPr>
        <w:t xml:space="preserve"> an</w:t>
      </w:r>
      <w:r w:rsidRPr="00631DE0">
        <w:rPr>
          <w:rFonts w:ascii="Times New Roman" w:hAnsi="Times New Roman" w:cs="Times New Roman"/>
          <w:color w:val="000000" w:themeColor="text1"/>
          <w:sz w:val="24"/>
          <w:szCs w:val="24"/>
        </w:rPr>
        <w:t xml:space="preserve"> </w:t>
      </w:r>
      <w:r w:rsidR="005C32B1" w:rsidRPr="00631DE0">
        <w:rPr>
          <w:rFonts w:ascii="Times New Roman" w:hAnsi="Times New Roman" w:cs="Times New Roman"/>
          <w:color w:val="000000" w:themeColor="text1"/>
          <w:sz w:val="24"/>
          <w:szCs w:val="24"/>
        </w:rPr>
        <w:t>i</w:t>
      </w:r>
      <w:r w:rsidRPr="00631DE0">
        <w:rPr>
          <w:rFonts w:ascii="Times New Roman" w:hAnsi="Times New Roman" w:cs="Times New Roman"/>
          <w:color w:val="000000" w:themeColor="text1"/>
          <w:sz w:val="24"/>
          <w:szCs w:val="24"/>
        </w:rPr>
        <w:t>ndigenous self- determination</w:t>
      </w:r>
      <w:r w:rsidR="005C32B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Crit</w:t>
      </w:r>
      <w:r w:rsidR="005C32B1" w:rsidRPr="00631DE0">
        <w:rPr>
          <w:rFonts w:ascii="Times New Roman" w:hAnsi="Times New Roman" w:cs="Times New Roman"/>
          <w:i/>
          <w:iCs/>
          <w:color w:val="000000" w:themeColor="text1"/>
          <w:sz w:val="24"/>
          <w:szCs w:val="24"/>
        </w:rPr>
        <w:t>ical</w:t>
      </w:r>
      <w:r w:rsidRPr="00631DE0">
        <w:rPr>
          <w:rFonts w:ascii="Times New Roman" w:hAnsi="Times New Roman" w:cs="Times New Roman"/>
          <w:i/>
          <w:iCs/>
          <w:color w:val="000000" w:themeColor="text1"/>
          <w:sz w:val="24"/>
          <w:szCs w:val="24"/>
        </w:rPr>
        <w:t xml:space="preserve"> Perspect</w:t>
      </w:r>
      <w:r w:rsidR="005C32B1" w:rsidRPr="00631DE0">
        <w:rPr>
          <w:rFonts w:ascii="Times New Roman" w:hAnsi="Times New Roman" w:cs="Times New Roman"/>
          <w:i/>
          <w:iCs/>
          <w:color w:val="000000" w:themeColor="text1"/>
          <w:sz w:val="24"/>
          <w:szCs w:val="24"/>
        </w:rPr>
        <w:t>ive</w:t>
      </w:r>
      <w:r w:rsidRPr="00631DE0">
        <w:rPr>
          <w:rFonts w:ascii="Times New Roman" w:hAnsi="Times New Roman" w:cs="Times New Roman"/>
          <w:i/>
          <w:iCs/>
          <w:color w:val="000000" w:themeColor="text1"/>
          <w:sz w:val="24"/>
          <w:szCs w:val="24"/>
        </w:rPr>
        <w:t xml:space="preserve"> Account</w:t>
      </w:r>
      <w:r w:rsidR="005C32B1" w:rsidRPr="00631DE0">
        <w:rPr>
          <w:rFonts w:ascii="Times New Roman" w:hAnsi="Times New Roman" w:cs="Times New Roman"/>
          <w:i/>
          <w:iCs/>
          <w:color w:val="000000" w:themeColor="text1"/>
          <w:sz w:val="24"/>
          <w:szCs w:val="24"/>
        </w:rPr>
        <w:t>ing</w:t>
      </w:r>
      <w:r w:rsidRPr="00631DE0">
        <w:rPr>
          <w:rFonts w:ascii="Times New Roman" w:hAnsi="Times New Roman" w:cs="Times New Roman"/>
          <w:color w:val="000000" w:themeColor="text1"/>
          <w:sz w:val="24"/>
          <w:szCs w:val="24"/>
        </w:rPr>
        <w:t>,</w:t>
      </w:r>
      <w:r w:rsidR="005C32B1" w:rsidRPr="00631DE0">
        <w:rPr>
          <w:rFonts w:ascii="Times New Roman" w:hAnsi="Times New Roman" w:cs="Times New Roman"/>
          <w:color w:val="000000" w:themeColor="text1"/>
          <w:sz w:val="24"/>
          <w:szCs w:val="24"/>
        </w:rPr>
        <w:t xml:space="preserve"> p.</w:t>
      </w:r>
      <w:r w:rsidRPr="00631DE0">
        <w:rPr>
          <w:rFonts w:ascii="Times New Roman" w:hAnsi="Times New Roman" w:cs="Times New Roman"/>
          <w:color w:val="000000" w:themeColor="text1"/>
          <w:sz w:val="24"/>
          <w:szCs w:val="24"/>
        </w:rPr>
        <w:t>102198</w:t>
      </w:r>
    </w:p>
    <w:p w14:paraId="62988416" w14:textId="4C0540A7" w:rsidR="00E53C63" w:rsidRPr="00631DE0" w:rsidRDefault="00E53C63"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Stuebs, M.</w:t>
      </w:r>
      <w:r w:rsidR="005C32B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Sun, L.</w:t>
      </w:r>
      <w:r w:rsidR="005C32B1"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2015</w:t>
      </w:r>
      <w:r w:rsidR="005C32B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005C32B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Corporate governance and social responsibility</w:t>
      </w:r>
      <w:r w:rsidR="005C32B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International Journal of Law and Management</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57</w:t>
      </w:r>
      <w:r w:rsidRPr="00631DE0">
        <w:rPr>
          <w:rFonts w:ascii="Times New Roman" w:hAnsi="Times New Roman" w:cs="Times New Roman"/>
          <w:color w:val="000000" w:themeColor="text1"/>
          <w:sz w:val="24"/>
          <w:szCs w:val="24"/>
        </w:rPr>
        <w:t>(1), pp.38-52.</w:t>
      </w:r>
    </w:p>
    <w:p w14:paraId="4FCC919F" w14:textId="0D229B04" w:rsidR="00B11A36" w:rsidRPr="00631DE0" w:rsidRDefault="00B11A36"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Suchman, M. (1995) ‘Managing </w:t>
      </w:r>
      <w:r w:rsidR="005C32B1" w:rsidRPr="00631DE0">
        <w:rPr>
          <w:rFonts w:ascii="Times New Roman" w:hAnsi="Times New Roman" w:cs="Times New Roman"/>
          <w:color w:val="000000" w:themeColor="text1"/>
          <w:sz w:val="24"/>
          <w:szCs w:val="24"/>
        </w:rPr>
        <w:t>l</w:t>
      </w:r>
      <w:r w:rsidRPr="00631DE0">
        <w:rPr>
          <w:rFonts w:ascii="Times New Roman" w:hAnsi="Times New Roman" w:cs="Times New Roman"/>
          <w:color w:val="000000" w:themeColor="text1"/>
          <w:sz w:val="24"/>
          <w:szCs w:val="24"/>
        </w:rPr>
        <w:t xml:space="preserve">egitimacy: </w:t>
      </w:r>
      <w:r w:rsidR="005C32B1" w:rsidRPr="00631DE0">
        <w:rPr>
          <w:rFonts w:ascii="Times New Roman" w:hAnsi="Times New Roman" w:cs="Times New Roman"/>
          <w:color w:val="000000" w:themeColor="text1"/>
          <w:sz w:val="24"/>
          <w:szCs w:val="24"/>
        </w:rPr>
        <w:t>s</w:t>
      </w:r>
      <w:r w:rsidRPr="00631DE0">
        <w:rPr>
          <w:rFonts w:ascii="Times New Roman" w:hAnsi="Times New Roman" w:cs="Times New Roman"/>
          <w:color w:val="000000" w:themeColor="text1"/>
          <w:sz w:val="24"/>
          <w:szCs w:val="24"/>
        </w:rPr>
        <w:t xml:space="preserve">trategic and </w:t>
      </w:r>
      <w:r w:rsidR="005C32B1" w:rsidRPr="00631DE0">
        <w:rPr>
          <w:rFonts w:ascii="Times New Roman" w:hAnsi="Times New Roman" w:cs="Times New Roman"/>
          <w:color w:val="000000" w:themeColor="text1"/>
          <w:sz w:val="24"/>
          <w:szCs w:val="24"/>
        </w:rPr>
        <w:t>i</w:t>
      </w:r>
      <w:r w:rsidRPr="00631DE0">
        <w:rPr>
          <w:rFonts w:ascii="Times New Roman" w:hAnsi="Times New Roman" w:cs="Times New Roman"/>
          <w:color w:val="000000" w:themeColor="text1"/>
          <w:sz w:val="24"/>
          <w:szCs w:val="24"/>
        </w:rPr>
        <w:t xml:space="preserve">nstitutional </w:t>
      </w:r>
      <w:r w:rsidR="005C32B1" w:rsidRPr="00631DE0">
        <w:rPr>
          <w:rFonts w:ascii="Times New Roman" w:hAnsi="Times New Roman" w:cs="Times New Roman"/>
          <w:color w:val="000000" w:themeColor="text1"/>
          <w:sz w:val="24"/>
          <w:szCs w:val="24"/>
        </w:rPr>
        <w:t>a</w:t>
      </w:r>
      <w:r w:rsidRPr="00631DE0">
        <w:rPr>
          <w:rFonts w:ascii="Times New Roman" w:hAnsi="Times New Roman" w:cs="Times New Roman"/>
          <w:color w:val="000000" w:themeColor="text1"/>
          <w:sz w:val="24"/>
          <w:szCs w:val="24"/>
        </w:rPr>
        <w:t xml:space="preserve">pproaches’, </w:t>
      </w:r>
      <w:r w:rsidRPr="00631DE0">
        <w:rPr>
          <w:rFonts w:ascii="Times New Roman" w:hAnsi="Times New Roman" w:cs="Times New Roman"/>
          <w:i/>
          <w:iCs/>
          <w:color w:val="000000" w:themeColor="text1"/>
          <w:sz w:val="24"/>
          <w:szCs w:val="24"/>
        </w:rPr>
        <w:t>Academy of Management Review</w:t>
      </w:r>
      <w:r w:rsidRPr="00631DE0">
        <w:rPr>
          <w:rFonts w:ascii="Times New Roman" w:hAnsi="Times New Roman" w:cs="Times New Roman"/>
          <w:color w:val="000000" w:themeColor="text1"/>
          <w:sz w:val="24"/>
          <w:szCs w:val="24"/>
        </w:rPr>
        <w:t>, 20</w:t>
      </w:r>
      <w:r w:rsidR="005C32B1"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3</w:t>
      </w:r>
      <w:r w:rsidR="005C32B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pp. 571–610.</w:t>
      </w:r>
    </w:p>
    <w:p w14:paraId="32C3F095" w14:textId="3FECD2E1" w:rsidR="00A7759F" w:rsidRPr="00631DE0" w:rsidRDefault="00A7759F"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Tadros, H., Magnan, M. (2019) ‘How does environmental performance map into environmental disclosure? a look at underlying economic incentives and legitimacy aims’, </w:t>
      </w:r>
      <w:r w:rsidRPr="00631DE0">
        <w:rPr>
          <w:rFonts w:ascii="Times New Roman" w:hAnsi="Times New Roman" w:cs="Times New Roman"/>
          <w:i/>
          <w:iCs/>
          <w:color w:val="000000" w:themeColor="text1"/>
          <w:sz w:val="24"/>
          <w:szCs w:val="24"/>
        </w:rPr>
        <w:t>Sustainability</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Accounting, Management and Policy Journal</w:t>
      </w:r>
      <w:r w:rsidRPr="00631DE0">
        <w:rPr>
          <w:rFonts w:ascii="Times New Roman" w:hAnsi="Times New Roman" w:cs="Times New Roman"/>
          <w:color w:val="000000" w:themeColor="text1"/>
          <w:sz w:val="24"/>
          <w:szCs w:val="24"/>
        </w:rPr>
        <w:t>, 10(1), pp. 62–96</w:t>
      </w:r>
    </w:p>
    <w:p w14:paraId="4F355878" w14:textId="4C8FE03D" w:rsidR="00ED7A97" w:rsidRPr="00631DE0" w:rsidRDefault="003153A9"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Tang, Q.</w:t>
      </w:r>
      <w:r w:rsidR="005C32B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Luo, L.</w:t>
      </w:r>
      <w:r w:rsidR="005C32B1"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2016</w:t>
      </w:r>
      <w:r w:rsidR="005C32B1"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005C32B1" w:rsidRPr="00631DE0">
        <w:rPr>
          <w:rFonts w:ascii="Times New Roman" w:hAnsi="Times New Roman" w:cs="Times New Roman"/>
          <w:color w:val="000000" w:themeColor="text1"/>
          <w:sz w:val="24"/>
          <w:szCs w:val="24"/>
        </w:rPr>
        <w:t xml:space="preserve">‘Corporate ecological transparency: theories and empirical evidence’, </w:t>
      </w:r>
      <w:r w:rsidR="005C32B1" w:rsidRPr="00631DE0">
        <w:rPr>
          <w:rFonts w:ascii="Times New Roman" w:hAnsi="Times New Roman" w:cs="Times New Roman"/>
          <w:i/>
          <w:iCs/>
          <w:color w:val="000000" w:themeColor="text1"/>
          <w:sz w:val="24"/>
          <w:szCs w:val="24"/>
        </w:rPr>
        <w:t>Asian Review of Accounting</w:t>
      </w:r>
      <w:r w:rsidR="005C32B1" w:rsidRPr="00631DE0">
        <w:rPr>
          <w:rFonts w:ascii="Times New Roman" w:hAnsi="Times New Roman" w:cs="Times New Roman"/>
          <w:color w:val="000000" w:themeColor="text1"/>
          <w:sz w:val="24"/>
          <w:szCs w:val="24"/>
        </w:rPr>
        <w:t>, 24 (4), pp. 498-524.</w:t>
      </w:r>
    </w:p>
    <w:p w14:paraId="4541581E" w14:textId="5D66248A" w:rsidR="001736B5" w:rsidRPr="00631DE0" w:rsidRDefault="001736B5"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Tauringana, V., Chithambo, L. (2015) ‘The effect of DEFRA guidance on greenhouse gas disclosure’, </w:t>
      </w:r>
      <w:r w:rsidRPr="00631DE0">
        <w:rPr>
          <w:rFonts w:ascii="Times New Roman" w:hAnsi="Times New Roman" w:cs="Times New Roman"/>
          <w:i/>
          <w:iCs/>
          <w:color w:val="000000" w:themeColor="text1"/>
          <w:sz w:val="24"/>
          <w:szCs w:val="24"/>
        </w:rPr>
        <w:t>The British Accounting Review</w:t>
      </w:r>
      <w:r w:rsidRPr="00631DE0">
        <w:rPr>
          <w:rFonts w:ascii="Times New Roman" w:hAnsi="Times New Roman" w:cs="Times New Roman"/>
          <w:color w:val="000000" w:themeColor="text1"/>
          <w:sz w:val="24"/>
          <w:szCs w:val="24"/>
        </w:rPr>
        <w:t>, 47(4), 425–444.</w:t>
      </w:r>
    </w:p>
    <w:p w14:paraId="51D8A942" w14:textId="62F7489A" w:rsidR="00791DCB" w:rsidRPr="00631DE0" w:rsidRDefault="00791DCB"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Thijssens, T., Bollen, L., Hassink, H. (2015)</w:t>
      </w:r>
      <w:r w:rsidR="005C32B1" w:rsidRPr="00631DE0">
        <w:rPr>
          <w:rFonts w:ascii="Times New Roman" w:hAnsi="Times New Roman" w:cs="Times New Roman"/>
          <w:color w:val="000000" w:themeColor="text1"/>
          <w:sz w:val="24"/>
          <w:szCs w:val="24"/>
          <w:shd w:val="clear" w:color="auto" w:fill="FFFFFF"/>
        </w:rPr>
        <w:t xml:space="preserve"> ‘</w:t>
      </w:r>
      <w:r w:rsidRPr="00631DE0">
        <w:rPr>
          <w:rFonts w:ascii="Times New Roman" w:hAnsi="Times New Roman" w:cs="Times New Roman"/>
          <w:color w:val="000000" w:themeColor="text1"/>
          <w:sz w:val="24"/>
          <w:szCs w:val="24"/>
          <w:shd w:val="clear" w:color="auto" w:fill="FFFFFF"/>
        </w:rPr>
        <w:t>Secondary stakeholder influence on</w:t>
      </w:r>
      <w:r w:rsidR="005C32B1" w:rsidRPr="00631DE0">
        <w:rPr>
          <w:rFonts w:ascii="Times New Roman" w:hAnsi="Times New Roman" w:cs="Times New Roman"/>
          <w:color w:val="000000" w:themeColor="text1"/>
          <w:sz w:val="24"/>
          <w:szCs w:val="24"/>
          <w:shd w:val="clear" w:color="auto" w:fill="FFFFFF"/>
        </w:rPr>
        <w:t xml:space="preserve"> the</w:t>
      </w:r>
      <w:r w:rsidRPr="00631DE0">
        <w:rPr>
          <w:rFonts w:ascii="Times New Roman" w:hAnsi="Times New Roman" w:cs="Times New Roman"/>
          <w:color w:val="000000" w:themeColor="text1"/>
          <w:sz w:val="24"/>
          <w:szCs w:val="24"/>
          <w:shd w:val="clear" w:color="auto" w:fill="FFFFFF"/>
        </w:rPr>
        <w:t xml:space="preserve"> CSR disclosure: </w:t>
      </w:r>
      <w:r w:rsidR="005C32B1" w:rsidRPr="00631DE0">
        <w:rPr>
          <w:rFonts w:ascii="Times New Roman" w:hAnsi="Times New Roman" w:cs="Times New Roman"/>
          <w:color w:val="000000" w:themeColor="text1"/>
          <w:sz w:val="24"/>
          <w:szCs w:val="24"/>
          <w:shd w:val="clear" w:color="auto" w:fill="FFFFFF"/>
        </w:rPr>
        <w:t>a</w:t>
      </w:r>
      <w:r w:rsidRPr="00631DE0">
        <w:rPr>
          <w:rFonts w:ascii="Times New Roman" w:hAnsi="Times New Roman" w:cs="Times New Roman"/>
          <w:color w:val="000000" w:themeColor="text1"/>
          <w:sz w:val="24"/>
          <w:szCs w:val="24"/>
          <w:shd w:val="clear" w:color="auto" w:fill="FFFFFF"/>
        </w:rPr>
        <w:t>n application of stakeholder salience theory</w:t>
      </w:r>
      <w:r w:rsidR="005C32B1"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 </w:t>
      </w:r>
      <w:r w:rsidRPr="00631DE0">
        <w:rPr>
          <w:rFonts w:ascii="Times New Roman" w:hAnsi="Times New Roman" w:cs="Times New Roman"/>
          <w:i/>
          <w:iCs/>
          <w:color w:val="000000" w:themeColor="text1"/>
          <w:sz w:val="24"/>
          <w:szCs w:val="24"/>
          <w:shd w:val="clear" w:color="auto" w:fill="FFFFFF"/>
        </w:rPr>
        <w:t>Journal of Business Ethics</w:t>
      </w:r>
      <w:r w:rsidRPr="00631DE0">
        <w:rPr>
          <w:rFonts w:ascii="Times New Roman" w:hAnsi="Times New Roman" w:cs="Times New Roman"/>
          <w:color w:val="000000" w:themeColor="text1"/>
          <w:sz w:val="24"/>
          <w:szCs w:val="24"/>
          <w:shd w:val="clear" w:color="auto" w:fill="FFFFFF"/>
        </w:rPr>
        <w:t xml:space="preserve">, 132(4), </w:t>
      </w:r>
      <w:r w:rsidR="005C32B1" w:rsidRPr="00631DE0">
        <w:rPr>
          <w:rFonts w:ascii="Times New Roman" w:hAnsi="Times New Roman" w:cs="Times New Roman"/>
          <w:color w:val="000000" w:themeColor="text1"/>
          <w:sz w:val="24"/>
          <w:szCs w:val="24"/>
          <w:shd w:val="clear" w:color="auto" w:fill="FFFFFF"/>
        </w:rPr>
        <w:t xml:space="preserve">pp. </w:t>
      </w:r>
      <w:r w:rsidRPr="00631DE0">
        <w:rPr>
          <w:rFonts w:ascii="Times New Roman" w:hAnsi="Times New Roman" w:cs="Times New Roman"/>
          <w:color w:val="000000" w:themeColor="text1"/>
          <w:sz w:val="24"/>
          <w:szCs w:val="24"/>
          <w:shd w:val="clear" w:color="auto" w:fill="FFFFFF"/>
        </w:rPr>
        <w:t xml:space="preserve">873–891. </w:t>
      </w:r>
    </w:p>
    <w:p w14:paraId="67DD28C1" w14:textId="111EBB28" w:rsidR="00EA5F99" w:rsidRPr="00631DE0" w:rsidRDefault="00EA5F99"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Thorne, L., Mahoney, L.</w:t>
      </w:r>
      <w:r w:rsidR="005C32B1"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 Manetti, G. </w:t>
      </w:r>
      <w:r w:rsidR="005C32B1"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2014</w:t>
      </w:r>
      <w:r w:rsidR="005C32B1" w:rsidRPr="00631DE0">
        <w:rPr>
          <w:rFonts w:ascii="Times New Roman" w:hAnsi="Times New Roman" w:cs="Times New Roman"/>
          <w:color w:val="000000" w:themeColor="text1"/>
          <w:sz w:val="24"/>
          <w:szCs w:val="24"/>
          <w:shd w:val="clear" w:color="auto" w:fill="FFFFFF"/>
        </w:rPr>
        <w:t>) ‘</w:t>
      </w:r>
      <w:r w:rsidRPr="00631DE0">
        <w:rPr>
          <w:rFonts w:ascii="Times New Roman" w:hAnsi="Times New Roman" w:cs="Times New Roman"/>
          <w:color w:val="000000" w:themeColor="text1"/>
          <w:sz w:val="24"/>
          <w:szCs w:val="24"/>
          <w:shd w:val="clear" w:color="auto" w:fill="FFFFFF"/>
        </w:rPr>
        <w:t xml:space="preserve">Motivations for issuing standalone CSR reports: </w:t>
      </w:r>
      <w:r w:rsidR="005C32B1" w:rsidRPr="00631DE0">
        <w:rPr>
          <w:rFonts w:ascii="Times New Roman" w:hAnsi="Times New Roman" w:cs="Times New Roman"/>
          <w:color w:val="000000" w:themeColor="text1"/>
          <w:sz w:val="24"/>
          <w:szCs w:val="24"/>
          <w:shd w:val="clear" w:color="auto" w:fill="FFFFFF"/>
        </w:rPr>
        <w:t>a</w:t>
      </w:r>
      <w:r w:rsidRPr="00631DE0">
        <w:rPr>
          <w:rFonts w:ascii="Times New Roman" w:hAnsi="Times New Roman" w:cs="Times New Roman"/>
          <w:color w:val="000000" w:themeColor="text1"/>
          <w:sz w:val="24"/>
          <w:szCs w:val="24"/>
          <w:shd w:val="clear" w:color="auto" w:fill="FFFFFF"/>
        </w:rPr>
        <w:t xml:space="preserve"> survey of Canadian firms</w:t>
      </w:r>
      <w:r w:rsidR="005C32B1"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w:t>
      </w:r>
      <w:r w:rsidRPr="00631DE0">
        <w:rPr>
          <w:rFonts w:ascii="Times New Roman" w:hAnsi="Times New Roman" w:cs="Times New Roman"/>
          <w:i/>
          <w:iCs/>
          <w:color w:val="000000" w:themeColor="text1"/>
          <w:sz w:val="24"/>
          <w:szCs w:val="24"/>
          <w:shd w:val="clear" w:color="auto" w:fill="FFFFFF"/>
        </w:rPr>
        <w:t>Accounting, Auditing &amp; Accountability Journal</w:t>
      </w:r>
      <w:r w:rsidRPr="00631DE0">
        <w:rPr>
          <w:rFonts w:ascii="Times New Roman" w:hAnsi="Times New Roman" w:cs="Times New Roman"/>
          <w:color w:val="000000" w:themeColor="text1"/>
          <w:sz w:val="24"/>
          <w:szCs w:val="24"/>
          <w:shd w:val="clear" w:color="auto" w:fill="FFFFFF"/>
        </w:rPr>
        <w:t>, </w:t>
      </w:r>
      <w:r w:rsidRPr="00631DE0">
        <w:rPr>
          <w:rFonts w:ascii="Times New Roman" w:hAnsi="Times New Roman" w:cs="Times New Roman"/>
          <w:i/>
          <w:iCs/>
          <w:color w:val="000000" w:themeColor="text1"/>
          <w:sz w:val="24"/>
          <w:szCs w:val="24"/>
          <w:shd w:val="clear" w:color="auto" w:fill="FFFFFF"/>
        </w:rPr>
        <w:t>27</w:t>
      </w:r>
      <w:r w:rsidRPr="00631DE0">
        <w:rPr>
          <w:rFonts w:ascii="Times New Roman" w:hAnsi="Times New Roman" w:cs="Times New Roman"/>
          <w:color w:val="000000" w:themeColor="text1"/>
          <w:sz w:val="24"/>
          <w:szCs w:val="24"/>
          <w:shd w:val="clear" w:color="auto" w:fill="FFFFFF"/>
        </w:rPr>
        <w:t>(4), pp.686-714.</w:t>
      </w:r>
    </w:p>
    <w:p w14:paraId="2D429E96" w14:textId="1A5D1231" w:rsidR="00ED7A97" w:rsidRPr="00631DE0" w:rsidRDefault="00ED7A97"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rPr>
        <w:t xml:space="preserve">Traxler, A.; Greiling, D.; Hebesberger, H. (2018) ‘GRI sustainability reporting by INGOs: A way forward for improving accountability’, </w:t>
      </w:r>
      <w:r w:rsidRPr="00631DE0">
        <w:rPr>
          <w:rFonts w:ascii="Times New Roman" w:hAnsi="Times New Roman" w:cs="Times New Roman"/>
          <w:i/>
          <w:iCs/>
          <w:color w:val="000000" w:themeColor="text1"/>
          <w:sz w:val="24"/>
          <w:szCs w:val="24"/>
        </w:rPr>
        <w:t>VOLUNTAS Int. J. Volunt. Nonprofit Organ</w:t>
      </w:r>
      <w:r w:rsidRPr="00631DE0">
        <w:rPr>
          <w:rFonts w:ascii="Times New Roman" w:hAnsi="Times New Roman" w:cs="Times New Roman"/>
          <w:color w:val="000000" w:themeColor="text1"/>
          <w:sz w:val="24"/>
          <w:szCs w:val="24"/>
        </w:rPr>
        <w:t>, 31, PP. 1294–1310.</w:t>
      </w:r>
    </w:p>
    <w:p w14:paraId="00EB8BE5" w14:textId="08B26012" w:rsidR="0088705C" w:rsidRPr="00631DE0" w:rsidRDefault="0088705C"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shd w:val="clear" w:color="auto" w:fill="FFFFFF"/>
        </w:rPr>
      </w:pPr>
      <w:r w:rsidRPr="00631DE0">
        <w:rPr>
          <w:rFonts w:ascii="Times New Roman" w:hAnsi="Times New Roman" w:cs="Times New Roman"/>
          <w:color w:val="000000" w:themeColor="text1"/>
          <w:sz w:val="24"/>
          <w:szCs w:val="24"/>
          <w:shd w:val="clear" w:color="auto" w:fill="FFFFFF"/>
        </w:rPr>
        <w:t xml:space="preserve">UNDP (2020) </w:t>
      </w:r>
      <w:r w:rsidRPr="00631DE0">
        <w:rPr>
          <w:rFonts w:ascii="Times New Roman" w:hAnsi="Times New Roman" w:cs="Times New Roman"/>
          <w:i/>
          <w:iCs/>
          <w:color w:val="000000" w:themeColor="text1"/>
          <w:sz w:val="24"/>
          <w:szCs w:val="24"/>
          <w:shd w:val="clear" w:color="auto" w:fill="FFFFFF"/>
        </w:rPr>
        <w:t xml:space="preserve">The next </w:t>
      </w:r>
      <w:r w:rsidR="00C54BF4" w:rsidRPr="00631DE0">
        <w:rPr>
          <w:rFonts w:ascii="Times New Roman" w:hAnsi="Times New Roman" w:cs="Times New Roman"/>
          <w:i/>
          <w:iCs/>
          <w:color w:val="000000" w:themeColor="text1"/>
          <w:sz w:val="24"/>
          <w:szCs w:val="24"/>
          <w:shd w:val="clear" w:color="auto" w:fill="FFFFFF"/>
        </w:rPr>
        <w:t>f</w:t>
      </w:r>
      <w:r w:rsidRPr="00631DE0">
        <w:rPr>
          <w:rFonts w:ascii="Times New Roman" w:hAnsi="Times New Roman" w:cs="Times New Roman"/>
          <w:i/>
          <w:iCs/>
          <w:color w:val="000000" w:themeColor="text1"/>
          <w:sz w:val="24"/>
          <w:szCs w:val="24"/>
          <w:shd w:val="clear" w:color="auto" w:fill="FFFFFF"/>
        </w:rPr>
        <w:t xml:space="preserve">rontier: human development and the </w:t>
      </w:r>
      <w:r w:rsidR="00C54BF4" w:rsidRPr="00631DE0">
        <w:rPr>
          <w:rFonts w:ascii="Times New Roman" w:hAnsi="Times New Roman" w:cs="Times New Roman"/>
          <w:i/>
          <w:iCs/>
          <w:color w:val="000000" w:themeColor="text1"/>
          <w:sz w:val="24"/>
          <w:szCs w:val="24"/>
          <w:shd w:val="clear" w:color="auto" w:fill="FFFFFF"/>
        </w:rPr>
        <w:t>a</w:t>
      </w:r>
      <w:r w:rsidRPr="00631DE0">
        <w:rPr>
          <w:rFonts w:ascii="Times New Roman" w:hAnsi="Times New Roman" w:cs="Times New Roman"/>
          <w:i/>
          <w:iCs/>
          <w:color w:val="000000" w:themeColor="text1"/>
          <w:sz w:val="24"/>
          <w:szCs w:val="24"/>
          <w:shd w:val="clear" w:color="auto" w:fill="FFFFFF"/>
        </w:rPr>
        <w:t>nthropocene</w:t>
      </w:r>
      <w:r w:rsidR="00C54BF4"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 New York</w:t>
      </w:r>
      <w:r w:rsidR="00C54BF4" w:rsidRPr="00631DE0">
        <w:rPr>
          <w:rFonts w:ascii="Times New Roman" w:hAnsi="Times New Roman" w:cs="Times New Roman"/>
          <w:color w:val="000000" w:themeColor="text1"/>
          <w:sz w:val="24"/>
          <w:szCs w:val="24"/>
          <w:shd w:val="clear" w:color="auto" w:fill="FFFFFF"/>
        </w:rPr>
        <w:t>: UNDP.</w:t>
      </w:r>
      <w:r w:rsidRPr="00631DE0">
        <w:rPr>
          <w:rFonts w:ascii="Times New Roman" w:hAnsi="Times New Roman" w:cs="Times New Roman"/>
          <w:color w:val="000000" w:themeColor="text1"/>
          <w:sz w:val="24"/>
          <w:szCs w:val="24"/>
          <w:shd w:val="clear" w:color="auto" w:fill="FFFFFF"/>
        </w:rPr>
        <w:t xml:space="preserve"> </w:t>
      </w:r>
      <w:r w:rsidR="00C54BF4" w:rsidRPr="00631DE0">
        <w:rPr>
          <w:rFonts w:ascii="Times New Roman" w:hAnsi="Times New Roman" w:cs="Times New Roman"/>
          <w:color w:val="000000" w:themeColor="text1"/>
          <w:sz w:val="24"/>
          <w:szCs w:val="24"/>
          <w:shd w:val="clear" w:color="auto" w:fill="FFFFFF"/>
        </w:rPr>
        <w:t>A</w:t>
      </w:r>
      <w:r w:rsidRPr="00631DE0">
        <w:rPr>
          <w:rFonts w:ascii="Times New Roman" w:hAnsi="Times New Roman" w:cs="Times New Roman"/>
          <w:color w:val="000000" w:themeColor="text1"/>
          <w:sz w:val="24"/>
          <w:szCs w:val="24"/>
          <w:shd w:val="clear" w:color="auto" w:fill="FFFFFF"/>
        </w:rPr>
        <w:t>vailable at: http://hdr.undp.org/sites/default/files/hdr2020.pdf (accessed 7 April 202</w:t>
      </w:r>
      <w:r w:rsidR="00C54BF4" w:rsidRPr="00631DE0">
        <w:rPr>
          <w:rFonts w:ascii="Times New Roman" w:hAnsi="Times New Roman" w:cs="Times New Roman"/>
          <w:color w:val="000000" w:themeColor="text1"/>
          <w:sz w:val="24"/>
          <w:szCs w:val="24"/>
          <w:shd w:val="clear" w:color="auto" w:fill="FFFFFF"/>
        </w:rPr>
        <w:t>5</w:t>
      </w:r>
      <w:r w:rsidRPr="00631DE0">
        <w:rPr>
          <w:rFonts w:ascii="Times New Roman" w:hAnsi="Times New Roman" w:cs="Times New Roman"/>
          <w:color w:val="000000" w:themeColor="text1"/>
          <w:sz w:val="24"/>
          <w:szCs w:val="24"/>
          <w:shd w:val="clear" w:color="auto" w:fill="FFFFFF"/>
        </w:rPr>
        <w:t>).</w:t>
      </w:r>
    </w:p>
    <w:p w14:paraId="0AF05021" w14:textId="2040B33E" w:rsidR="00F95F82" w:rsidRPr="00631DE0" w:rsidRDefault="00F95F82"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Unerman,</w:t>
      </w:r>
      <w:r w:rsidR="00C54BF4"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J.,</w:t>
      </w:r>
      <w:r w:rsidR="00C54BF4"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Bebbington,</w:t>
      </w:r>
      <w:r w:rsidR="00C54BF4"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J., O'Dwyer,</w:t>
      </w:r>
      <w:r w:rsidR="00C54BF4" w:rsidRPr="00631DE0">
        <w:rPr>
          <w:rFonts w:ascii="Times New Roman" w:hAnsi="Times New Roman" w:cs="Times New Roman"/>
          <w:color w:val="000000" w:themeColor="text1"/>
          <w:sz w:val="24"/>
          <w:szCs w:val="24"/>
        </w:rPr>
        <w:t xml:space="preserve"> B. (</w:t>
      </w:r>
      <w:r w:rsidRPr="00631DE0">
        <w:rPr>
          <w:rFonts w:ascii="Times New Roman" w:hAnsi="Times New Roman" w:cs="Times New Roman"/>
          <w:color w:val="000000" w:themeColor="text1"/>
          <w:sz w:val="24"/>
          <w:szCs w:val="24"/>
        </w:rPr>
        <w:t>2013)</w:t>
      </w:r>
      <w:r w:rsidR="00C54BF4"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Sustainability accounting and accountability</w:t>
      </w:r>
      <w:r w:rsidRPr="00631DE0">
        <w:rPr>
          <w:rFonts w:ascii="Times New Roman" w:hAnsi="Times New Roman" w:cs="Times New Roman"/>
          <w:color w:val="000000" w:themeColor="text1"/>
          <w:sz w:val="24"/>
          <w:szCs w:val="24"/>
        </w:rPr>
        <w:t xml:space="preserve">. </w:t>
      </w:r>
      <w:r w:rsidR="00C54BF4"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Routledge</w:t>
      </w:r>
      <w:r w:rsidR="00C54BF4" w:rsidRPr="00631DE0">
        <w:rPr>
          <w:rFonts w:ascii="Times New Roman" w:hAnsi="Times New Roman" w:cs="Times New Roman"/>
          <w:color w:val="000000" w:themeColor="text1"/>
          <w:sz w:val="24"/>
          <w:szCs w:val="24"/>
        </w:rPr>
        <w:t xml:space="preserve">  </w:t>
      </w:r>
    </w:p>
    <w:p w14:paraId="38CBCDAA" w14:textId="344A8A91" w:rsidR="0076411A" w:rsidRPr="00631DE0" w:rsidRDefault="0076411A"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Velte, P., Stawinoga, M., &amp; Lueg, R. (2020) ‘Carbon performance and disclosure: A systematic review of governance-related determinants and financial consequences’, </w:t>
      </w:r>
      <w:r w:rsidRPr="00631DE0">
        <w:rPr>
          <w:rFonts w:ascii="Times New Roman" w:hAnsi="Times New Roman" w:cs="Times New Roman"/>
          <w:i/>
          <w:iCs/>
          <w:color w:val="000000" w:themeColor="text1"/>
          <w:sz w:val="24"/>
          <w:szCs w:val="24"/>
        </w:rPr>
        <w:t>Journal of Cleaner</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Production</w:t>
      </w:r>
      <w:r w:rsidRPr="00631DE0">
        <w:rPr>
          <w:rFonts w:ascii="Times New Roman" w:hAnsi="Times New Roman" w:cs="Times New Roman"/>
          <w:color w:val="000000" w:themeColor="text1"/>
          <w:sz w:val="24"/>
          <w:szCs w:val="24"/>
        </w:rPr>
        <w:t>, 254, 120063.</w:t>
      </w:r>
    </w:p>
    <w:p w14:paraId="0FE03BFA" w14:textId="4FB17A4B" w:rsidR="00E544B6" w:rsidRPr="00631DE0" w:rsidRDefault="00E544B6"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lastRenderedPageBreak/>
        <w:t xml:space="preserve">Vestergaard, C. (2015) ‘Greenland, Denmark and the pathway to uranium supplier status’, </w:t>
      </w:r>
      <w:r w:rsidRPr="00631DE0">
        <w:rPr>
          <w:rFonts w:ascii="Times New Roman" w:hAnsi="Times New Roman" w:cs="Times New Roman"/>
          <w:i/>
          <w:iCs/>
          <w:color w:val="000000" w:themeColor="text1"/>
          <w:sz w:val="24"/>
          <w:szCs w:val="24"/>
        </w:rPr>
        <w:t>The Extractive Industries and Society</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2</w:t>
      </w:r>
      <w:r w:rsidRPr="00631DE0">
        <w:rPr>
          <w:rFonts w:ascii="Times New Roman" w:hAnsi="Times New Roman" w:cs="Times New Roman"/>
          <w:color w:val="000000" w:themeColor="text1"/>
          <w:sz w:val="24"/>
          <w:szCs w:val="24"/>
        </w:rPr>
        <w:t>(1), pp.153-161.</w:t>
      </w:r>
    </w:p>
    <w:p w14:paraId="76DC9FD1" w14:textId="57EF413F" w:rsidR="000D3C86" w:rsidRPr="00631DE0" w:rsidRDefault="000D3C86"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Vesty, G. M., Ren, C., Ji, S. (2018)</w:t>
      </w:r>
      <w:r w:rsidR="00B524B9"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Integrated reporting as a test of worth: A conversation with chairman of an integrated reporting pilot organisation</w:t>
      </w:r>
      <w:r w:rsidR="00B524B9"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Accounting, Auditing &amp; Accountability</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Journal</w:t>
      </w:r>
      <w:r w:rsidRPr="00631DE0">
        <w:rPr>
          <w:rFonts w:ascii="Times New Roman" w:hAnsi="Times New Roman" w:cs="Times New Roman"/>
          <w:color w:val="000000" w:themeColor="text1"/>
          <w:sz w:val="24"/>
          <w:szCs w:val="24"/>
        </w:rPr>
        <w:t>, 31(5), 1406–1434.</w:t>
      </w:r>
    </w:p>
    <w:p w14:paraId="256BD36D" w14:textId="342DDFF6" w:rsidR="00C54BF4" w:rsidRPr="00631DE0" w:rsidRDefault="00C54BF4"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Vitolla, F., Raimo, N. (2018) ‘Adoption of integrated reporting: reasons and benefits– a case study analysis’, </w:t>
      </w:r>
      <w:r w:rsidRPr="00631DE0">
        <w:rPr>
          <w:rFonts w:ascii="Times New Roman" w:hAnsi="Times New Roman" w:cs="Times New Roman"/>
          <w:i/>
          <w:iCs/>
          <w:color w:val="000000" w:themeColor="text1"/>
          <w:sz w:val="24"/>
          <w:szCs w:val="24"/>
        </w:rPr>
        <w:t>International Journal of Business and Management</w:t>
      </w:r>
      <w:r w:rsidRPr="00631DE0">
        <w:rPr>
          <w:rFonts w:ascii="Times New Roman" w:hAnsi="Times New Roman" w:cs="Times New Roman"/>
          <w:color w:val="000000" w:themeColor="text1"/>
          <w:sz w:val="24"/>
          <w:szCs w:val="24"/>
        </w:rPr>
        <w:t>, 13(12), pp.244-250.</w:t>
      </w:r>
    </w:p>
    <w:p w14:paraId="4A54B559" w14:textId="1C5BA206" w:rsidR="00A5381F" w:rsidRPr="00631DE0" w:rsidRDefault="00A5381F"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Vitolla, F., Raimo, N.</w:t>
      </w:r>
      <w:r w:rsidR="00C54BF4"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Rubino, M. (2019)</w:t>
      </w:r>
      <w:r w:rsidR="00C54BF4"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Appreciations, criticisms, determinants, and effects of integrated reporting: a systematic literature review</w:t>
      </w:r>
      <w:r w:rsidR="00C54BF4"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Corporate Social Responsibility and Environmental Management</w:t>
      </w:r>
      <w:r w:rsidRPr="00631DE0">
        <w:rPr>
          <w:rFonts w:ascii="Times New Roman" w:hAnsi="Times New Roman" w:cs="Times New Roman"/>
          <w:color w:val="000000" w:themeColor="text1"/>
          <w:sz w:val="24"/>
          <w:szCs w:val="24"/>
        </w:rPr>
        <w:t>, 26</w:t>
      </w:r>
      <w:r w:rsidR="00C54BF4"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2</w:t>
      </w:r>
      <w:r w:rsidR="00C54BF4"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pp.518-528</w:t>
      </w:r>
    </w:p>
    <w:p w14:paraId="71B75C75" w14:textId="4D405A5D" w:rsidR="00FA3525" w:rsidRPr="00631DE0" w:rsidRDefault="00FA3525"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Wang, X., Klemes, J., Dong, X., Fan, W., Xu, Z., Wang, Y., Varbanov</w:t>
      </w:r>
      <w:r w:rsidR="00B524B9" w:rsidRPr="00631DE0">
        <w:rPr>
          <w:rFonts w:ascii="Times New Roman" w:hAnsi="Times New Roman" w:cs="Times New Roman"/>
          <w:color w:val="000000" w:themeColor="text1"/>
          <w:sz w:val="24"/>
          <w:szCs w:val="24"/>
        </w:rPr>
        <w:t>,. S.</w:t>
      </w:r>
      <w:r w:rsidR="00C54BF4"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2019</w:t>
      </w:r>
      <w:r w:rsidR="00C54BF4"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00C54BF4"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Air pollution terrain nexus: a review considering energy generation and consumption</w:t>
      </w:r>
      <w:r w:rsidR="00C54BF4"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Rene</w:t>
      </w:r>
      <w:r w:rsidR="00C54BF4"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Sustain</w:t>
      </w:r>
      <w:r w:rsidR="00C54BF4" w:rsidRPr="00631DE0">
        <w:rPr>
          <w:rFonts w:ascii="Times New Roman" w:hAnsi="Times New Roman" w:cs="Times New Roman"/>
          <w:i/>
          <w:iCs/>
          <w:color w:val="000000" w:themeColor="text1"/>
          <w:sz w:val="24"/>
          <w:szCs w:val="24"/>
        </w:rPr>
        <w:t>ability</w:t>
      </w:r>
      <w:r w:rsidRPr="00631DE0">
        <w:rPr>
          <w:rFonts w:ascii="Times New Roman" w:hAnsi="Times New Roman" w:cs="Times New Roman"/>
          <w:i/>
          <w:iCs/>
          <w:color w:val="000000" w:themeColor="text1"/>
          <w:sz w:val="24"/>
          <w:szCs w:val="24"/>
        </w:rPr>
        <w:t xml:space="preserve"> Energy Rev</w:t>
      </w:r>
      <w:r w:rsidR="00C54BF4" w:rsidRPr="00631DE0">
        <w:rPr>
          <w:rFonts w:ascii="Times New Roman" w:hAnsi="Times New Roman" w:cs="Times New Roman"/>
          <w:i/>
          <w:iCs/>
          <w:color w:val="000000" w:themeColor="text1"/>
          <w:sz w:val="24"/>
          <w:szCs w:val="24"/>
        </w:rPr>
        <w:t>iew</w:t>
      </w:r>
      <w:r w:rsidR="00C54BF4"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105,</w:t>
      </w:r>
      <w:r w:rsidR="00C54BF4" w:rsidRPr="00631DE0">
        <w:rPr>
          <w:rFonts w:ascii="Times New Roman" w:hAnsi="Times New Roman" w:cs="Times New Roman"/>
          <w:color w:val="000000" w:themeColor="text1"/>
          <w:sz w:val="24"/>
          <w:szCs w:val="24"/>
        </w:rPr>
        <w:t xml:space="preserve"> pp.</w:t>
      </w:r>
      <w:r w:rsidRPr="00631DE0">
        <w:rPr>
          <w:rFonts w:ascii="Times New Roman" w:hAnsi="Times New Roman" w:cs="Times New Roman"/>
          <w:color w:val="000000" w:themeColor="text1"/>
          <w:sz w:val="24"/>
          <w:szCs w:val="24"/>
        </w:rPr>
        <w:t>71–85.</w:t>
      </w:r>
    </w:p>
    <w:p w14:paraId="582425E7" w14:textId="4618E2F9" w:rsidR="008B34C9" w:rsidRPr="00631DE0" w:rsidRDefault="008B34C9"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shd w:val="clear" w:color="auto" w:fill="FFFFFF"/>
        </w:rPr>
        <w:t>Wang, Q., Zhao, X.</w:t>
      </w:r>
      <w:r w:rsidR="0047214D"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 Liu, Y.</w:t>
      </w:r>
      <w:r w:rsidR="00515A34" w:rsidRPr="00631DE0">
        <w:rPr>
          <w:rFonts w:ascii="Times New Roman" w:hAnsi="Times New Roman" w:cs="Times New Roman"/>
          <w:color w:val="000000" w:themeColor="text1"/>
          <w:sz w:val="24"/>
          <w:szCs w:val="24"/>
          <w:shd w:val="clear" w:color="auto" w:fill="FFFFFF"/>
        </w:rPr>
        <w:t xml:space="preserve"> (</w:t>
      </w:r>
      <w:r w:rsidRPr="00631DE0">
        <w:rPr>
          <w:rFonts w:ascii="Times New Roman" w:hAnsi="Times New Roman" w:cs="Times New Roman"/>
          <w:color w:val="000000" w:themeColor="text1"/>
          <w:sz w:val="24"/>
          <w:szCs w:val="24"/>
          <w:shd w:val="clear" w:color="auto" w:fill="FFFFFF"/>
        </w:rPr>
        <w:t>2023</w:t>
      </w:r>
      <w:r w:rsidR="00515A34"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 </w:t>
      </w:r>
      <w:r w:rsidR="00515A34"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xml:space="preserve">Green credit policy and corporate charitable donations: </w:t>
      </w:r>
      <w:r w:rsidR="00515A34" w:rsidRPr="00631DE0">
        <w:rPr>
          <w:rFonts w:ascii="Times New Roman" w:hAnsi="Times New Roman" w:cs="Times New Roman"/>
          <w:color w:val="000000" w:themeColor="text1"/>
          <w:sz w:val="24"/>
          <w:szCs w:val="24"/>
          <w:shd w:val="clear" w:color="auto" w:fill="FFFFFF"/>
        </w:rPr>
        <w:t>e</w:t>
      </w:r>
      <w:r w:rsidRPr="00631DE0">
        <w:rPr>
          <w:rFonts w:ascii="Times New Roman" w:hAnsi="Times New Roman" w:cs="Times New Roman"/>
          <w:color w:val="000000" w:themeColor="text1"/>
          <w:sz w:val="24"/>
          <w:szCs w:val="24"/>
          <w:shd w:val="clear" w:color="auto" w:fill="FFFFFF"/>
        </w:rPr>
        <w:t>vidence from China</w:t>
      </w:r>
      <w:r w:rsidR="00515A34" w:rsidRPr="00631DE0">
        <w:rPr>
          <w:rFonts w:ascii="Times New Roman" w:hAnsi="Times New Roman" w:cs="Times New Roman"/>
          <w:color w:val="000000" w:themeColor="text1"/>
          <w:sz w:val="24"/>
          <w:szCs w:val="24"/>
          <w:shd w:val="clear" w:color="auto" w:fill="FFFFFF"/>
        </w:rPr>
        <w:t>’,</w:t>
      </w:r>
      <w:r w:rsidRPr="00631DE0">
        <w:rPr>
          <w:rFonts w:ascii="Times New Roman" w:hAnsi="Times New Roman" w:cs="Times New Roman"/>
          <w:color w:val="000000" w:themeColor="text1"/>
          <w:sz w:val="24"/>
          <w:szCs w:val="24"/>
          <w:shd w:val="clear" w:color="auto" w:fill="FFFFFF"/>
        </w:rPr>
        <w:t> </w:t>
      </w:r>
      <w:r w:rsidRPr="00631DE0">
        <w:rPr>
          <w:rFonts w:ascii="Times New Roman" w:hAnsi="Times New Roman" w:cs="Times New Roman"/>
          <w:i/>
          <w:iCs/>
          <w:color w:val="000000" w:themeColor="text1"/>
          <w:sz w:val="24"/>
          <w:szCs w:val="24"/>
          <w:shd w:val="clear" w:color="auto" w:fill="FFFFFF"/>
        </w:rPr>
        <w:t>Journal of Cleaner Production</w:t>
      </w:r>
      <w:r w:rsidRPr="00631DE0">
        <w:rPr>
          <w:rFonts w:ascii="Times New Roman" w:hAnsi="Times New Roman" w:cs="Times New Roman"/>
          <w:color w:val="000000" w:themeColor="text1"/>
          <w:sz w:val="24"/>
          <w:szCs w:val="24"/>
          <w:shd w:val="clear" w:color="auto" w:fill="FFFFFF"/>
        </w:rPr>
        <w:t>, </w:t>
      </w:r>
      <w:r w:rsidRPr="00631DE0">
        <w:rPr>
          <w:rFonts w:ascii="Times New Roman" w:hAnsi="Times New Roman" w:cs="Times New Roman"/>
          <w:i/>
          <w:iCs/>
          <w:color w:val="000000" w:themeColor="text1"/>
          <w:sz w:val="24"/>
          <w:szCs w:val="24"/>
          <w:shd w:val="clear" w:color="auto" w:fill="FFFFFF"/>
        </w:rPr>
        <w:t>415</w:t>
      </w:r>
      <w:r w:rsidRPr="00631DE0">
        <w:rPr>
          <w:rFonts w:ascii="Times New Roman" w:hAnsi="Times New Roman" w:cs="Times New Roman"/>
          <w:color w:val="000000" w:themeColor="text1"/>
          <w:sz w:val="24"/>
          <w:szCs w:val="24"/>
          <w:shd w:val="clear" w:color="auto" w:fill="FFFFFF"/>
        </w:rPr>
        <w:t>, p.137644.</w:t>
      </w:r>
    </w:p>
    <w:p w14:paraId="70F4FC29" w14:textId="76219B92" w:rsidR="0077040E" w:rsidRPr="00631DE0" w:rsidRDefault="0077040E"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World Economic Forum (2020)</w:t>
      </w:r>
      <w:r w:rsidR="00515A34"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The global risks report 2020</w:t>
      </w:r>
      <w:r w:rsidRPr="00631DE0">
        <w:rPr>
          <w:rFonts w:ascii="Times New Roman" w:hAnsi="Times New Roman" w:cs="Times New Roman"/>
          <w:color w:val="000000" w:themeColor="text1"/>
          <w:sz w:val="24"/>
          <w:szCs w:val="24"/>
        </w:rPr>
        <w:t>. WEF.</w:t>
      </w:r>
    </w:p>
    <w:p w14:paraId="737E8772" w14:textId="2C0C54D2" w:rsidR="002A6706" w:rsidRPr="00631DE0" w:rsidRDefault="002A6706"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Worth, M.J., 2020. </w:t>
      </w:r>
      <w:r w:rsidRPr="00631DE0">
        <w:rPr>
          <w:rFonts w:ascii="Times New Roman" w:hAnsi="Times New Roman" w:cs="Times New Roman"/>
          <w:i/>
          <w:iCs/>
          <w:color w:val="000000" w:themeColor="text1"/>
          <w:sz w:val="24"/>
          <w:szCs w:val="24"/>
        </w:rPr>
        <w:t>Nonprofit management: Principles and practice</w:t>
      </w:r>
      <w:r w:rsidRPr="00631DE0">
        <w:rPr>
          <w:rFonts w:ascii="Times New Roman" w:hAnsi="Times New Roman" w:cs="Times New Roman"/>
          <w:color w:val="000000" w:themeColor="text1"/>
          <w:sz w:val="24"/>
          <w:szCs w:val="24"/>
        </w:rPr>
        <w:t>. CQ Press.</w:t>
      </w:r>
    </w:p>
    <w:p w14:paraId="133756E9" w14:textId="3593C0BB" w:rsidR="00CB1A66" w:rsidRPr="00631DE0" w:rsidRDefault="00CB1A66"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Wright, C., Nyberg, D. (2017) ‘An inconvenient truth: how the organizations translate climate change into business as usual’, </w:t>
      </w:r>
      <w:r w:rsidRPr="00631DE0">
        <w:rPr>
          <w:rFonts w:ascii="Times New Roman" w:hAnsi="Times New Roman" w:cs="Times New Roman"/>
          <w:i/>
          <w:iCs/>
          <w:color w:val="000000" w:themeColor="text1"/>
          <w:sz w:val="24"/>
          <w:szCs w:val="24"/>
        </w:rPr>
        <w:t>Academy of management journal</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60</w:t>
      </w:r>
      <w:r w:rsidRPr="00631DE0">
        <w:rPr>
          <w:rFonts w:ascii="Times New Roman" w:hAnsi="Times New Roman" w:cs="Times New Roman"/>
          <w:color w:val="000000" w:themeColor="text1"/>
          <w:sz w:val="24"/>
          <w:szCs w:val="24"/>
        </w:rPr>
        <w:t>(5), pp.1633-1661.</w:t>
      </w:r>
    </w:p>
    <w:p w14:paraId="7CA84A41" w14:textId="77EF3F5A" w:rsidR="001E2C74" w:rsidRPr="00631DE0" w:rsidRDefault="001E2C74"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Wu, B., Jin, C., Monfort, A.</w:t>
      </w:r>
      <w:r w:rsidR="00515A34"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Hua, D. </w:t>
      </w:r>
      <w:r w:rsidR="00515A34"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2021</w:t>
      </w:r>
      <w:r w:rsidR="00515A34"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00515A34"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Generous charity to preserve green image? </w:t>
      </w:r>
      <w:r w:rsidR="00CB1A66" w:rsidRPr="00631DE0">
        <w:rPr>
          <w:rFonts w:ascii="Times New Roman" w:hAnsi="Times New Roman" w:cs="Times New Roman"/>
          <w:color w:val="000000" w:themeColor="text1"/>
          <w:sz w:val="24"/>
          <w:szCs w:val="24"/>
        </w:rPr>
        <w:t>e</w:t>
      </w:r>
      <w:r w:rsidRPr="00631DE0">
        <w:rPr>
          <w:rFonts w:ascii="Times New Roman" w:hAnsi="Times New Roman" w:cs="Times New Roman"/>
          <w:color w:val="000000" w:themeColor="text1"/>
          <w:sz w:val="24"/>
          <w:szCs w:val="24"/>
        </w:rPr>
        <w:t>xploring</w:t>
      </w:r>
      <w:r w:rsidR="00CB1A66" w:rsidRPr="00631DE0">
        <w:rPr>
          <w:rFonts w:ascii="Times New Roman" w:hAnsi="Times New Roman" w:cs="Times New Roman"/>
          <w:color w:val="000000" w:themeColor="text1"/>
          <w:sz w:val="24"/>
          <w:szCs w:val="24"/>
        </w:rPr>
        <w:t xml:space="preserve"> the</w:t>
      </w:r>
      <w:r w:rsidRPr="00631DE0">
        <w:rPr>
          <w:rFonts w:ascii="Times New Roman" w:hAnsi="Times New Roman" w:cs="Times New Roman"/>
          <w:color w:val="000000" w:themeColor="text1"/>
          <w:sz w:val="24"/>
          <w:szCs w:val="24"/>
        </w:rPr>
        <w:t xml:space="preserve"> linkage between strategic donations and environmental misconduct</w:t>
      </w:r>
      <w:r w:rsidR="00CB1A66"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Journal of business research</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131</w:t>
      </w:r>
      <w:r w:rsidRPr="00631DE0">
        <w:rPr>
          <w:rFonts w:ascii="Times New Roman" w:hAnsi="Times New Roman" w:cs="Times New Roman"/>
          <w:color w:val="000000" w:themeColor="text1"/>
          <w:sz w:val="24"/>
          <w:szCs w:val="24"/>
        </w:rPr>
        <w:t>, pp.839-85</w:t>
      </w:r>
    </w:p>
    <w:p w14:paraId="052BC4FD" w14:textId="186AB1BC" w:rsidR="0047214D" w:rsidRPr="00631DE0" w:rsidRDefault="0047214D"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Yin, J., Wang, S. </w:t>
      </w:r>
      <w:r w:rsidR="00CB1A66"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2018</w:t>
      </w:r>
      <w:r w:rsidR="00CB1A66"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00CB1A66"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The effects of corporate environmental disclosure on environmental innovation from stakeholder perspectives</w:t>
      </w:r>
      <w:r w:rsidR="00CB1A66"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Applied Economics</w:t>
      </w:r>
      <w:r w:rsidRPr="00631DE0">
        <w:rPr>
          <w:rFonts w:ascii="Times New Roman" w:hAnsi="Times New Roman" w:cs="Times New Roman"/>
          <w:color w:val="000000" w:themeColor="text1"/>
          <w:sz w:val="24"/>
          <w:szCs w:val="24"/>
        </w:rPr>
        <w:t>, </w:t>
      </w:r>
      <w:r w:rsidRPr="00631DE0">
        <w:rPr>
          <w:rFonts w:ascii="Times New Roman" w:hAnsi="Times New Roman" w:cs="Times New Roman"/>
          <w:i/>
          <w:iCs/>
          <w:color w:val="000000" w:themeColor="text1"/>
          <w:sz w:val="24"/>
          <w:szCs w:val="24"/>
        </w:rPr>
        <w:t>50</w:t>
      </w:r>
      <w:r w:rsidRPr="00631DE0">
        <w:rPr>
          <w:rFonts w:ascii="Times New Roman" w:hAnsi="Times New Roman" w:cs="Times New Roman"/>
          <w:color w:val="000000" w:themeColor="text1"/>
          <w:sz w:val="24"/>
          <w:szCs w:val="24"/>
        </w:rPr>
        <w:t>(8), pp.905-919.</w:t>
      </w:r>
    </w:p>
    <w:p w14:paraId="0BFE19CA" w14:textId="4800F09D" w:rsidR="00973996" w:rsidRPr="00631DE0" w:rsidRDefault="00973996"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 xml:space="preserve">Yingjun, L., Indra, A., Corinne, C. (2015) ‘Corporate social responsibility reporting quality, board characteristics &amp; corporate social reputation: evidence from China’, </w:t>
      </w:r>
      <w:r w:rsidRPr="00631DE0">
        <w:rPr>
          <w:rFonts w:ascii="Times New Roman" w:hAnsi="Times New Roman" w:cs="Times New Roman"/>
          <w:i/>
          <w:iCs/>
          <w:color w:val="000000" w:themeColor="text1"/>
          <w:sz w:val="24"/>
          <w:szCs w:val="24"/>
        </w:rPr>
        <w:t>Pacific Accounting</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Review</w:t>
      </w:r>
      <w:r w:rsidRPr="00631DE0">
        <w:rPr>
          <w:rFonts w:ascii="Times New Roman" w:hAnsi="Times New Roman" w:cs="Times New Roman"/>
          <w:color w:val="000000" w:themeColor="text1"/>
          <w:sz w:val="24"/>
          <w:szCs w:val="24"/>
        </w:rPr>
        <w:t>, 27(1), pp. 95-118.</w:t>
      </w:r>
    </w:p>
    <w:p w14:paraId="5FAC28F9" w14:textId="3AAE1BCA" w:rsidR="008B34C9" w:rsidRPr="00631DE0" w:rsidRDefault="008B34C9"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Yuesti, A., Novitasari, L.</w:t>
      </w:r>
      <w:r w:rsidR="00CB1A66"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Rustiarini, N. (2016) </w:t>
      </w:r>
      <w:r w:rsidR="00CB1A66"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Accountability of </w:t>
      </w:r>
      <w:r w:rsidR="00CB1A66" w:rsidRPr="00631DE0">
        <w:rPr>
          <w:rFonts w:ascii="Times New Roman" w:hAnsi="Times New Roman" w:cs="Times New Roman"/>
          <w:color w:val="000000" w:themeColor="text1"/>
          <w:sz w:val="24"/>
          <w:szCs w:val="24"/>
        </w:rPr>
        <w:t>NGOs</w:t>
      </w:r>
      <w:r w:rsidRPr="00631DE0">
        <w:rPr>
          <w:rFonts w:ascii="Times New Roman" w:hAnsi="Times New Roman" w:cs="Times New Roman"/>
          <w:color w:val="000000" w:themeColor="text1"/>
          <w:sz w:val="24"/>
          <w:szCs w:val="24"/>
        </w:rPr>
        <w:t xml:space="preserve"> from the perspective of stakeholder theory</w:t>
      </w:r>
      <w:r w:rsidR="00CB1A66"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 xml:space="preserve">International Journal of Accounting and </w:t>
      </w:r>
      <w:r w:rsidR="00B524B9" w:rsidRPr="00631DE0">
        <w:rPr>
          <w:rFonts w:ascii="Times New Roman" w:hAnsi="Times New Roman" w:cs="Times New Roman"/>
          <w:i/>
          <w:iCs/>
          <w:color w:val="000000" w:themeColor="text1"/>
          <w:sz w:val="24"/>
          <w:szCs w:val="24"/>
        </w:rPr>
        <w:t>Taxation</w:t>
      </w:r>
      <w:r w:rsidR="00B524B9" w:rsidRPr="00631DE0">
        <w:rPr>
          <w:rFonts w:ascii="Times New Roman" w:hAnsi="Times New Roman" w:cs="Times New Roman"/>
          <w:color w:val="000000" w:themeColor="text1"/>
          <w:sz w:val="24"/>
          <w:szCs w:val="24"/>
        </w:rPr>
        <w:t>, 4</w:t>
      </w:r>
      <w:r w:rsidRPr="00631DE0">
        <w:rPr>
          <w:rFonts w:ascii="Times New Roman" w:hAnsi="Times New Roman" w:cs="Times New Roman"/>
          <w:color w:val="000000" w:themeColor="text1"/>
          <w:sz w:val="24"/>
          <w:szCs w:val="24"/>
        </w:rPr>
        <w:t xml:space="preserve"> </w:t>
      </w:r>
      <w:r w:rsidR="00CB1A66"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2</w:t>
      </w:r>
      <w:r w:rsidR="00CB1A66"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pp. 98-119.</w:t>
      </w:r>
    </w:p>
    <w:p w14:paraId="1DF8E5C6" w14:textId="51E7F000" w:rsidR="00171628" w:rsidRPr="00824FD7" w:rsidRDefault="00FF075D" w:rsidP="00171628">
      <w:pPr>
        <w:suppressAutoHyphens/>
        <w:autoSpaceDN w:val="0"/>
        <w:spacing w:after="120" w:line="276" w:lineRule="auto"/>
        <w:ind w:firstLine="0"/>
        <w:textAlignment w:val="baseline"/>
        <w:rPr>
          <w:rFonts w:ascii="Times New Roman" w:hAnsi="Times New Roman" w:cs="Times New Roman"/>
          <w:color w:val="000000" w:themeColor="text1"/>
          <w:sz w:val="24"/>
          <w:szCs w:val="24"/>
        </w:rPr>
      </w:pPr>
      <w:r w:rsidRPr="00631DE0">
        <w:rPr>
          <w:rFonts w:ascii="Times New Roman" w:hAnsi="Times New Roman" w:cs="Times New Roman"/>
          <w:color w:val="000000" w:themeColor="text1"/>
          <w:sz w:val="24"/>
          <w:szCs w:val="24"/>
        </w:rPr>
        <w:t>Zainon, S., Atan, R.</w:t>
      </w:r>
      <w:r w:rsidR="00CB1A66"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Wah,</w:t>
      </w:r>
      <w:r w:rsidR="00CB1A66"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color w:val="000000" w:themeColor="text1"/>
          <w:sz w:val="24"/>
          <w:szCs w:val="24"/>
        </w:rPr>
        <w:t>B. (2014</w:t>
      </w:r>
      <w:r w:rsidR="00CB1A66"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00CB1A66"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An empirical study on the determinants of information disclosure of Malaysian non-profit organizations</w:t>
      </w:r>
      <w:r w:rsidR="00CB1A66"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xml:space="preserve">, </w:t>
      </w:r>
      <w:r w:rsidRPr="00631DE0">
        <w:rPr>
          <w:rFonts w:ascii="Times New Roman" w:hAnsi="Times New Roman" w:cs="Times New Roman"/>
          <w:i/>
          <w:iCs/>
          <w:color w:val="000000" w:themeColor="text1"/>
          <w:sz w:val="24"/>
          <w:szCs w:val="24"/>
        </w:rPr>
        <w:t>Asian Review of Accounting</w:t>
      </w:r>
      <w:r w:rsidRPr="00631DE0">
        <w:rPr>
          <w:rFonts w:ascii="Times New Roman" w:hAnsi="Times New Roman" w:cs="Times New Roman"/>
          <w:color w:val="000000" w:themeColor="text1"/>
          <w:sz w:val="24"/>
          <w:szCs w:val="24"/>
        </w:rPr>
        <w:t>, 22</w:t>
      </w:r>
      <w:r w:rsidR="00CB1A66"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1</w:t>
      </w:r>
      <w:r w:rsidR="00CB1A66" w:rsidRPr="00631DE0">
        <w:rPr>
          <w:rFonts w:ascii="Times New Roman" w:hAnsi="Times New Roman" w:cs="Times New Roman"/>
          <w:color w:val="000000" w:themeColor="text1"/>
          <w:sz w:val="24"/>
          <w:szCs w:val="24"/>
        </w:rPr>
        <w:t>)</w:t>
      </w:r>
      <w:r w:rsidRPr="00631DE0">
        <w:rPr>
          <w:rFonts w:ascii="Times New Roman" w:hAnsi="Times New Roman" w:cs="Times New Roman"/>
          <w:color w:val="000000" w:themeColor="text1"/>
          <w:sz w:val="24"/>
          <w:szCs w:val="24"/>
        </w:rPr>
        <w:t>, pp. 35-55</w:t>
      </w:r>
      <w:r w:rsidR="00865B80" w:rsidRPr="00631DE0">
        <w:rPr>
          <w:rFonts w:ascii="Times New Roman" w:hAnsi="Times New Roman" w:cs="Times New Roman"/>
          <w:color w:val="000000" w:themeColor="text1"/>
          <w:sz w:val="24"/>
          <w:szCs w:val="24"/>
        </w:rPr>
        <w:t>.</w:t>
      </w:r>
    </w:p>
    <w:p w14:paraId="2467F5E4" w14:textId="77777777" w:rsidR="00DE1C1D" w:rsidRDefault="00DE1C1D" w:rsidP="00171628">
      <w:pPr>
        <w:suppressAutoHyphens/>
        <w:autoSpaceDN w:val="0"/>
        <w:spacing w:after="120" w:line="276" w:lineRule="auto"/>
        <w:ind w:firstLine="0"/>
        <w:textAlignment w:val="baseline"/>
        <w:rPr>
          <w:rFonts w:ascii="Times New Roman" w:hAnsi="Times New Roman" w:cs="Times New Roman"/>
          <w:sz w:val="24"/>
          <w:szCs w:val="24"/>
        </w:rPr>
      </w:pPr>
    </w:p>
    <w:p w14:paraId="23E53186" w14:textId="77777777" w:rsidR="00DE1C1D" w:rsidRDefault="00DE1C1D" w:rsidP="00171628">
      <w:pPr>
        <w:suppressAutoHyphens/>
        <w:autoSpaceDN w:val="0"/>
        <w:spacing w:after="120" w:line="276" w:lineRule="auto"/>
        <w:ind w:firstLine="0"/>
        <w:textAlignment w:val="baseline"/>
        <w:rPr>
          <w:rFonts w:ascii="Times New Roman" w:hAnsi="Times New Roman" w:cs="Times New Roman"/>
          <w:sz w:val="24"/>
          <w:szCs w:val="24"/>
        </w:rPr>
      </w:pPr>
    </w:p>
    <w:p w14:paraId="23604258" w14:textId="77777777" w:rsidR="00B524B9" w:rsidRDefault="00B524B9" w:rsidP="00171628">
      <w:pPr>
        <w:suppressAutoHyphens/>
        <w:autoSpaceDN w:val="0"/>
        <w:spacing w:after="120" w:line="276" w:lineRule="auto"/>
        <w:ind w:firstLine="0"/>
        <w:textAlignment w:val="baseline"/>
        <w:rPr>
          <w:rFonts w:ascii="Times New Roman" w:hAnsi="Times New Roman" w:cs="Times New Roman"/>
          <w:sz w:val="24"/>
          <w:szCs w:val="24"/>
        </w:rPr>
      </w:pPr>
    </w:p>
    <w:p w14:paraId="233A0B85" w14:textId="6FECB489" w:rsidR="004358B2" w:rsidRPr="00146467" w:rsidRDefault="00146467" w:rsidP="00146467">
      <w:pPr>
        <w:suppressAutoHyphens/>
        <w:autoSpaceDN w:val="0"/>
        <w:spacing w:after="120"/>
        <w:ind w:firstLine="0"/>
        <w:jc w:val="center"/>
        <w:textAlignment w:val="baseline"/>
        <w:rPr>
          <w:rFonts w:ascii="Times New Roman" w:hAnsi="Times New Roman" w:cs="Times New Roman"/>
          <w:b/>
          <w:bCs/>
          <w:sz w:val="24"/>
          <w:szCs w:val="24"/>
        </w:rPr>
      </w:pPr>
      <w:r w:rsidRPr="00146467">
        <w:rPr>
          <w:rFonts w:ascii="Times New Roman" w:hAnsi="Times New Roman" w:cs="Times New Roman"/>
          <w:b/>
          <w:bCs/>
          <w:sz w:val="24"/>
          <w:szCs w:val="24"/>
        </w:rPr>
        <w:t>List of Appendices</w:t>
      </w:r>
    </w:p>
    <w:p w14:paraId="0E1AE9BE" w14:textId="24F159E4" w:rsidR="00CB1D16" w:rsidRPr="00CB1D16" w:rsidRDefault="00CB1D16" w:rsidP="00CB1D16">
      <w:pPr>
        <w:spacing w:before="180" w:after="180" w:line="240" w:lineRule="auto"/>
        <w:ind w:firstLine="0"/>
        <w:jc w:val="left"/>
        <w:rPr>
          <w:rFonts w:ascii="Times New Roman" w:eastAsia="Aptos" w:hAnsi="Times New Roman" w:cs="Times New Roman"/>
          <w:kern w:val="0"/>
          <w:sz w:val="24"/>
          <w:szCs w:val="24"/>
          <w:lang w:val="en-US"/>
          <w14:ligatures w14:val="none"/>
        </w:rPr>
      </w:pPr>
      <w:bookmarkStart w:id="24" w:name="reformatted-tables-jpbafm-draft"/>
      <w:r w:rsidRPr="00CB1D16">
        <w:rPr>
          <w:rFonts w:ascii="Times New Roman" w:eastAsia="Aptos" w:hAnsi="Times New Roman" w:cs="Times New Roman"/>
          <w:b/>
          <w:bCs/>
          <w:kern w:val="0"/>
          <w:sz w:val="24"/>
          <w:szCs w:val="24"/>
          <w:lang w:val="en-US"/>
          <w14:ligatures w14:val="none"/>
        </w:rPr>
        <w:lastRenderedPageBreak/>
        <w:t>Table 1.</w:t>
      </w:r>
      <w:r w:rsidRPr="00CB1D16">
        <w:rPr>
          <w:rFonts w:ascii="Times New Roman" w:eastAsia="Aptos" w:hAnsi="Times New Roman" w:cs="Times New Roman"/>
          <w:kern w:val="0"/>
          <w:sz w:val="24"/>
          <w:szCs w:val="24"/>
          <w:lang w:val="en-US"/>
          <w14:ligatures w14:val="none"/>
        </w:rPr>
        <w:t xml:space="preserve"> Keywords for Environmental Disclosure</w:t>
      </w:r>
    </w:p>
    <w:tbl>
      <w:tblPr>
        <w:tblStyle w:val="Table"/>
        <w:tblW w:w="5000" w:type="pct"/>
        <w:tblLayout w:type="fixed"/>
        <w:tblLook w:val="0020" w:firstRow="1" w:lastRow="0" w:firstColumn="0" w:lastColumn="0" w:noHBand="0" w:noVBand="0"/>
      </w:tblPr>
      <w:tblGrid>
        <w:gridCol w:w="3006"/>
        <w:gridCol w:w="3005"/>
        <w:gridCol w:w="3005"/>
      </w:tblGrid>
      <w:tr w:rsidR="00CB1D16" w:rsidRPr="00CB1D16" w14:paraId="19610151" w14:textId="77777777" w:rsidTr="004358B2">
        <w:trPr>
          <w:cnfStyle w:val="100000000000" w:firstRow="1" w:lastRow="0" w:firstColumn="0" w:lastColumn="0" w:oddVBand="0" w:evenVBand="0" w:oddHBand="0" w:evenHBand="0" w:firstRowFirstColumn="0" w:firstRowLastColumn="0" w:lastRowFirstColumn="0" w:lastRowLastColumn="0"/>
          <w:tblHeader/>
        </w:trPr>
        <w:tc>
          <w:tcPr>
            <w:tcW w:w="3006" w:type="dxa"/>
            <w:tcBorders>
              <w:top w:val="single" w:sz="4" w:space="0" w:color="auto"/>
              <w:left w:val="single" w:sz="4" w:space="0" w:color="auto"/>
              <w:bottom w:val="single" w:sz="2" w:space="0" w:color="auto"/>
            </w:tcBorders>
          </w:tcPr>
          <w:p w14:paraId="3985DCAA" w14:textId="77777777" w:rsidR="00CB1D16" w:rsidRPr="00CB1D16" w:rsidRDefault="00CB1D16" w:rsidP="00CB1D16">
            <w:pPr>
              <w:spacing w:before="36" w:after="36"/>
              <w:rPr>
                <w:rFonts w:ascii="Times New Roman" w:eastAsia="Aptos" w:hAnsi="Times New Roman" w:cs="Times New Roman"/>
                <w:sz w:val="22"/>
                <w:szCs w:val="22"/>
              </w:rPr>
            </w:pPr>
            <w:r w:rsidRPr="00CB1D16">
              <w:rPr>
                <w:rFonts w:ascii="Times New Roman" w:eastAsia="Aptos" w:hAnsi="Times New Roman" w:cs="Times New Roman"/>
                <w:sz w:val="22"/>
                <w:szCs w:val="22"/>
              </w:rPr>
              <w:t>Climate Change</w:t>
            </w:r>
          </w:p>
        </w:tc>
        <w:tc>
          <w:tcPr>
            <w:tcW w:w="3005" w:type="dxa"/>
            <w:tcBorders>
              <w:top w:val="single" w:sz="4" w:space="0" w:color="auto"/>
              <w:bottom w:val="single" w:sz="2" w:space="0" w:color="auto"/>
            </w:tcBorders>
          </w:tcPr>
          <w:p w14:paraId="5F6F39E7" w14:textId="77777777" w:rsidR="00CB1D16" w:rsidRPr="00CB1D16" w:rsidRDefault="00CB1D16" w:rsidP="00CB1D16">
            <w:pPr>
              <w:spacing w:before="36" w:after="36"/>
              <w:rPr>
                <w:rFonts w:ascii="Times New Roman" w:eastAsia="Aptos" w:hAnsi="Times New Roman" w:cs="Times New Roman"/>
                <w:sz w:val="22"/>
                <w:szCs w:val="22"/>
              </w:rPr>
            </w:pPr>
            <w:r w:rsidRPr="00CB1D16">
              <w:rPr>
                <w:rFonts w:ascii="Times New Roman" w:eastAsia="Aptos" w:hAnsi="Times New Roman" w:cs="Times New Roman"/>
                <w:sz w:val="22"/>
                <w:szCs w:val="22"/>
              </w:rPr>
              <w:t>Environmental Management</w:t>
            </w:r>
          </w:p>
        </w:tc>
        <w:tc>
          <w:tcPr>
            <w:tcW w:w="3005" w:type="dxa"/>
            <w:tcBorders>
              <w:top w:val="single" w:sz="4" w:space="0" w:color="auto"/>
              <w:bottom w:val="single" w:sz="2" w:space="0" w:color="auto"/>
              <w:right w:val="single" w:sz="4" w:space="0" w:color="auto"/>
            </w:tcBorders>
          </w:tcPr>
          <w:p w14:paraId="490D2C15" w14:textId="77777777" w:rsidR="00CB1D16" w:rsidRPr="00CB1D16" w:rsidRDefault="00CB1D16" w:rsidP="00CB1D16">
            <w:pPr>
              <w:spacing w:before="36" w:after="36"/>
              <w:rPr>
                <w:rFonts w:ascii="Times New Roman" w:eastAsia="Aptos" w:hAnsi="Times New Roman" w:cs="Times New Roman"/>
                <w:sz w:val="22"/>
                <w:szCs w:val="22"/>
              </w:rPr>
            </w:pPr>
            <w:r w:rsidRPr="00CB1D16">
              <w:rPr>
                <w:rFonts w:ascii="Times New Roman" w:eastAsia="Aptos" w:hAnsi="Times New Roman" w:cs="Times New Roman"/>
                <w:sz w:val="22"/>
                <w:szCs w:val="22"/>
              </w:rPr>
              <w:t>Ecosystems</w:t>
            </w:r>
          </w:p>
        </w:tc>
      </w:tr>
      <w:tr w:rsidR="00CB1D16" w:rsidRPr="00CB1D16" w14:paraId="4DB08299" w14:textId="77777777" w:rsidTr="004358B2">
        <w:tc>
          <w:tcPr>
            <w:tcW w:w="3006" w:type="dxa"/>
            <w:tcBorders>
              <w:top w:val="single" w:sz="2" w:space="0" w:color="auto"/>
              <w:left w:val="single" w:sz="4" w:space="0" w:color="auto"/>
            </w:tcBorders>
          </w:tcPr>
          <w:p w14:paraId="397C322E"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Biofuel</w:t>
            </w:r>
          </w:p>
        </w:tc>
        <w:tc>
          <w:tcPr>
            <w:tcW w:w="3005" w:type="dxa"/>
            <w:tcBorders>
              <w:top w:val="single" w:sz="2" w:space="0" w:color="auto"/>
            </w:tcBorders>
          </w:tcPr>
          <w:p w14:paraId="6C9DD990"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Environmental policy</w:t>
            </w:r>
          </w:p>
        </w:tc>
        <w:tc>
          <w:tcPr>
            <w:tcW w:w="3005" w:type="dxa"/>
            <w:tcBorders>
              <w:top w:val="single" w:sz="2" w:space="0" w:color="auto"/>
              <w:right w:val="single" w:sz="4" w:space="0" w:color="auto"/>
            </w:tcBorders>
          </w:tcPr>
          <w:p w14:paraId="7EB054C2"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Supply chain eco-efficiency index</w:t>
            </w:r>
          </w:p>
        </w:tc>
      </w:tr>
      <w:tr w:rsidR="00CB1D16" w:rsidRPr="00CB1D16" w14:paraId="29CA2E11" w14:textId="77777777" w:rsidTr="004358B2">
        <w:tc>
          <w:tcPr>
            <w:tcW w:w="3006" w:type="dxa"/>
            <w:tcBorders>
              <w:left w:val="single" w:sz="4" w:space="0" w:color="auto"/>
            </w:tcBorders>
          </w:tcPr>
          <w:p w14:paraId="078F059F"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Climate change strategy</w:t>
            </w:r>
          </w:p>
        </w:tc>
        <w:tc>
          <w:tcPr>
            <w:tcW w:w="3005" w:type="dxa"/>
          </w:tcPr>
          <w:p w14:paraId="14D756AB"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Environmental goals</w:t>
            </w:r>
          </w:p>
        </w:tc>
        <w:tc>
          <w:tcPr>
            <w:tcW w:w="3005" w:type="dxa"/>
            <w:tcBorders>
              <w:right w:val="single" w:sz="4" w:space="0" w:color="auto"/>
            </w:tcBorders>
          </w:tcPr>
          <w:p w14:paraId="2424908D"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Eco-system planning</w:t>
            </w:r>
          </w:p>
        </w:tc>
      </w:tr>
      <w:tr w:rsidR="00CB1D16" w:rsidRPr="00CB1D16" w14:paraId="078972F6" w14:textId="77777777" w:rsidTr="004358B2">
        <w:tc>
          <w:tcPr>
            <w:tcW w:w="3006" w:type="dxa"/>
            <w:tcBorders>
              <w:left w:val="single" w:sz="4" w:space="0" w:color="auto"/>
            </w:tcBorders>
          </w:tcPr>
          <w:p w14:paraId="4C560888"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Green renewable solar energy</w:t>
            </w:r>
          </w:p>
        </w:tc>
        <w:tc>
          <w:tcPr>
            <w:tcW w:w="3005" w:type="dxa"/>
          </w:tcPr>
          <w:p w14:paraId="1B9238C1"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EMS systems</w:t>
            </w:r>
          </w:p>
        </w:tc>
        <w:tc>
          <w:tcPr>
            <w:tcW w:w="3005" w:type="dxa"/>
            <w:tcBorders>
              <w:right w:val="single" w:sz="4" w:space="0" w:color="auto"/>
            </w:tcBorders>
          </w:tcPr>
          <w:p w14:paraId="5397F471"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Biodiversity management</w:t>
            </w:r>
          </w:p>
        </w:tc>
      </w:tr>
      <w:tr w:rsidR="00CB1D16" w:rsidRPr="00CB1D16" w14:paraId="19BA15BB" w14:textId="77777777" w:rsidTr="004358B2">
        <w:tc>
          <w:tcPr>
            <w:tcW w:w="3006" w:type="dxa"/>
            <w:tcBorders>
              <w:left w:val="single" w:sz="4" w:space="0" w:color="auto"/>
            </w:tcBorders>
          </w:tcPr>
          <w:p w14:paraId="3F0C0E06"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Stewardship of wind energy resources</w:t>
            </w:r>
          </w:p>
        </w:tc>
        <w:tc>
          <w:tcPr>
            <w:tcW w:w="3005" w:type="dxa"/>
          </w:tcPr>
          <w:p w14:paraId="4C82E108"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Environmental auditing</w:t>
            </w:r>
          </w:p>
        </w:tc>
        <w:tc>
          <w:tcPr>
            <w:tcW w:w="3005" w:type="dxa"/>
            <w:tcBorders>
              <w:right w:val="single" w:sz="4" w:space="0" w:color="auto"/>
            </w:tcBorders>
          </w:tcPr>
          <w:p w14:paraId="53FFDC7A"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Access to land and water</w:t>
            </w:r>
          </w:p>
        </w:tc>
      </w:tr>
      <w:tr w:rsidR="00CB1D16" w:rsidRPr="00CB1D16" w14:paraId="4C015570" w14:textId="77777777" w:rsidTr="004358B2">
        <w:tc>
          <w:tcPr>
            <w:tcW w:w="3006" w:type="dxa"/>
            <w:tcBorders>
              <w:left w:val="single" w:sz="4" w:space="0" w:color="auto"/>
            </w:tcBorders>
          </w:tcPr>
          <w:p w14:paraId="12E05F82"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Emission ghg reductions</w:t>
            </w:r>
          </w:p>
        </w:tc>
        <w:tc>
          <w:tcPr>
            <w:tcW w:w="3005" w:type="dxa"/>
          </w:tcPr>
          <w:p w14:paraId="44BCB706"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ISO 14001</w:t>
            </w:r>
          </w:p>
        </w:tc>
        <w:tc>
          <w:tcPr>
            <w:tcW w:w="3005" w:type="dxa"/>
            <w:tcBorders>
              <w:right w:val="single" w:sz="4" w:space="0" w:color="auto"/>
            </w:tcBorders>
          </w:tcPr>
          <w:p w14:paraId="16C62EE2"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Agriculture, deforestation and wetland</w:t>
            </w:r>
          </w:p>
        </w:tc>
      </w:tr>
      <w:tr w:rsidR="00CB1D16" w:rsidRPr="00CB1D16" w14:paraId="17E7EDDE" w14:textId="77777777" w:rsidTr="004358B2">
        <w:tc>
          <w:tcPr>
            <w:tcW w:w="3006" w:type="dxa"/>
            <w:tcBorders>
              <w:left w:val="single" w:sz="4" w:space="0" w:color="auto"/>
            </w:tcBorders>
          </w:tcPr>
          <w:p w14:paraId="6A379283"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Greenhouse gases</w:t>
            </w:r>
          </w:p>
        </w:tc>
        <w:tc>
          <w:tcPr>
            <w:tcW w:w="3005" w:type="dxa"/>
          </w:tcPr>
          <w:p w14:paraId="70FC89D9"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Department of Environmental Management</w:t>
            </w:r>
          </w:p>
        </w:tc>
        <w:tc>
          <w:tcPr>
            <w:tcW w:w="3005" w:type="dxa"/>
            <w:tcBorders>
              <w:right w:val="single" w:sz="4" w:space="0" w:color="auto"/>
            </w:tcBorders>
          </w:tcPr>
          <w:p w14:paraId="23413701"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Coastal ecosystem resilience</w:t>
            </w:r>
          </w:p>
        </w:tc>
      </w:tr>
      <w:tr w:rsidR="00CB1D16" w:rsidRPr="00CB1D16" w14:paraId="3F749078" w14:textId="77777777" w:rsidTr="004358B2">
        <w:tc>
          <w:tcPr>
            <w:tcW w:w="3006" w:type="dxa"/>
            <w:tcBorders>
              <w:left w:val="single" w:sz="4" w:space="0" w:color="auto"/>
            </w:tcBorders>
          </w:tcPr>
          <w:p w14:paraId="379D2295"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Ppm co2 aviation</w:t>
            </w:r>
          </w:p>
        </w:tc>
        <w:tc>
          <w:tcPr>
            <w:tcW w:w="3005" w:type="dxa"/>
          </w:tcPr>
          <w:p w14:paraId="22448C2B"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Natural resources</w:t>
            </w:r>
          </w:p>
        </w:tc>
        <w:tc>
          <w:tcPr>
            <w:tcW w:w="3005" w:type="dxa"/>
            <w:tcBorders>
              <w:right w:val="single" w:sz="4" w:space="0" w:color="auto"/>
            </w:tcBorders>
          </w:tcPr>
          <w:p w14:paraId="3AC1FF86"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Land, water, biodiversity</w:t>
            </w:r>
          </w:p>
        </w:tc>
      </w:tr>
      <w:tr w:rsidR="00CB1D16" w:rsidRPr="00CB1D16" w14:paraId="6362B7FC" w14:textId="77777777" w:rsidTr="004358B2">
        <w:tc>
          <w:tcPr>
            <w:tcW w:w="3006" w:type="dxa"/>
            <w:tcBorders>
              <w:left w:val="single" w:sz="4" w:space="0" w:color="auto"/>
            </w:tcBorders>
          </w:tcPr>
          <w:p w14:paraId="75D72ECC"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Ocean acidification</w:t>
            </w:r>
          </w:p>
        </w:tc>
        <w:tc>
          <w:tcPr>
            <w:tcW w:w="3005" w:type="dxa"/>
          </w:tcPr>
          <w:p w14:paraId="5B2B34D4"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Energy efficiency</w:t>
            </w:r>
          </w:p>
        </w:tc>
        <w:tc>
          <w:tcPr>
            <w:tcW w:w="3005" w:type="dxa"/>
            <w:tcBorders>
              <w:right w:val="single" w:sz="4" w:space="0" w:color="auto"/>
            </w:tcBorders>
          </w:tcPr>
          <w:p w14:paraId="23969870"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Ecosystem restoration and protection</w:t>
            </w:r>
          </w:p>
        </w:tc>
      </w:tr>
      <w:tr w:rsidR="00CB1D16" w:rsidRPr="00CB1D16" w14:paraId="56B132E1" w14:textId="77777777" w:rsidTr="004358B2">
        <w:tc>
          <w:tcPr>
            <w:tcW w:w="3006" w:type="dxa"/>
            <w:tcBorders>
              <w:left w:val="single" w:sz="4" w:space="0" w:color="auto"/>
            </w:tcBorders>
          </w:tcPr>
          <w:p w14:paraId="5D391A55"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Stratospheric ozone depletion</w:t>
            </w:r>
          </w:p>
        </w:tc>
        <w:tc>
          <w:tcPr>
            <w:tcW w:w="3005" w:type="dxa"/>
          </w:tcPr>
          <w:p w14:paraId="72B41C45"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Soil conservation</w:t>
            </w:r>
          </w:p>
        </w:tc>
        <w:tc>
          <w:tcPr>
            <w:tcW w:w="3005" w:type="dxa"/>
            <w:tcBorders>
              <w:right w:val="single" w:sz="4" w:space="0" w:color="auto"/>
            </w:tcBorders>
          </w:tcPr>
          <w:p w14:paraId="02AD8AC4"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Forest conservation</w:t>
            </w:r>
          </w:p>
        </w:tc>
      </w:tr>
      <w:tr w:rsidR="00CB1D16" w:rsidRPr="00CB1D16" w14:paraId="0F4F1E55" w14:textId="77777777" w:rsidTr="004358B2">
        <w:tc>
          <w:tcPr>
            <w:tcW w:w="3006" w:type="dxa"/>
            <w:tcBorders>
              <w:left w:val="single" w:sz="4" w:space="0" w:color="auto"/>
            </w:tcBorders>
          </w:tcPr>
          <w:p w14:paraId="66F9CBFD"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Climate adaptation</w:t>
            </w:r>
          </w:p>
        </w:tc>
        <w:tc>
          <w:tcPr>
            <w:tcW w:w="3005" w:type="dxa"/>
          </w:tcPr>
          <w:p w14:paraId="1813891F"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Biodiversity initiatives</w:t>
            </w:r>
          </w:p>
        </w:tc>
        <w:tc>
          <w:tcPr>
            <w:tcW w:w="3005" w:type="dxa"/>
            <w:tcBorders>
              <w:right w:val="single" w:sz="4" w:space="0" w:color="auto"/>
            </w:tcBorders>
          </w:tcPr>
          <w:p w14:paraId="4080266E"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Water conservation</w:t>
            </w:r>
          </w:p>
        </w:tc>
      </w:tr>
      <w:tr w:rsidR="00CB1D16" w:rsidRPr="00CB1D16" w14:paraId="2B9A9A20" w14:textId="77777777" w:rsidTr="004358B2">
        <w:tc>
          <w:tcPr>
            <w:tcW w:w="3006" w:type="dxa"/>
            <w:tcBorders>
              <w:left w:val="single" w:sz="4" w:space="0" w:color="auto"/>
              <w:bottom w:val="single" w:sz="4" w:space="0" w:color="auto"/>
            </w:tcBorders>
          </w:tcPr>
          <w:p w14:paraId="694B6A95"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Sequestration</w:t>
            </w:r>
          </w:p>
        </w:tc>
        <w:tc>
          <w:tcPr>
            <w:tcW w:w="3005" w:type="dxa"/>
            <w:tcBorders>
              <w:bottom w:val="single" w:sz="4" w:space="0" w:color="auto"/>
            </w:tcBorders>
          </w:tcPr>
          <w:p w14:paraId="0D44CFD1"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Eco-efficiency</w:t>
            </w:r>
          </w:p>
        </w:tc>
        <w:tc>
          <w:tcPr>
            <w:tcW w:w="3005" w:type="dxa"/>
            <w:tcBorders>
              <w:bottom w:val="single" w:sz="4" w:space="0" w:color="auto"/>
              <w:right w:val="single" w:sz="4" w:space="0" w:color="auto"/>
            </w:tcBorders>
          </w:tcPr>
          <w:p w14:paraId="23E537CE" w14:textId="77777777" w:rsidR="00CB1D16" w:rsidRPr="00CB1D16" w:rsidRDefault="00CB1D16" w:rsidP="00CB1D16">
            <w:pPr>
              <w:spacing w:before="36" w:after="36"/>
              <w:rPr>
                <w:rFonts w:ascii="Times New Roman" w:eastAsia="Aptos" w:hAnsi="Times New Roman" w:cs="Times New Roman"/>
              </w:rPr>
            </w:pPr>
            <w:r w:rsidRPr="00CB1D16">
              <w:rPr>
                <w:rFonts w:ascii="Times New Roman" w:eastAsia="Aptos" w:hAnsi="Times New Roman" w:cs="Times New Roman"/>
              </w:rPr>
              <w:t>Species preservation</w:t>
            </w:r>
          </w:p>
        </w:tc>
      </w:tr>
    </w:tbl>
    <w:p w14:paraId="2D099446" w14:textId="77777777" w:rsidR="004358B2" w:rsidRPr="009853E9" w:rsidRDefault="004358B2" w:rsidP="004358B2">
      <w:pPr>
        <w:spacing w:before="180" w:after="180" w:line="240" w:lineRule="auto"/>
        <w:ind w:firstLine="0"/>
        <w:jc w:val="left"/>
        <w:rPr>
          <w:rFonts w:ascii="Times New Roman" w:eastAsia="Aptos" w:hAnsi="Times New Roman" w:cs="Times New Roman"/>
          <w:kern w:val="0"/>
          <w:lang w:val="fr-FR"/>
          <w14:ligatures w14:val="none"/>
        </w:rPr>
      </w:pPr>
      <w:r w:rsidRPr="009853E9">
        <w:rPr>
          <w:rFonts w:ascii="Times New Roman" w:eastAsia="Aptos" w:hAnsi="Times New Roman" w:cs="Times New Roman"/>
          <w:kern w:val="0"/>
          <w:lang w:val="fr-FR"/>
          <w14:ligatures w14:val="none"/>
        </w:rPr>
        <w:t>Source: (Baier et al., 2020; Haque &amp; Irvine, 2018)</w:t>
      </w:r>
    </w:p>
    <w:p w14:paraId="6CD365EC" w14:textId="77777777" w:rsidR="004358B2" w:rsidRPr="009853E9" w:rsidRDefault="004358B2" w:rsidP="00CB1D16">
      <w:pPr>
        <w:spacing w:before="180" w:after="180" w:line="240" w:lineRule="auto"/>
        <w:ind w:firstLine="0"/>
        <w:jc w:val="left"/>
        <w:rPr>
          <w:rFonts w:ascii="Times New Roman" w:eastAsia="Aptos" w:hAnsi="Times New Roman" w:cs="Times New Roman"/>
          <w:b/>
          <w:bCs/>
          <w:kern w:val="0"/>
          <w:sz w:val="24"/>
          <w:szCs w:val="24"/>
          <w:lang w:val="fr-FR"/>
          <w14:ligatures w14:val="none"/>
        </w:rPr>
      </w:pPr>
    </w:p>
    <w:p w14:paraId="11C89FB3" w14:textId="77777777" w:rsidR="00E61993" w:rsidRPr="00007F82" w:rsidRDefault="00E61993" w:rsidP="00E61993">
      <w:pPr>
        <w:spacing w:before="180" w:after="180" w:line="240" w:lineRule="auto"/>
        <w:ind w:firstLine="0"/>
        <w:jc w:val="left"/>
        <w:rPr>
          <w:rFonts w:ascii="Times New Roman" w:eastAsia="Aptos" w:hAnsi="Times New Roman" w:cs="Times New Roman"/>
          <w:kern w:val="0"/>
          <w:sz w:val="24"/>
          <w:szCs w:val="24"/>
          <w:lang w:val="en-US"/>
          <w14:ligatures w14:val="none"/>
        </w:rPr>
      </w:pPr>
      <w:r w:rsidRPr="00007F82">
        <w:rPr>
          <w:rFonts w:ascii="Times New Roman" w:eastAsia="Aptos" w:hAnsi="Times New Roman" w:cs="Times New Roman"/>
          <w:b/>
          <w:bCs/>
          <w:kern w:val="0"/>
          <w:sz w:val="24"/>
          <w:szCs w:val="24"/>
          <w:lang w:val="en-US"/>
          <w14:ligatures w14:val="none"/>
        </w:rPr>
        <w:t>Table 2.</w:t>
      </w:r>
      <w:r w:rsidRPr="00007F82">
        <w:rPr>
          <w:rFonts w:ascii="Times New Roman" w:eastAsia="Aptos" w:hAnsi="Times New Roman" w:cs="Times New Roman"/>
          <w:kern w:val="0"/>
          <w:sz w:val="24"/>
          <w:szCs w:val="24"/>
          <w:lang w:val="en-US"/>
          <w14:ligatures w14:val="none"/>
        </w:rPr>
        <w:t xml:space="preserve"> Table 2 Descriptive Statistics</w:t>
      </w:r>
      <w:r>
        <w:rPr>
          <w:rFonts w:ascii="Times New Roman" w:eastAsia="Aptos" w:hAnsi="Times New Roman" w:cs="Times New Roman"/>
          <w:kern w:val="0"/>
          <w:sz w:val="24"/>
          <w:szCs w:val="24"/>
          <w:lang w:val="en-US"/>
          <w14:ligatures w14:val="none"/>
        </w:rPr>
        <w:t xml:space="preserve"> </w:t>
      </w:r>
    </w:p>
    <w:tbl>
      <w:tblPr>
        <w:tblStyle w:val="Table"/>
        <w:tblW w:w="7827" w:type="dxa"/>
        <w:tblLook w:val="0020" w:firstRow="1" w:lastRow="0" w:firstColumn="0" w:lastColumn="0" w:noHBand="0" w:noVBand="0"/>
      </w:tblPr>
      <w:tblGrid>
        <w:gridCol w:w="3898"/>
        <w:gridCol w:w="553"/>
        <w:gridCol w:w="917"/>
        <w:gridCol w:w="917"/>
        <w:gridCol w:w="771"/>
        <w:gridCol w:w="771"/>
      </w:tblGrid>
      <w:tr w:rsidR="00E61993" w:rsidRPr="00007F82" w14:paraId="13C8B907" w14:textId="77777777" w:rsidTr="00C94E2A">
        <w:trPr>
          <w:cnfStyle w:val="100000000000" w:firstRow="1" w:lastRow="0" w:firstColumn="0" w:lastColumn="0" w:oddVBand="0" w:evenVBand="0" w:oddHBand="0" w:evenHBand="0" w:firstRowFirstColumn="0" w:firstRowLastColumn="0" w:lastRowFirstColumn="0" w:lastRowLastColumn="0"/>
          <w:trHeight w:val="397"/>
          <w:tblHeader/>
        </w:trPr>
        <w:tc>
          <w:tcPr>
            <w:tcW w:w="0" w:type="auto"/>
            <w:tcBorders>
              <w:top w:val="single" w:sz="4" w:space="0" w:color="auto"/>
              <w:bottom w:val="single" w:sz="2" w:space="0" w:color="auto"/>
            </w:tcBorders>
          </w:tcPr>
          <w:p w14:paraId="58A34348" w14:textId="77777777" w:rsidR="00E61993" w:rsidRPr="00007F82" w:rsidRDefault="00E61993" w:rsidP="00C94E2A">
            <w:pPr>
              <w:spacing w:before="36" w:after="36"/>
              <w:rPr>
                <w:rFonts w:ascii="Times New Roman" w:eastAsia="Aptos" w:hAnsi="Times New Roman" w:cs="Times New Roman"/>
                <w:sz w:val="22"/>
                <w:szCs w:val="22"/>
              </w:rPr>
            </w:pPr>
            <w:r w:rsidRPr="00007F82">
              <w:rPr>
                <w:rFonts w:ascii="Times New Roman" w:eastAsia="Aptos" w:hAnsi="Times New Roman" w:cs="Times New Roman"/>
                <w:sz w:val="22"/>
                <w:szCs w:val="22"/>
              </w:rPr>
              <w:t>Variable</w:t>
            </w:r>
          </w:p>
        </w:tc>
        <w:tc>
          <w:tcPr>
            <w:tcW w:w="0" w:type="auto"/>
            <w:tcBorders>
              <w:top w:val="single" w:sz="4" w:space="0" w:color="auto"/>
              <w:bottom w:val="single" w:sz="2" w:space="0" w:color="auto"/>
            </w:tcBorders>
          </w:tcPr>
          <w:p w14:paraId="0A591646" w14:textId="77777777" w:rsidR="00E61993" w:rsidRPr="00007F82" w:rsidRDefault="00E61993" w:rsidP="00C94E2A">
            <w:pPr>
              <w:spacing w:before="36" w:after="36"/>
              <w:rPr>
                <w:rFonts w:ascii="Times New Roman" w:eastAsia="Aptos" w:hAnsi="Times New Roman" w:cs="Times New Roman"/>
                <w:sz w:val="22"/>
                <w:szCs w:val="22"/>
              </w:rPr>
            </w:pPr>
            <w:r w:rsidRPr="00007F82">
              <w:rPr>
                <w:rFonts w:ascii="Times New Roman" w:eastAsia="Aptos" w:hAnsi="Times New Roman" w:cs="Times New Roman"/>
                <w:sz w:val="22"/>
                <w:szCs w:val="22"/>
              </w:rPr>
              <w:t>N</w:t>
            </w:r>
          </w:p>
        </w:tc>
        <w:tc>
          <w:tcPr>
            <w:tcW w:w="0" w:type="auto"/>
            <w:tcBorders>
              <w:top w:val="single" w:sz="4" w:space="0" w:color="auto"/>
              <w:bottom w:val="single" w:sz="2" w:space="0" w:color="auto"/>
            </w:tcBorders>
          </w:tcPr>
          <w:p w14:paraId="16B82B3D" w14:textId="77777777" w:rsidR="00E61993" w:rsidRPr="00007F82" w:rsidRDefault="00E61993" w:rsidP="00C94E2A">
            <w:pPr>
              <w:spacing w:before="36" w:after="36"/>
              <w:rPr>
                <w:rFonts w:ascii="Times New Roman" w:eastAsia="Aptos" w:hAnsi="Times New Roman" w:cs="Times New Roman"/>
                <w:sz w:val="22"/>
                <w:szCs w:val="22"/>
              </w:rPr>
            </w:pPr>
            <w:r w:rsidRPr="00007F82">
              <w:rPr>
                <w:rFonts w:ascii="Times New Roman" w:eastAsia="Aptos" w:hAnsi="Times New Roman" w:cs="Times New Roman"/>
                <w:sz w:val="22"/>
                <w:szCs w:val="22"/>
              </w:rPr>
              <w:t>Mean</w:t>
            </w:r>
          </w:p>
        </w:tc>
        <w:tc>
          <w:tcPr>
            <w:tcW w:w="0" w:type="auto"/>
            <w:tcBorders>
              <w:top w:val="single" w:sz="4" w:space="0" w:color="auto"/>
              <w:bottom w:val="single" w:sz="2" w:space="0" w:color="auto"/>
            </w:tcBorders>
          </w:tcPr>
          <w:p w14:paraId="325F724B" w14:textId="77777777" w:rsidR="00E61993" w:rsidRPr="00007F82" w:rsidRDefault="00E61993" w:rsidP="00C94E2A">
            <w:pPr>
              <w:spacing w:before="36" w:after="36"/>
              <w:rPr>
                <w:rFonts w:ascii="Times New Roman" w:eastAsia="Aptos" w:hAnsi="Times New Roman" w:cs="Times New Roman"/>
                <w:sz w:val="22"/>
                <w:szCs w:val="22"/>
              </w:rPr>
            </w:pPr>
            <w:r w:rsidRPr="00007F82">
              <w:rPr>
                <w:rFonts w:ascii="Times New Roman" w:eastAsia="Aptos" w:hAnsi="Times New Roman" w:cs="Times New Roman"/>
                <w:sz w:val="22"/>
                <w:szCs w:val="22"/>
              </w:rPr>
              <w:t>SD</w:t>
            </w:r>
          </w:p>
        </w:tc>
        <w:tc>
          <w:tcPr>
            <w:tcW w:w="0" w:type="auto"/>
            <w:tcBorders>
              <w:top w:val="single" w:sz="4" w:space="0" w:color="auto"/>
              <w:bottom w:val="single" w:sz="2" w:space="0" w:color="auto"/>
            </w:tcBorders>
          </w:tcPr>
          <w:p w14:paraId="12B06464" w14:textId="77777777" w:rsidR="00E61993" w:rsidRPr="00007F82" w:rsidRDefault="00E61993" w:rsidP="00C94E2A">
            <w:pPr>
              <w:spacing w:before="36" w:after="36"/>
              <w:rPr>
                <w:rFonts w:ascii="Times New Roman" w:eastAsia="Aptos" w:hAnsi="Times New Roman" w:cs="Times New Roman"/>
                <w:sz w:val="22"/>
                <w:szCs w:val="22"/>
              </w:rPr>
            </w:pPr>
            <w:r w:rsidRPr="00007F82">
              <w:rPr>
                <w:rFonts w:ascii="Times New Roman" w:eastAsia="Aptos" w:hAnsi="Times New Roman" w:cs="Times New Roman"/>
                <w:sz w:val="22"/>
                <w:szCs w:val="22"/>
              </w:rPr>
              <w:t>Min</w:t>
            </w:r>
          </w:p>
        </w:tc>
        <w:tc>
          <w:tcPr>
            <w:tcW w:w="0" w:type="auto"/>
            <w:tcBorders>
              <w:top w:val="single" w:sz="4" w:space="0" w:color="auto"/>
              <w:bottom w:val="single" w:sz="2" w:space="0" w:color="auto"/>
            </w:tcBorders>
          </w:tcPr>
          <w:p w14:paraId="14080C33" w14:textId="77777777" w:rsidR="00E61993" w:rsidRPr="00007F82" w:rsidRDefault="00E61993" w:rsidP="00C94E2A">
            <w:pPr>
              <w:spacing w:before="36" w:after="36"/>
              <w:rPr>
                <w:rFonts w:ascii="Times New Roman" w:eastAsia="Aptos" w:hAnsi="Times New Roman" w:cs="Times New Roman"/>
                <w:sz w:val="22"/>
                <w:szCs w:val="22"/>
              </w:rPr>
            </w:pPr>
            <w:r w:rsidRPr="00007F82">
              <w:rPr>
                <w:rFonts w:ascii="Times New Roman" w:eastAsia="Aptos" w:hAnsi="Times New Roman" w:cs="Times New Roman"/>
                <w:sz w:val="22"/>
                <w:szCs w:val="22"/>
              </w:rPr>
              <w:t>Max</w:t>
            </w:r>
          </w:p>
        </w:tc>
      </w:tr>
      <w:tr w:rsidR="00E61993" w:rsidRPr="00007F82" w14:paraId="378D8256" w14:textId="77777777" w:rsidTr="00C94E2A">
        <w:trPr>
          <w:trHeight w:val="411"/>
        </w:trPr>
        <w:tc>
          <w:tcPr>
            <w:tcW w:w="0" w:type="auto"/>
            <w:tcBorders>
              <w:top w:val="single" w:sz="2" w:space="0" w:color="auto"/>
            </w:tcBorders>
          </w:tcPr>
          <w:p w14:paraId="166EF360" w14:textId="77777777" w:rsidR="00E61993" w:rsidRPr="00007F82" w:rsidRDefault="00E61993" w:rsidP="00C94E2A">
            <w:pPr>
              <w:spacing w:before="36" w:after="36"/>
              <w:rPr>
                <w:rFonts w:ascii="Times New Roman" w:eastAsia="Aptos" w:hAnsi="Times New Roman" w:cs="Times New Roman"/>
              </w:rPr>
            </w:pPr>
            <w:r>
              <w:rPr>
                <w:rFonts w:ascii="Times New Roman" w:eastAsia="Aptos" w:hAnsi="Times New Roman" w:cs="Times New Roman"/>
              </w:rPr>
              <w:t xml:space="preserve">TOTAL </w:t>
            </w:r>
          </w:p>
        </w:tc>
        <w:tc>
          <w:tcPr>
            <w:tcW w:w="0" w:type="auto"/>
            <w:tcBorders>
              <w:top w:val="single" w:sz="2" w:space="0" w:color="auto"/>
            </w:tcBorders>
          </w:tcPr>
          <w:p w14:paraId="397B5556" w14:textId="77777777" w:rsidR="00E61993" w:rsidRPr="00007F82" w:rsidRDefault="00E61993" w:rsidP="00C94E2A">
            <w:pPr>
              <w:spacing w:before="36" w:after="36"/>
              <w:rPr>
                <w:rFonts w:ascii="Times New Roman" w:eastAsia="Aptos" w:hAnsi="Times New Roman" w:cs="Times New Roman"/>
              </w:rPr>
            </w:pPr>
            <w:r w:rsidRPr="00007F82">
              <w:rPr>
                <w:rFonts w:ascii="Times New Roman" w:eastAsia="Aptos" w:hAnsi="Times New Roman" w:cs="Times New Roman"/>
              </w:rPr>
              <w:t>70</w:t>
            </w:r>
          </w:p>
        </w:tc>
        <w:tc>
          <w:tcPr>
            <w:tcW w:w="0" w:type="auto"/>
            <w:tcBorders>
              <w:top w:val="single" w:sz="2" w:space="0" w:color="auto"/>
            </w:tcBorders>
          </w:tcPr>
          <w:p w14:paraId="4B858534" w14:textId="77777777" w:rsidR="00E61993" w:rsidRPr="00007F82" w:rsidRDefault="00E61993" w:rsidP="00C94E2A">
            <w:pPr>
              <w:spacing w:before="36" w:after="36"/>
              <w:rPr>
                <w:rFonts w:ascii="Times New Roman" w:eastAsia="Aptos" w:hAnsi="Times New Roman" w:cs="Times New Roman"/>
              </w:rPr>
            </w:pPr>
            <w:r w:rsidRPr="00007F82">
              <w:rPr>
                <w:rFonts w:ascii="Times New Roman" w:eastAsia="Aptos" w:hAnsi="Times New Roman" w:cs="Times New Roman"/>
              </w:rPr>
              <w:t>72.1</w:t>
            </w:r>
          </w:p>
        </w:tc>
        <w:tc>
          <w:tcPr>
            <w:tcW w:w="0" w:type="auto"/>
            <w:tcBorders>
              <w:top w:val="single" w:sz="2" w:space="0" w:color="auto"/>
            </w:tcBorders>
          </w:tcPr>
          <w:p w14:paraId="5C54083C" w14:textId="77777777" w:rsidR="00E61993" w:rsidRPr="00007F82" w:rsidRDefault="00E61993" w:rsidP="00C94E2A">
            <w:pPr>
              <w:spacing w:before="36" w:after="36"/>
              <w:rPr>
                <w:rFonts w:ascii="Times New Roman" w:eastAsia="Aptos" w:hAnsi="Times New Roman" w:cs="Times New Roman"/>
              </w:rPr>
            </w:pPr>
            <w:r w:rsidRPr="00007F82">
              <w:rPr>
                <w:rFonts w:ascii="Times New Roman" w:eastAsia="Aptos" w:hAnsi="Times New Roman" w:cs="Times New Roman"/>
              </w:rPr>
              <w:t>99.0</w:t>
            </w:r>
          </w:p>
        </w:tc>
        <w:tc>
          <w:tcPr>
            <w:tcW w:w="0" w:type="auto"/>
            <w:tcBorders>
              <w:top w:val="single" w:sz="2" w:space="0" w:color="auto"/>
            </w:tcBorders>
          </w:tcPr>
          <w:p w14:paraId="1ECCD8AA" w14:textId="77777777" w:rsidR="00E61993" w:rsidRPr="00007F82" w:rsidRDefault="00E61993" w:rsidP="00C94E2A">
            <w:pPr>
              <w:spacing w:before="36" w:after="36"/>
              <w:rPr>
                <w:rFonts w:ascii="Times New Roman" w:eastAsia="Aptos" w:hAnsi="Times New Roman" w:cs="Times New Roman"/>
              </w:rPr>
            </w:pPr>
            <w:r w:rsidRPr="00007F82">
              <w:rPr>
                <w:rFonts w:ascii="Times New Roman" w:eastAsia="Aptos" w:hAnsi="Times New Roman" w:cs="Times New Roman"/>
              </w:rPr>
              <w:t>0.00</w:t>
            </w:r>
          </w:p>
        </w:tc>
        <w:tc>
          <w:tcPr>
            <w:tcW w:w="0" w:type="auto"/>
            <w:tcBorders>
              <w:top w:val="single" w:sz="2" w:space="0" w:color="auto"/>
            </w:tcBorders>
          </w:tcPr>
          <w:p w14:paraId="33A0B6B1" w14:textId="77777777" w:rsidR="00E61993" w:rsidRPr="00007F82" w:rsidRDefault="00E61993" w:rsidP="00C94E2A">
            <w:pPr>
              <w:spacing w:before="36" w:after="36"/>
              <w:rPr>
                <w:rFonts w:ascii="Times New Roman" w:eastAsia="Aptos" w:hAnsi="Times New Roman" w:cs="Times New Roman"/>
              </w:rPr>
            </w:pPr>
            <w:r w:rsidRPr="00007F82">
              <w:rPr>
                <w:rFonts w:ascii="Times New Roman" w:eastAsia="Aptos" w:hAnsi="Times New Roman" w:cs="Times New Roman"/>
              </w:rPr>
              <w:t>539</w:t>
            </w:r>
          </w:p>
        </w:tc>
      </w:tr>
      <w:tr w:rsidR="00E61993" w:rsidRPr="00007F82" w14:paraId="53E67620" w14:textId="77777777" w:rsidTr="00C94E2A">
        <w:trPr>
          <w:trHeight w:val="397"/>
        </w:trPr>
        <w:tc>
          <w:tcPr>
            <w:tcW w:w="0" w:type="auto"/>
          </w:tcPr>
          <w:p w14:paraId="4ACDF582" w14:textId="77777777" w:rsidR="00E61993" w:rsidRPr="00007F82" w:rsidRDefault="00E61993" w:rsidP="00C94E2A">
            <w:pPr>
              <w:spacing w:before="36" w:after="36"/>
              <w:rPr>
                <w:rFonts w:ascii="Times New Roman" w:eastAsia="Aptos" w:hAnsi="Times New Roman" w:cs="Times New Roman"/>
              </w:rPr>
            </w:pPr>
            <w:r>
              <w:rPr>
                <w:rFonts w:ascii="Times New Roman" w:eastAsia="Aptos" w:hAnsi="Times New Roman" w:cs="Times New Roman"/>
              </w:rPr>
              <w:t xml:space="preserve">NAR </w:t>
            </w:r>
          </w:p>
        </w:tc>
        <w:tc>
          <w:tcPr>
            <w:tcW w:w="0" w:type="auto"/>
          </w:tcPr>
          <w:p w14:paraId="5A505504" w14:textId="77777777" w:rsidR="00E61993" w:rsidRPr="00007F82" w:rsidRDefault="00E61993" w:rsidP="00C94E2A">
            <w:pPr>
              <w:spacing w:before="36" w:after="36"/>
              <w:rPr>
                <w:rFonts w:ascii="Times New Roman" w:eastAsia="Aptos" w:hAnsi="Times New Roman" w:cs="Times New Roman"/>
              </w:rPr>
            </w:pPr>
            <w:r w:rsidRPr="00007F82">
              <w:rPr>
                <w:rFonts w:ascii="Times New Roman" w:eastAsia="Aptos" w:hAnsi="Times New Roman" w:cs="Times New Roman"/>
              </w:rPr>
              <w:t>70</w:t>
            </w:r>
          </w:p>
        </w:tc>
        <w:tc>
          <w:tcPr>
            <w:tcW w:w="0" w:type="auto"/>
          </w:tcPr>
          <w:p w14:paraId="56DA5DA8" w14:textId="77777777" w:rsidR="00E61993" w:rsidRPr="00007F82" w:rsidRDefault="00E61993" w:rsidP="00C94E2A">
            <w:pPr>
              <w:spacing w:before="36" w:after="36"/>
              <w:rPr>
                <w:rFonts w:ascii="Times New Roman" w:eastAsia="Aptos" w:hAnsi="Times New Roman" w:cs="Times New Roman"/>
              </w:rPr>
            </w:pPr>
            <w:r w:rsidRPr="00007F82">
              <w:rPr>
                <w:rFonts w:ascii="Times New Roman" w:eastAsia="Aptos" w:hAnsi="Times New Roman" w:cs="Times New Roman"/>
              </w:rPr>
              <w:t>62.9</w:t>
            </w:r>
          </w:p>
        </w:tc>
        <w:tc>
          <w:tcPr>
            <w:tcW w:w="0" w:type="auto"/>
          </w:tcPr>
          <w:p w14:paraId="1247E2C1" w14:textId="77777777" w:rsidR="00E61993" w:rsidRPr="00007F82" w:rsidRDefault="00E61993" w:rsidP="00C94E2A">
            <w:pPr>
              <w:spacing w:before="36" w:after="36"/>
              <w:rPr>
                <w:rFonts w:ascii="Times New Roman" w:eastAsia="Aptos" w:hAnsi="Times New Roman" w:cs="Times New Roman"/>
              </w:rPr>
            </w:pPr>
            <w:r w:rsidRPr="00007F82">
              <w:rPr>
                <w:rFonts w:ascii="Times New Roman" w:eastAsia="Aptos" w:hAnsi="Times New Roman" w:cs="Times New Roman"/>
              </w:rPr>
              <w:t>90.89</w:t>
            </w:r>
          </w:p>
        </w:tc>
        <w:tc>
          <w:tcPr>
            <w:tcW w:w="0" w:type="auto"/>
          </w:tcPr>
          <w:p w14:paraId="6AD2CF17" w14:textId="77777777" w:rsidR="00E61993" w:rsidRPr="00007F82" w:rsidRDefault="00E61993" w:rsidP="00C94E2A">
            <w:pPr>
              <w:spacing w:before="36" w:after="36"/>
              <w:rPr>
                <w:rFonts w:ascii="Times New Roman" w:eastAsia="Aptos" w:hAnsi="Times New Roman" w:cs="Times New Roman"/>
              </w:rPr>
            </w:pPr>
            <w:r w:rsidRPr="00007F82">
              <w:rPr>
                <w:rFonts w:ascii="Times New Roman" w:eastAsia="Aptos" w:hAnsi="Times New Roman" w:cs="Times New Roman"/>
              </w:rPr>
              <w:t>0.00</w:t>
            </w:r>
          </w:p>
        </w:tc>
        <w:tc>
          <w:tcPr>
            <w:tcW w:w="0" w:type="auto"/>
          </w:tcPr>
          <w:p w14:paraId="345FA269" w14:textId="77777777" w:rsidR="00E61993" w:rsidRPr="00007F82" w:rsidRDefault="00E61993" w:rsidP="00C94E2A">
            <w:pPr>
              <w:spacing w:before="36" w:after="36"/>
              <w:rPr>
                <w:rFonts w:ascii="Times New Roman" w:eastAsia="Aptos" w:hAnsi="Times New Roman" w:cs="Times New Roman"/>
              </w:rPr>
            </w:pPr>
            <w:r w:rsidRPr="00007F82">
              <w:rPr>
                <w:rFonts w:ascii="Times New Roman" w:eastAsia="Aptos" w:hAnsi="Times New Roman" w:cs="Times New Roman"/>
              </w:rPr>
              <w:t>506</w:t>
            </w:r>
          </w:p>
        </w:tc>
      </w:tr>
      <w:tr w:rsidR="00E61993" w:rsidRPr="00431C15" w14:paraId="3D6B84C6" w14:textId="77777777" w:rsidTr="00C94E2A">
        <w:trPr>
          <w:trHeight w:val="411"/>
        </w:trPr>
        <w:tc>
          <w:tcPr>
            <w:tcW w:w="0" w:type="auto"/>
          </w:tcPr>
          <w:p w14:paraId="4B4E9D9D" w14:textId="77777777" w:rsidR="00E61993" w:rsidRPr="00007F82" w:rsidRDefault="00E61993" w:rsidP="00C94E2A">
            <w:pPr>
              <w:spacing w:before="36" w:after="36"/>
              <w:rPr>
                <w:rFonts w:ascii="Times New Roman" w:eastAsia="Aptos" w:hAnsi="Times New Roman" w:cs="Times New Roman"/>
              </w:rPr>
            </w:pPr>
            <w:r>
              <w:rPr>
                <w:rFonts w:ascii="Times New Roman" w:eastAsia="Aptos" w:hAnsi="Times New Roman" w:cs="Times New Roman"/>
              </w:rPr>
              <w:t>NUM</w:t>
            </w:r>
          </w:p>
        </w:tc>
        <w:tc>
          <w:tcPr>
            <w:tcW w:w="0" w:type="auto"/>
          </w:tcPr>
          <w:p w14:paraId="220170C5" w14:textId="77777777" w:rsidR="00E61993" w:rsidRPr="00007F82" w:rsidRDefault="00E61993" w:rsidP="00C94E2A">
            <w:pPr>
              <w:spacing w:before="36" w:after="36"/>
              <w:rPr>
                <w:rFonts w:ascii="Times New Roman" w:eastAsia="Aptos" w:hAnsi="Times New Roman" w:cs="Times New Roman"/>
              </w:rPr>
            </w:pPr>
            <w:r w:rsidRPr="00007F82">
              <w:rPr>
                <w:rFonts w:ascii="Times New Roman" w:eastAsia="Aptos" w:hAnsi="Times New Roman" w:cs="Times New Roman"/>
              </w:rPr>
              <w:t>70</w:t>
            </w:r>
          </w:p>
        </w:tc>
        <w:tc>
          <w:tcPr>
            <w:tcW w:w="0" w:type="auto"/>
          </w:tcPr>
          <w:p w14:paraId="2C4FFC26" w14:textId="77777777" w:rsidR="00E61993" w:rsidRPr="00007F82" w:rsidRDefault="00E61993" w:rsidP="00C94E2A">
            <w:pPr>
              <w:spacing w:before="36" w:after="36"/>
              <w:rPr>
                <w:rFonts w:ascii="Times New Roman" w:eastAsia="Aptos" w:hAnsi="Times New Roman" w:cs="Times New Roman"/>
              </w:rPr>
            </w:pPr>
            <w:r w:rsidRPr="00007F82">
              <w:rPr>
                <w:rFonts w:ascii="Times New Roman" w:eastAsia="Aptos" w:hAnsi="Times New Roman" w:cs="Times New Roman"/>
              </w:rPr>
              <w:t xml:space="preserve">9.01      </w:t>
            </w:r>
          </w:p>
        </w:tc>
        <w:tc>
          <w:tcPr>
            <w:tcW w:w="0" w:type="auto"/>
          </w:tcPr>
          <w:p w14:paraId="13891BB1" w14:textId="77777777" w:rsidR="00E61993" w:rsidRPr="00007F82" w:rsidRDefault="00E61993" w:rsidP="00C94E2A">
            <w:pPr>
              <w:spacing w:before="36" w:after="36"/>
              <w:rPr>
                <w:rFonts w:ascii="Times New Roman" w:eastAsia="Aptos" w:hAnsi="Times New Roman" w:cs="Times New Roman"/>
              </w:rPr>
            </w:pPr>
            <w:r w:rsidRPr="00007F82">
              <w:rPr>
                <w:rFonts w:ascii="Times New Roman" w:eastAsia="Aptos" w:hAnsi="Times New Roman" w:cs="Times New Roman"/>
              </w:rPr>
              <w:t>11.42</w:t>
            </w:r>
          </w:p>
        </w:tc>
        <w:tc>
          <w:tcPr>
            <w:tcW w:w="0" w:type="auto"/>
          </w:tcPr>
          <w:p w14:paraId="0DF81FA2" w14:textId="77777777" w:rsidR="00E61993" w:rsidRPr="00007F82" w:rsidRDefault="00E61993" w:rsidP="00C94E2A">
            <w:pPr>
              <w:spacing w:before="36" w:after="36"/>
              <w:rPr>
                <w:rFonts w:ascii="Times New Roman" w:eastAsia="Aptos" w:hAnsi="Times New Roman" w:cs="Times New Roman"/>
              </w:rPr>
            </w:pPr>
            <w:r w:rsidRPr="00007F82">
              <w:rPr>
                <w:rFonts w:ascii="Times New Roman" w:eastAsia="Aptos" w:hAnsi="Times New Roman" w:cs="Times New Roman"/>
              </w:rPr>
              <w:t xml:space="preserve">0.00      </w:t>
            </w:r>
          </w:p>
        </w:tc>
        <w:tc>
          <w:tcPr>
            <w:tcW w:w="0" w:type="auto"/>
          </w:tcPr>
          <w:p w14:paraId="02E24486" w14:textId="77777777" w:rsidR="00E61993" w:rsidRPr="00701BAF" w:rsidRDefault="00E61993" w:rsidP="00C94E2A">
            <w:pPr>
              <w:spacing w:before="36" w:after="36"/>
              <w:rPr>
                <w:rFonts w:ascii="Times New Roman" w:eastAsia="Aptos" w:hAnsi="Times New Roman" w:cs="Times New Roman"/>
              </w:rPr>
            </w:pPr>
            <w:r w:rsidRPr="00007F82">
              <w:rPr>
                <w:rFonts w:ascii="Times New Roman" w:eastAsia="Aptos" w:hAnsi="Times New Roman" w:cs="Times New Roman"/>
              </w:rPr>
              <w:t>51</w:t>
            </w:r>
          </w:p>
        </w:tc>
      </w:tr>
      <w:tr w:rsidR="00E61993" w:rsidRPr="00431C15" w14:paraId="15BE9F20" w14:textId="77777777" w:rsidTr="00C94E2A">
        <w:trPr>
          <w:trHeight w:val="411"/>
        </w:trPr>
        <w:tc>
          <w:tcPr>
            <w:tcW w:w="0" w:type="auto"/>
          </w:tcPr>
          <w:p w14:paraId="60D16D55" w14:textId="77777777" w:rsidR="00E61993" w:rsidRPr="00431C15" w:rsidRDefault="00E61993" w:rsidP="00C94E2A">
            <w:pPr>
              <w:spacing w:before="36" w:after="36"/>
              <w:rPr>
                <w:rFonts w:ascii="Times New Roman" w:eastAsia="Aptos" w:hAnsi="Times New Roman" w:cs="Times New Roman"/>
                <w:highlight w:val="yellow"/>
              </w:rPr>
            </w:pPr>
            <w:r w:rsidRPr="00205D64">
              <w:rPr>
                <w:rFonts w:ascii="Times New Roman" w:eastAsia="Aptos" w:hAnsi="Times New Roman" w:cs="Times New Roman"/>
              </w:rPr>
              <w:t>P/T</w:t>
            </w:r>
          </w:p>
        </w:tc>
        <w:tc>
          <w:tcPr>
            <w:tcW w:w="0" w:type="auto"/>
          </w:tcPr>
          <w:p w14:paraId="5D5C38B5" w14:textId="77777777" w:rsidR="00E61993" w:rsidRPr="00007F82" w:rsidRDefault="00E61993" w:rsidP="00C94E2A">
            <w:pPr>
              <w:spacing w:before="36" w:after="36"/>
              <w:rPr>
                <w:rFonts w:ascii="Times New Roman" w:eastAsia="Aptos" w:hAnsi="Times New Roman" w:cs="Times New Roman"/>
              </w:rPr>
            </w:pPr>
            <w:r w:rsidRPr="00007F82">
              <w:rPr>
                <w:rFonts w:ascii="Times New Roman" w:eastAsia="Aptos" w:hAnsi="Times New Roman" w:cs="Times New Roman"/>
              </w:rPr>
              <w:t>70</w:t>
            </w:r>
          </w:p>
        </w:tc>
        <w:tc>
          <w:tcPr>
            <w:tcW w:w="0" w:type="auto"/>
          </w:tcPr>
          <w:p w14:paraId="35F867FF" w14:textId="77777777" w:rsidR="00E61993" w:rsidRPr="00007F82" w:rsidRDefault="00E61993" w:rsidP="00C94E2A">
            <w:pPr>
              <w:spacing w:before="36" w:after="36"/>
              <w:rPr>
                <w:rFonts w:ascii="Times New Roman" w:eastAsia="Aptos" w:hAnsi="Times New Roman" w:cs="Times New Roman"/>
              </w:rPr>
            </w:pPr>
            <w:r w:rsidRPr="00007F82">
              <w:rPr>
                <w:rFonts w:ascii="Times New Roman" w:eastAsia="Aptos" w:hAnsi="Times New Roman" w:cs="Times New Roman"/>
              </w:rPr>
              <w:t>3.18</w:t>
            </w:r>
          </w:p>
        </w:tc>
        <w:tc>
          <w:tcPr>
            <w:tcW w:w="0" w:type="auto"/>
          </w:tcPr>
          <w:p w14:paraId="15BA7F3A" w14:textId="77777777" w:rsidR="00E61993" w:rsidRPr="00007F82" w:rsidRDefault="00E61993" w:rsidP="00C94E2A">
            <w:pPr>
              <w:spacing w:before="36" w:after="36"/>
              <w:rPr>
                <w:rFonts w:ascii="Times New Roman" w:eastAsia="Aptos" w:hAnsi="Times New Roman" w:cs="Times New Roman"/>
              </w:rPr>
            </w:pPr>
            <w:r w:rsidRPr="00007F82">
              <w:rPr>
                <w:rFonts w:ascii="Times New Roman" w:eastAsia="Aptos" w:hAnsi="Times New Roman" w:cs="Times New Roman"/>
              </w:rPr>
              <w:t>3.64</w:t>
            </w:r>
          </w:p>
        </w:tc>
        <w:tc>
          <w:tcPr>
            <w:tcW w:w="0" w:type="auto"/>
          </w:tcPr>
          <w:p w14:paraId="2EAF8287" w14:textId="77777777" w:rsidR="00E61993" w:rsidRPr="00007F82" w:rsidRDefault="00E61993" w:rsidP="00C94E2A">
            <w:pPr>
              <w:spacing w:before="36" w:after="36"/>
              <w:rPr>
                <w:rFonts w:ascii="Times New Roman" w:eastAsia="Aptos" w:hAnsi="Times New Roman" w:cs="Times New Roman"/>
              </w:rPr>
            </w:pPr>
            <w:r w:rsidRPr="00007F82">
              <w:rPr>
                <w:rFonts w:ascii="Times New Roman" w:eastAsia="Aptos" w:hAnsi="Times New Roman" w:cs="Times New Roman"/>
              </w:rPr>
              <w:t>0.00</w:t>
            </w:r>
          </w:p>
        </w:tc>
        <w:tc>
          <w:tcPr>
            <w:tcW w:w="0" w:type="auto"/>
          </w:tcPr>
          <w:p w14:paraId="1E2F4033" w14:textId="77777777" w:rsidR="00E61993" w:rsidRPr="00007F82" w:rsidRDefault="00E61993" w:rsidP="00C94E2A">
            <w:pPr>
              <w:spacing w:before="36" w:after="36"/>
              <w:rPr>
                <w:rFonts w:ascii="Times New Roman" w:eastAsia="Aptos" w:hAnsi="Times New Roman" w:cs="Times New Roman"/>
              </w:rPr>
            </w:pPr>
            <w:r w:rsidRPr="00007F82">
              <w:rPr>
                <w:rFonts w:ascii="Times New Roman" w:eastAsia="Aptos" w:hAnsi="Times New Roman" w:cs="Times New Roman"/>
              </w:rPr>
              <w:t>17</w:t>
            </w:r>
          </w:p>
        </w:tc>
      </w:tr>
      <w:tr w:rsidR="00E61993" w:rsidRPr="0039748B" w14:paraId="7B187062" w14:textId="77777777" w:rsidTr="00C94E2A">
        <w:trPr>
          <w:trHeight w:val="397"/>
        </w:trPr>
        <w:tc>
          <w:tcPr>
            <w:tcW w:w="0" w:type="auto"/>
          </w:tcPr>
          <w:p w14:paraId="4CEB43C0" w14:textId="77777777" w:rsidR="00E61993" w:rsidRPr="0039748B" w:rsidRDefault="00E61993" w:rsidP="00C94E2A">
            <w:pPr>
              <w:spacing w:before="36" w:after="36"/>
              <w:rPr>
                <w:rFonts w:ascii="Times New Roman" w:eastAsia="Aptos" w:hAnsi="Times New Roman" w:cs="Times New Roman"/>
              </w:rPr>
            </w:pPr>
            <w:r w:rsidRPr="0039748B">
              <w:rPr>
                <w:rFonts w:ascii="Times New Roman" w:eastAsia="Aptos" w:hAnsi="Times New Roman" w:cs="Times New Roman"/>
              </w:rPr>
              <w:t>ENV Accountability Statement</w:t>
            </w:r>
          </w:p>
        </w:tc>
        <w:tc>
          <w:tcPr>
            <w:tcW w:w="0" w:type="auto"/>
          </w:tcPr>
          <w:p w14:paraId="7892EE45" w14:textId="77777777" w:rsidR="00E61993" w:rsidRPr="0039748B" w:rsidRDefault="00E61993" w:rsidP="00C94E2A">
            <w:pPr>
              <w:spacing w:before="36" w:after="36"/>
              <w:rPr>
                <w:rFonts w:ascii="Times New Roman" w:eastAsia="Aptos" w:hAnsi="Times New Roman" w:cs="Times New Roman"/>
              </w:rPr>
            </w:pPr>
            <w:r w:rsidRPr="0039748B">
              <w:rPr>
                <w:rFonts w:ascii="Times New Roman" w:eastAsia="Aptos" w:hAnsi="Times New Roman" w:cs="Times New Roman"/>
              </w:rPr>
              <w:t>70</w:t>
            </w:r>
          </w:p>
        </w:tc>
        <w:tc>
          <w:tcPr>
            <w:tcW w:w="0" w:type="auto"/>
          </w:tcPr>
          <w:p w14:paraId="37CBBEE2" w14:textId="77777777" w:rsidR="00E61993" w:rsidRPr="0039748B" w:rsidRDefault="00E61993" w:rsidP="00C94E2A">
            <w:pPr>
              <w:spacing w:before="36" w:after="36"/>
              <w:rPr>
                <w:rFonts w:ascii="Times New Roman" w:eastAsia="Aptos" w:hAnsi="Times New Roman" w:cs="Times New Roman"/>
              </w:rPr>
            </w:pPr>
            <w:r w:rsidRPr="0039748B">
              <w:rPr>
                <w:rFonts w:ascii="Times New Roman" w:eastAsia="Aptos" w:hAnsi="Times New Roman" w:cs="Times New Roman"/>
              </w:rPr>
              <w:t>0.69</w:t>
            </w:r>
          </w:p>
        </w:tc>
        <w:tc>
          <w:tcPr>
            <w:tcW w:w="0" w:type="auto"/>
          </w:tcPr>
          <w:p w14:paraId="1E66BAA5" w14:textId="77777777" w:rsidR="00E61993" w:rsidRPr="0039748B" w:rsidRDefault="00E61993" w:rsidP="00C94E2A">
            <w:pPr>
              <w:spacing w:before="36" w:after="36"/>
              <w:rPr>
                <w:rFonts w:ascii="Times New Roman" w:eastAsia="Aptos" w:hAnsi="Times New Roman" w:cs="Times New Roman"/>
              </w:rPr>
            </w:pPr>
            <w:r w:rsidRPr="0039748B">
              <w:rPr>
                <w:rFonts w:ascii="Times New Roman" w:eastAsia="Aptos" w:hAnsi="Times New Roman" w:cs="Times New Roman"/>
              </w:rPr>
              <w:t>0.468</w:t>
            </w:r>
          </w:p>
        </w:tc>
        <w:tc>
          <w:tcPr>
            <w:tcW w:w="0" w:type="auto"/>
          </w:tcPr>
          <w:p w14:paraId="66131DE9" w14:textId="77777777" w:rsidR="00E61993" w:rsidRPr="0039748B" w:rsidRDefault="00E61993" w:rsidP="00C94E2A">
            <w:pPr>
              <w:spacing w:before="36" w:after="36"/>
              <w:rPr>
                <w:rFonts w:ascii="Times New Roman" w:eastAsia="Aptos" w:hAnsi="Times New Roman" w:cs="Times New Roman"/>
              </w:rPr>
            </w:pPr>
            <w:r w:rsidRPr="0039748B">
              <w:rPr>
                <w:rFonts w:ascii="Times New Roman" w:eastAsia="Aptos" w:hAnsi="Times New Roman" w:cs="Times New Roman"/>
              </w:rPr>
              <w:t>0.00</w:t>
            </w:r>
          </w:p>
        </w:tc>
        <w:tc>
          <w:tcPr>
            <w:tcW w:w="0" w:type="auto"/>
          </w:tcPr>
          <w:p w14:paraId="066F68E9" w14:textId="77777777" w:rsidR="00E61993" w:rsidRPr="0039748B" w:rsidRDefault="00E61993" w:rsidP="00C94E2A">
            <w:pPr>
              <w:spacing w:before="36" w:after="36"/>
              <w:rPr>
                <w:rFonts w:ascii="Times New Roman" w:eastAsia="Aptos" w:hAnsi="Times New Roman" w:cs="Times New Roman"/>
              </w:rPr>
            </w:pPr>
            <w:r w:rsidRPr="0039748B">
              <w:rPr>
                <w:rFonts w:ascii="Times New Roman" w:eastAsia="Aptos" w:hAnsi="Times New Roman" w:cs="Times New Roman"/>
              </w:rPr>
              <w:t>1.00</w:t>
            </w:r>
          </w:p>
        </w:tc>
      </w:tr>
      <w:tr w:rsidR="00E61993" w:rsidRPr="00CB1D16" w14:paraId="7B5EC3B0" w14:textId="77777777" w:rsidTr="00C94E2A">
        <w:trPr>
          <w:trHeight w:val="397"/>
        </w:trPr>
        <w:tc>
          <w:tcPr>
            <w:tcW w:w="0" w:type="auto"/>
            <w:tcBorders>
              <w:bottom w:val="single" w:sz="4" w:space="0" w:color="auto"/>
            </w:tcBorders>
          </w:tcPr>
          <w:p w14:paraId="739C5337" w14:textId="77777777" w:rsidR="00E61993" w:rsidRPr="00431C15" w:rsidRDefault="00E61993" w:rsidP="00C94E2A">
            <w:pPr>
              <w:spacing w:before="36" w:after="36"/>
              <w:rPr>
                <w:rFonts w:ascii="Times New Roman" w:eastAsia="Aptos" w:hAnsi="Times New Roman" w:cs="Times New Roman"/>
                <w:highlight w:val="yellow"/>
              </w:rPr>
            </w:pPr>
            <w:r w:rsidRPr="00205D64">
              <w:rPr>
                <w:rFonts w:ascii="Times New Roman" w:eastAsia="Aptos" w:hAnsi="Times New Roman" w:cs="Times New Roman"/>
              </w:rPr>
              <w:t>OA</w:t>
            </w:r>
          </w:p>
        </w:tc>
        <w:tc>
          <w:tcPr>
            <w:tcW w:w="0" w:type="auto"/>
            <w:tcBorders>
              <w:bottom w:val="single" w:sz="4" w:space="0" w:color="auto"/>
            </w:tcBorders>
          </w:tcPr>
          <w:p w14:paraId="4F31494F" w14:textId="77777777" w:rsidR="00E61993" w:rsidRPr="00F475C7" w:rsidRDefault="00E61993" w:rsidP="00C94E2A">
            <w:pPr>
              <w:spacing w:before="36" w:after="36"/>
              <w:rPr>
                <w:rFonts w:ascii="Times New Roman" w:eastAsia="Aptos" w:hAnsi="Times New Roman" w:cs="Times New Roman"/>
              </w:rPr>
            </w:pPr>
            <w:r w:rsidRPr="00F475C7">
              <w:rPr>
                <w:rFonts w:ascii="Times New Roman" w:eastAsia="Aptos" w:hAnsi="Times New Roman" w:cs="Times New Roman"/>
              </w:rPr>
              <w:t>70</w:t>
            </w:r>
          </w:p>
        </w:tc>
        <w:tc>
          <w:tcPr>
            <w:tcW w:w="0" w:type="auto"/>
            <w:tcBorders>
              <w:bottom w:val="single" w:sz="4" w:space="0" w:color="auto"/>
            </w:tcBorders>
          </w:tcPr>
          <w:p w14:paraId="30D63DEE" w14:textId="77777777" w:rsidR="00E61993" w:rsidRPr="00F475C7" w:rsidRDefault="00E61993" w:rsidP="00C94E2A">
            <w:pPr>
              <w:spacing w:before="36" w:after="36"/>
              <w:rPr>
                <w:rFonts w:ascii="Times New Roman" w:eastAsia="Aptos" w:hAnsi="Times New Roman" w:cs="Times New Roman"/>
              </w:rPr>
            </w:pPr>
            <w:r w:rsidRPr="00F475C7">
              <w:rPr>
                <w:rFonts w:ascii="Times New Roman" w:eastAsia="Aptos" w:hAnsi="Times New Roman" w:cs="Times New Roman"/>
              </w:rPr>
              <w:t>59.54</w:t>
            </w:r>
          </w:p>
        </w:tc>
        <w:tc>
          <w:tcPr>
            <w:tcW w:w="0" w:type="auto"/>
            <w:tcBorders>
              <w:bottom w:val="single" w:sz="4" w:space="0" w:color="auto"/>
            </w:tcBorders>
          </w:tcPr>
          <w:p w14:paraId="2612B252" w14:textId="77777777" w:rsidR="00E61993" w:rsidRPr="00F475C7" w:rsidRDefault="00E61993" w:rsidP="00C94E2A">
            <w:pPr>
              <w:spacing w:before="36" w:after="36"/>
              <w:rPr>
                <w:rFonts w:ascii="Times New Roman" w:eastAsia="Aptos" w:hAnsi="Times New Roman" w:cs="Times New Roman"/>
              </w:rPr>
            </w:pPr>
            <w:r w:rsidRPr="00F475C7">
              <w:rPr>
                <w:rFonts w:ascii="Times New Roman" w:eastAsia="Aptos" w:hAnsi="Times New Roman" w:cs="Times New Roman"/>
              </w:rPr>
              <w:t>88.68</w:t>
            </w:r>
          </w:p>
        </w:tc>
        <w:tc>
          <w:tcPr>
            <w:tcW w:w="0" w:type="auto"/>
            <w:tcBorders>
              <w:bottom w:val="single" w:sz="4" w:space="0" w:color="auto"/>
            </w:tcBorders>
          </w:tcPr>
          <w:p w14:paraId="364FCBFB" w14:textId="77777777" w:rsidR="00E61993" w:rsidRPr="00F475C7" w:rsidRDefault="00E61993" w:rsidP="00C94E2A">
            <w:pPr>
              <w:spacing w:before="36" w:after="36"/>
              <w:rPr>
                <w:rFonts w:ascii="Times New Roman" w:eastAsia="Aptos" w:hAnsi="Times New Roman" w:cs="Times New Roman"/>
              </w:rPr>
            </w:pPr>
            <w:r w:rsidRPr="00F475C7">
              <w:rPr>
                <w:rFonts w:ascii="Times New Roman" w:eastAsia="Aptos" w:hAnsi="Times New Roman" w:cs="Times New Roman"/>
              </w:rPr>
              <w:t>0.00</w:t>
            </w:r>
          </w:p>
        </w:tc>
        <w:tc>
          <w:tcPr>
            <w:tcW w:w="0" w:type="auto"/>
            <w:tcBorders>
              <w:bottom w:val="single" w:sz="4" w:space="0" w:color="auto"/>
            </w:tcBorders>
          </w:tcPr>
          <w:p w14:paraId="2E512E02" w14:textId="77777777" w:rsidR="00E61993" w:rsidRPr="00F475C7" w:rsidRDefault="00E61993" w:rsidP="00C94E2A">
            <w:pPr>
              <w:spacing w:before="36" w:after="36"/>
              <w:rPr>
                <w:rFonts w:ascii="Times New Roman" w:eastAsia="Aptos" w:hAnsi="Times New Roman" w:cs="Times New Roman"/>
              </w:rPr>
            </w:pPr>
            <w:r w:rsidRPr="00F475C7">
              <w:rPr>
                <w:rFonts w:ascii="Times New Roman" w:eastAsia="Aptos" w:hAnsi="Times New Roman" w:cs="Times New Roman"/>
              </w:rPr>
              <w:t>499</w:t>
            </w:r>
          </w:p>
        </w:tc>
      </w:tr>
    </w:tbl>
    <w:p w14:paraId="7D862348" w14:textId="77777777" w:rsidR="00E61993" w:rsidRPr="00205D64" w:rsidRDefault="00E61993" w:rsidP="00E61993">
      <w:pPr>
        <w:spacing w:before="180" w:after="180" w:line="240" w:lineRule="auto"/>
        <w:ind w:firstLine="0"/>
        <w:rPr>
          <w:rFonts w:ascii="Times New Roman" w:eastAsia="Aptos" w:hAnsi="Times New Roman" w:cs="Times New Roman"/>
          <w:kern w:val="0"/>
          <w:lang w:val="en-US"/>
          <w14:ligatures w14:val="none"/>
        </w:rPr>
      </w:pPr>
      <w:r w:rsidRPr="00205D64">
        <w:rPr>
          <w:rFonts w:ascii="Times New Roman" w:eastAsia="Aptos" w:hAnsi="Times New Roman" w:cs="Times New Roman"/>
          <w:kern w:val="0"/>
          <w:lang w:val="en-US"/>
          <w14:ligatures w14:val="none"/>
        </w:rPr>
        <w:t>Table 2 shows the descriptive statistics of environmental disclosures (Total, NAR, NUM, P/T, OA) and one governance characteristics.</w:t>
      </w:r>
      <w:r>
        <w:rPr>
          <w:rFonts w:ascii="Times New Roman" w:eastAsia="Aptos" w:hAnsi="Times New Roman" w:cs="Times New Roman"/>
          <w:kern w:val="0"/>
          <w:lang w:val="en-US"/>
          <w14:ligatures w14:val="none"/>
        </w:rPr>
        <w:t xml:space="preserve"> Total means all environmental disclosure, NAR represents narrative disclosure, while NUM is numeric, P/T are environmental disclosures related to policy and target. OA is environmental operational activities disclosure. ENV accountability statement refers to NGOs environmental accountability commitment.</w:t>
      </w:r>
    </w:p>
    <w:p w14:paraId="064799D3" w14:textId="77777777" w:rsidR="00CB1D16" w:rsidRPr="00CB1D16" w:rsidRDefault="00CB1D16"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281BD58C" w14:textId="77777777" w:rsidR="004965F3" w:rsidRPr="00CB1D16" w:rsidRDefault="004965F3"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0DED5163" w14:textId="77777777" w:rsidR="00CB1D16" w:rsidRPr="00CB1D16" w:rsidRDefault="00CB1D16"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6458099F" w14:textId="77777777" w:rsidR="00CB1D16" w:rsidRPr="00CB1D16" w:rsidRDefault="00CB1D16" w:rsidP="00CB1D16">
      <w:pPr>
        <w:spacing w:before="180" w:after="180" w:line="240" w:lineRule="auto"/>
        <w:ind w:firstLine="0"/>
        <w:jc w:val="left"/>
        <w:rPr>
          <w:rFonts w:ascii="Times New Roman" w:eastAsia="Aptos" w:hAnsi="Times New Roman" w:cs="Times New Roman"/>
          <w:kern w:val="0"/>
          <w:sz w:val="24"/>
          <w:szCs w:val="24"/>
          <w:lang w:val="en-US"/>
          <w14:ligatures w14:val="none"/>
        </w:rPr>
      </w:pPr>
      <w:r w:rsidRPr="00CB1D16">
        <w:rPr>
          <w:rFonts w:ascii="Times New Roman" w:eastAsia="Aptos" w:hAnsi="Times New Roman" w:cs="Times New Roman"/>
          <w:b/>
          <w:bCs/>
          <w:kern w:val="0"/>
          <w:sz w:val="24"/>
          <w:szCs w:val="24"/>
          <w:lang w:val="en-US"/>
          <w14:ligatures w14:val="none"/>
        </w:rPr>
        <w:lastRenderedPageBreak/>
        <w:t>Table 3. Total Environmental Disclosure Statistics (2013 vs 2023)</w:t>
      </w:r>
    </w:p>
    <w:tbl>
      <w:tblPr>
        <w:tblStyle w:val="Tabl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29"/>
        <w:gridCol w:w="920"/>
        <w:gridCol w:w="1230"/>
        <w:gridCol w:w="1503"/>
        <w:gridCol w:w="1366"/>
        <w:gridCol w:w="1367"/>
        <w:gridCol w:w="1501"/>
      </w:tblGrid>
      <w:tr w:rsidR="00CB1D16" w:rsidRPr="00CB1D16" w14:paraId="7A7DC59A" w14:textId="77777777" w:rsidTr="001C436A">
        <w:trPr>
          <w:cnfStyle w:val="100000000000" w:firstRow="1" w:lastRow="0" w:firstColumn="0" w:lastColumn="0" w:oddVBand="0" w:evenVBand="0" w:oddHBand="0" w:evenHBand="0" w:firstRowFirstColumn="0" w:firstRowLastColumn="0" w:lastRowFirstColumn="0" w:lastRowLastColumn="0"/>
          <w:tblHeader/>
          <w:jc w:val="center"/>
        </w:trPr>
        <w:tc>
          <w:tcPr>
            <w:tcW w:w="1129" w:type="dxa"/>
            <w:tcBorders>
              <w:bottom w:val="none" w:sz="0" w:space="0" w:color="auto"/>
            </w:tcBorders>
          </w:tcPr>
          <w:p w14:paraId="2075FD9E" w14:textId="77777777" w:rsidR="00CB1D16" w:rsidRPr="00CB1D16" w:rsidRDefault="00CB1D16" w:rsidP="00CB1D16">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Theme</w:t>
            </w:r>
          </w:p>
        </w:tc>
        <w:tc>
          <w:tcPr>
            <w:tcW w:w="920" w:type="dxa"/>
            <w:tcBorders>
              <w:bottom w:val="none" w:sz="0" w:space="0" w:color="auto"/>
            </w:tcBorders>
          </w:tcPr>
          <w:p w14:paraId="698F5C9B" w14:textId="77777777" w:rsidR="00CB1D16" w:rsidRPr="00CB1D16" w:rsidRDefault="00CB1D16" w:rsidP="00CB1D16">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Category</w:t>
            </w:r>
          </w:p>
        </w:tc>
        <w:tc>
          <w:tcPr>
            <w:tcW w:w="1230" w:type="dxa"/>
            <w:tcBorders>
              <w:bottom w:val="none" w:sz="0" w:space="0" w:color="auto"/>
            </w:tcBorders>
          </w:tcPr>
          <w:p w14:paraId="3BE087B7" w14:textId="77777777" w:rsidR="00CB1D16" w:rsidRPr="00CB1D16" w:rsidRDefault="00CB1D16" w:rsidP="00CB1D16">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2013 (Sum)</w:t>
            </w:r>
          </w:p>
        </w:tc>
        <w:tc>
          <w:tcPr>
            <w:tcW w:w="1503" w:type="dxa"/>
            <w:tcBorders>
              <w:bottom w:val="none" w:sz="0" w:space="0" w:color="auto"/>
            </w:tcBorders>
          </w:tcPr>
          <w:p w14:paraId="2FC3566A" w14:textId="77777777" w:rsidR="00CB1D16" w:rsidRPr="00CB1D16" w:rsidRDefault="00CB1D16" w:rsidP="00CB1D16">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2023 (Sum)</w:t>
            </w:r>
          </w:p>
        </w:tc>
        <w:tc>
          <w:tcPr>
            <w:tcW w:w="1366" w:type="dxa"/>
            <w:tcBorders>
              <w:bottom w:val="none" w:sz="0" w:space="0" w:color="auto"/>
            </w:tcBorders>
          </w:tcPr>
          <w:p w14:paraId="73D6FFAA" w14:textId="77777777" w:rsidR="00CB1D16" w:rsidRPr="00CB1D16" w:rsidRDefault="00CB1D16" w:rsidP="00CB1D16">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2013 (Mean)</w:t>
            </w:r>
          </w:p>
        </w:tc>
        <w:tc>
          <w:tcPr>
            <w:tcW w:w="1367" w:type="dxa"/>
            <w:tcBorders>
              <w:bottom w:val="none" w:sz="0" w:space="0" w:color="auto"/>
            </w:tcBorders>
          </w:tcPr>
          <w:p w14:paraId="1A1B10D3" w14:textId="77777777" w:rsidR="00CB1D16" w:rsidRPr="00CB1D16" w:rsidRDefault="00CB1D16" w:rsidP="00CB1D16">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2023 (Mean)</w:t>
            </w:r>
          </w:p>
        </w:tc>
        <w:tc>
          <w:tcPr>
            <w:tcW w:w="1501" w:type="dxa"/>
            <w:tcBorders>
              <w:bottom w:val="none" w:sz="0" w:space="0" w:color="auto"/>
            </w:tcBorders>
          </w:tcPr>
          <w:p w14:paraId="1B613011" w14:textId="77777777" w:rsidR="00CB1D16" w:rsidRPr="00CB1D16" w:rsidRDefault="00CB1D16" w:rsidP="00CB1D16">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T‑test (Diff)</w:t>
            </w:r>
          </w:p>
        </w:tc>
      </w:tr>
      <w:tr w:rsidR="00CB1D16" w:rsidRPr="00CB1D16" w14:paraId="2AC1E785" w14:textId="77777777" w:rsidTr="001C436A">
        <w:trPr>
          <w:jc w:val="center"/>
        </w:trPr>
        <w:tc>
          <w:tcPr>
            <w:tcW w:w="1129" w:type="dxa"/>
          </w:tcPr>
          <w:p w14:paraId="4612A573" w14:textId="77777777" w:rsidR="00CB1D16" w:rsidRPr="001C436A" w:rsidRDefault="00CB1D16" w:rsidP="00CB1D16">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ENVMGT</w:t>
            </w:r>
          </w:p>
        </w:tc>
        <w:tc>
          <w:tcPr>
            <w:tcW w:w="920" w:type="dxa"/>
          </w:tcPr>
          <w:p w14:paraId="5461F409" w14:textId="77777777" w:rsidR="00CB1D16" w:rsidRPr="00CB1D16" w:rsidRDefault="00CB1D16" w:rsidP="00CB1D16">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NAR</w:t>
            </w:r>
          </w:p>
        </w:tc>
        <w:tc>
          <w:tcPr>
            <w:tcW w:w="1230" w:type="dxa"/>
          </w:tcPr>
          <w:p w14:paraId="4CDBCD25" w14:textId="77777777" w:rsidR="00CB1D16" w:rsidRPr="00CB1D16" w:rsidRDefault="00CB1D16" w:rsidP="00CB1D16">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247</w:t>
            </w:r>
          </w:p>
        </w:tc>
        <w:tc>
          <w:tcPr>
            <w:tcW w:w="1503" w:type="dxa"/>
          </w:tcPr>
          <w:p w14:paraId="2759D00C" w14:textId="77777777" w:rsidR="00CB1D16" w:rsidRPr="00CB1D16" w:rsidRDefault="00CB1D16" w:rsidP="00CB1D16">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864</w:t>
            </w:r>
          </w:p>
        </w:tc>
        <w:tc>
          <w:tcPr>
            <w:tcW w:w="1366" w:type="dxa"/>
          </w:tcPr>
          <w:p w14:paraId="3B8F1A67" w14:textId="77777777" w:rsidR="00CB1D16" w:rsidRPr="00CB1D16" w:rsidRDefault="00CB1D16" w:rsidP="00CB1D16">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7.37</w:t>
            </w:r>
          </w:p>
        </w:tc>
        <w:tc>
          <w:tcPr>
            <w:tcW w:w="1367" w:type="dxa"/>
          </w:tcPr>
          <w:p w14:paraId="7BF4A42D" w14:textId="77777777" w:rsidR="00CB1D16" w:rsidRPr="00CB1D16" w:rsidRDefault="00CB1D16" w:rsidP="00CB1D16">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24.00</w:t>
            </w:r>
          </w:p>
        </w:tc>
        <w:tc>
          <w:tcPr>
            <w:tcW w:w="1501" w:type="dxa"/>
          </w:tcPr>
          <w:p w14:paraId="734B4C7A" w14:textId="77777777" w:rsidR="00CB1D16" w:rsidRPr="00CB1D16" w:rsidRDefault="00CB1D16" w:rsidP="00CB1D16">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4.08***</w:t>
            </w:r>
          </w:p>
        </w:tc>
      </w:tr>
      <w:tr w:rsidR="001C436A" w:rsidRPr="00CB1D16" w14:paraId="3009113D" w14:textId="77777777" w:rsidTr="001C436A">
        <w:trPr>
          <w:jc w:val="center"/>
        </w:trPr>
        <w:tc>
          <w:tcPr>
            <w:tcW w:w="1129" w:type="dxa"/>
          </w:tcPr>
          <w:p w14:paraId="6BDBB540" w14:textId="570CBBF6" w:rsidR="001C436A" w:rsidRPr="001C436A" w:rsidRDefault="001C436A" w:rsidP="001C436A">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ENVMGT</w:t>
            </w:r>
          </w:p>
        </w:tc>
        <w:tc>
          <w:tcPr>
            <w:tcW w:w="920" w:type="dxa"/>
          </w:tcPr>
          <w:p w14:paraId="66C55394" w14:textId="77777777" w:rsidR="001C436A" w:rsidRPr="00CB1D16" w:rsidRDefault="001C436A" w:rsidP="001C436A">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NUM</w:t>
            </w:r>
          </w:p>
        </w:tc>
        <w:tc>
          <w:tcPr>
            <w:tcW w:w="1230" w:type="dxa"/>
          </w:tcPr>
          <w:p w14:paraId="3B24545E"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30</w:t>
            </w:r>
          </w:p>
        </w:tc>
        <w:tc>
          <w:tcPr>
            <w:tcW w:w="1503" w:type="dxa"/>
          </w:tcPr>
          <w:p w14:paraId="7BC580CC"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144</w:t>
            </w:r>
          </w:p>
        </w:tc>
        <w:tc>
          <w:tcPr>
            <w:tcW w:w="1366" w:type="dxa"/>
          </w:tcPr>
          <w:p w14:paraId="62EB0C77"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0.40</w:t>
            </w:r>
          </w:p>
        </w:tc>
        <w:tc>
          <w:tcPr>
            <w:tcW w:w="1367" w:type="dxa"/>
          </w:tcPr>
          <w:p w14:paraId="6E4A22E5"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4.11</w:t>
            </w:r>
          </w:p>
        </w:tc>
        <w:tc>
          <w:tcPr>
            <w:tcW w:w="1501" w:type="dxa"/>
          </w:tcPr>
          <w:p w14:paraId="2D299A16"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4.96***</w:t>
            </w:r>
          </w:p>
        </w:tc>
      </w:tr>
      <w:tr w:rsidR="001C436A" w:rsidRPr="00CB1D16" w14:paraId="03FC7B2D" w14:textId="77777777" w:rsidTr="001C436A">
        <w:trPr>
          <w:jc w:val="center"/>
        </w:trPr>
        <w:tc>
          <w:tcPr>
            <w:tcW w:w="1129" w:type="dxa"/>
          </w:tcPr>
          <w:p w14:paraId="66E7236E" w14:textId="1E93A862" w:rsidR="001C436A" w:rsidRPr="001C436A" w:rsidRDefault="001C436A" w:rsidP="001C436A">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ENVMGT</w:t>
            </w:r>
          </w:p>
        </w:tc>
        <w:tc>
          <w:tcPr>
            <w:tcW w:w="920" w:type="dxa"/>
          </w:tcPr>
          <w:p w14:paraId="4C471DBC" w14:textId="77777777" w:rsidR="001C436A" w:rsidRPr="00CB1D16" w:rsidRDefault="001C436A" w:rsidP="001C436A">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P/T</w:t>
            </w:r>
          </w:p>
        </w:tc>
        <w:tc>
          <w:tcPr>
            <w:tcW w:w="1230" w:type="dxa"/>
          </w:tcPr>
          <w:p w14:paraId="5F4C88EA"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19</w:t>
            </w:r>
          </w:p>
        </w:tc>
        <w:tc>
          <w:tcPr>
            <w:tcW w:w="1503" w:type="dxa"/>
          </w:tcPr>
          <w:p w14:paraId="162D6E20"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65</w:t>
            </w:r>
          </w:p>
        </w:tc>
        <w:tc>
          <w:tcPr>
            <w:tcW w:w="1366" w:type="dxa"/>
          </w:tcPr>
          <w:p w14:paraId="67E6716D"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0.54</w:t>
            </w:r>
          </w:p>
        </w:tc>
        <w:tc>
          <w:tcPr>
            <w:tcW w:w="1367" w:type="dxa"/>
          </w:tcPr>
          <w:p w14:paraId="0E9A5E75"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1.85</w:t>
            </w:r>
          </w:p>
        </w:tc>
        <w:tc>
          <w:tcPr>
            <w:tcW w:w="1501" w:type="dxa"/>
          </w:tcPr>
          <w:p w14:paraId="53266BA5"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4.97***</w:t>
            </w:r>
          </w:p>
        </w:tc>
      </w:tr>
      <w:tr w:rsidR="001C436A" w:rsidRPr="00CB1D16" w14:paraId="38D71D6F" w14:textId="77777777" w:rsidTr="001C436A">
        <w:trPr>
          <w:jc w:val="center"/>
        </w:trPr>
        <w:tc>
          <w:tcPr>
            <w:tcW w:w="1129" w:type="dxa"/>
          </w:tcPr>
          <w:p w14:paraId="080E25D9" w14:textId="21AF6D2D" w:rsidR="001C436A" w:rsidRPr="001C436A" w:rsidRDefault="001C436A" w:rsidP="001C436A">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ENVMGT</w:t>
            </w:r>
          </w:p>
        </w:tc>
        <w:tc>
          <w:tcPr>
            <w:tcW w:w="920" w:type="dxa"/>
          </w:tcPr>
          <w:p w14:paraId="21CEA7A9" w14:textId="77777777" w:rsidR="001C436A" w:rsidRPr="00CB1D16" w:rsidRDefault="001C436A" w:rsidP="001C436A">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OA</w:t>
            </w:r>
          </w:p>
        </w:tc>
        <w:tc>
          <w:tcPr>
            <w:tcW w:w="1230" w:type="dxa"/>
          </w:tcPr>
          <w:p w14:paraId="1002D038"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228</w:t>
            </w:r>
          </w:p>
        </w:tc>
        <w:tc>
          <w:tcPr>
            <w:tcW w:w="1503" w:type="dxa"/>
          </w:tcPr>
          <w:p w14:paraId="56FAB54E"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799</w:t>
            </w:r>
          </w:p>
        </w:tc>
        <w:tc>
          <w:tcPr>
            <w:tcW w:w="1366" w:type="dxa"/>
          </w:tcPr>
          <w:p w14:paraId="6B0A5DAE"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5.77</w:t>
            </w:r>
          </w:p>
        </w:tc>
        <w:tc>
          <w:tcPr>
            <w:tcW w:w="1367" w:type="dxa"/>
          </w:tcPr>
          <w:p w14:paraId="07B8CF14"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20.05</w:t>
            </w:r>
          </w:p>
        </w:tc>
        <w:tc>
          <w:tcPr>
            <w:tcW w:w="1501" w:type="dxa"/>
          </w:tcPr>
          <w:p w14:paraId="57ECF746"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3.72***</w:t>
            </w:r>
          </w:p>
        </w:tc>
      </w:tr>
      <w:tr w:rsidR="00CB1D16" w:rsidRPr="00CB1D16" w14:paraId="07C64533" w14:textId="77777777" w:rsidTr="001C436A">
        <w:trPr>
          <w:jc w:val="center"/>
        </w:trPr>
        <w:tc>
          <w:tcPr>
            <w:tcW w:w="1129" w:type="dxa"/>
          </w:tcPr>
          <w:p w14:paraId="2F90FF78" w14:textId="77777777" w:rsidR="00CB1D16" w:rsidRPr="001C436A" w:rsidRDefault="00CB1D16" w:rsidP="00CB1D16">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CC</w:t>
            </w:r>
          </w:p>
        </w:tc>
        <w:tc>
          <w:tcPr>
            <w:tcW w:w="920" w:type="dxa"/>
          </w:tcPr>
          <w:p w14:paraId="68A577C2" w14:textId="77777777" w:rsidR="00CB1D16" w:rsidRPr="00CB1D16" w:rsidRDefault="00CB1D16" w:rsidP="00CB1D16">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NAR</w:t>
            </w:r>
          </w:p>
        </w:tc>
        <w:tc>
          <w:tcPr>
            <w:tcW w:w="1230" w:type="dxa"/>
          </w:tcPr>
          <w:p w14:paraId="2EF02D29" w14:textId="77777777" w:rsidR="00CB1D16" w:rsidRPr="00CB1D16" w:rsidRDefault="00CB1D16" w:rsidP="00CB1D16">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294</w:t>
            </w:r>
          </w:p>
        </w:tc>
        <w:tc>
          <w:tcPr>
            <w:tcW w:w="1503" w:type="dxa"/>
          </w:tcPr>
          <w:p w14:paraId="4F015602" w14:textId="77777777" w:rsidR="00CB1D16" w:rsidRPr="00CB1D16" w:rsidRDefault="00CB1D16" w:rsidP="00CB1D16">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1427</w:t>
            </w:r>
          </w:p>
        </w:tc>
        <w:tc>
          <w:tcPr>
            <w:tcW w:w="1366" w:type="dxa"/>
          </w:tcPr>
          <w:p w14:paraId="014D7BF3" w14:textId="77777777" w:rsidR="00CB1D16" w:rsidRPr="00CB1D16" w:rsidRDefault="00CB1D16" w:rsidP="00CB1D16">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8.40</w:t>
            </w:r>
          </w:p>
        </w:tc>
        <w:tc>
          <w:tcPr>
            <w:tcW w:w="1367" w:type="dxa"/>
          </w:tcPr>
          <w:p w14:paraId="1498B800" w14:textId="77777777" w:rsidR="00CB1D16" w:rsidRPr="00CB1D16" w:rsidRDefault="00CB1D16" w:rsidP="00CB1D16">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40.77</w:t>
            </w:r>
          </w:p>
        </w:tc>
        <w:tc>
          <w:tcPr>
            <w:tcW w:w="1501" w:type="dxa"/>
          </w:tcPr>
          <w:p w14:paraId="41D79D9C" w14:textId="77777777" w:rsidR="00CB1D16" w:rsidRPr="00CB1D16" w:rsidRDefault="00CB1D16" w:rsidP="00CB1D16">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4.03***</w:t>
            </w:r>
          </w:p>
        </w:tc>
      </w:tr>
      <w:tr w:rsidR="001C436A" w:rsidRPr="00CB1D16" w14:paraId="322B6E01" w14:textId="77777777" w:rsidTr="001C436A">
        <w:trPr>
          <w:jc w:val="center"/>
        </w:trPr>
        <w:tc>
          <w:tcPr>
            <w:tcW w:w="1129" w:type="dxa"/>
          </w:tcPr>
          <w:p w14:paraId="5C597750" w14:textId="2559BBEF" w:rsidR="001C436A" w:rsidRPr="001C436A" w:rsidRDefault="001C436A" w:rsidP="001C436A">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CC</w:t>
            </w:r>
          </w:p>
        </w:tc>
        <w:tc>
          <w:tcPr>
            <w:tcW w:w="920" w:type="dxa"/>
          </w:tcPr>
          <w:p w14:paraId="6F432455" w14:textId="77777777" w:rsidR="001C436A" w:rsidRPr="00CB1D16" w:rsidRDefault="001C436A" w:rsidP="001C436A">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NUM</w:t>
            </w:r>
          </w:p>
        </w:tc>
        <w:tc>
          <w:tcPr>
            <w:tcW w:w="1230" w:type="dxa"/>
          </w:tcPr>
          <w:p w14:paraId="7DD5BCC6"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44</w:t>
            </w:r>
          </w:p>
        </w:tc>
        <w:tc>
          <w:tcPr>
            <w:tcW w:w="1503" w:type="dxa"/>
          </w:tcPr>
          <w:p w14:paraId="0BB7E75A"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271</w:t>
            </w:r>
          </w:p>
        </w:tc>
        <w:tc>
          <w:tcPr>
            <w:tcW w:w="1366" w:type="dxa"/>
          </w:tcPr>
          <w:p w14:paraId="29331F12"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1.37</w:t>
            </w:r>
          </w:p>
        </w:tc>
        <w:tc>
          <w:tcPr>
            <w:tcW w:w="1367" w:type="dxa"/>
          </w:tcPr>
          <w:p w14:paraId="293BB1EF"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7.74</w:t>
            </w:r>
          </w:p>
        </w:tc>
        <w:tc>
          <w:tcPr>
            <w:tcW w:w="1501" w:type="dxa"/>
          </w:tcPr>
          <w:p w14:paraId="7225E0BC"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5.10***</w:t>
            </w:r>
          </w:p>
        </w:tc>
      </w:tr>
      <w:tr w:rsidR="001C436A" w:rsidRPr="00CB1D16" w14:paraId="56C8C935" w14:textId="77777777" w:rsidTr="001C436A">
        <w:trPr>
          <w:jc w:val="center"/>
        </w:trPr>
        <w:tc>
          <w:tcPr>
            <w:tcW w:w="1129" w:type="dxa"/>
          </w:tcPr>
          <w:p w14:paraId="4727F0CF" w14:textId="7E8B8DE5" w:rsidR="001C436A" w:rsidRPr="001C436A" w:rsidRDefault="001C436A" w:rsidP="001C436A">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CC</w:t>
            </w:r>
          </w:p>
        </w:tc>
        <w:tc>
          <w:tcPr>
            <w:tcW w:w="920" w:type="dxa"/>
          </w:tcPr>
          <w:p w14:paraId="624E03DF" w14:textId="77777777" w:rsidR="001C436A" w:rsidRPr="00CB1D16" w:rsidRDefault="001C436A" w:rsidP="001C436A">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P/T</w:t>
            </w:r>
          </w:p>
        </w:tc>
        <w:tc>
          <w:tcPr>
            <w:tcW w:w="1230" w:type="dxa"/>
          </w:tcPr>
          <w:p w14:paraId="65F77792"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12</w:t>
            </w:r>
          </w:p>
        </w:tc>
        <w:tc>
          <w:tcPr>
            <w:tcW w:w="1503" w:type="dxa"/>
          </w:tcPr>
          <w:p w14:paraId="61B31C04"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72</w:t>
            </w:r>
          </w:p>
        </w:tc>
        <w:tc>
          <w:tcPr>
            <w:tcW w:w="1366" w:type="dxa"/>
          </w:tcPr>
          <w:p w14:paraId="2F46A896"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0.35</w:t>
            </w:r>
          </w:p>
        </w:tc>
        <w:tc>
          <w:tcPr>
            <w:tcW w:w="1367" w:type="dxa"/>
          </w:tcPr>
          <w:p w14:paraId="44BE41E2"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2.05</w:t>
            </w:r>
          </w:p>
        </w:tc>
        <w:tc>
          <w:tcPr>
            <w:tcW w:w="1501" w:type="dxa"/>
          </w:tcPr>
          <w:p w14:paraId="51F24834"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4.93***</w:t>
            </w:r>
          </w:p>
        </w:tc>
      </w:tr>
      <w:tr w:rsidR="001C436A" w:rsidRPr="00CB1D16" w14:paraId="58D2A358" w14:textId="77777777" w:rsidTr="001C436A">
        <w:trPr>
          <w:jc w:val="center"/>
        </w:trPr>
        <w:tc>
          <w:tcPr>
            <w:tcW w:w="1129" w:type="dxa"/>
          </w:tcPr>
          <w:p w14:paraId="6FDBD9AE" w14:textId="4ACF94BC" w:rsidR="001C436A" w:rsidRPr="001C436A" w:rsidRDefault="001C436A" w:rsidP="001C436A">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CC</w:t>
            </w:r>
          </w:p>
        </w:tc>
        <w:tc>
          <w:tcPr>
            <w:tcW w:w="920" w:type="dxa"/>
          </w:tcPr>
          <w:p w14:paraId="603AE9D6" w14:textId="77777777" w:rsidR="001C436A" w:rsidRPr="00CB1D16" w:rsidRDefault="001C436A" w:rsidP="001C436A">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OA</w:t>
            </w:r>
          </w:p>
        </w:tc>
        <w:tc>
          <w:tcPr>
            <w:tcW w:w="1230" w:type="dxa"/>
          </w:tcPr>
          <w:p w14:paraId="4F2999DF"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282</w:t>
            </w:r>
          </w:p>
        </w:tc>
        <w:tc>
          <w:tcPr>
            <w:tcW w:w="1503" w:type="dxa"/>
          </w:tcPr>
          <w:p w14:paraId="0A00E5C5"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1355</w:t>
            </w:r>
          </w:p>
        </w:tc>
        <w:tc>
          <w:tcPr>
            <w:tcW w:w="1366" w:type="dxa"/>
          </w:tcPr>
          <w:p w14:paraId="5F7B5D4E"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6.97</w:t>
            </w:r>
          </w:p>
        </w:tc>
        <w:tc>
          <w:tcPr>
            <w:tcW w:w="1367" w:type="dxa"/>
          </w:tcPr>
          <w:p w14:paraId="1AB74FA8"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38.71</w:t>
            </w:r>
          </w:p>
        </w:tc>
        <w:tc>
          <w:tcPr>
            <w:tcW w:w="1501" w:type="dxa"/>
          </w:tcPr>
          <w:p w14:paraId="05779D1A"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1.78**</w:t>
            </w:r>
          </w:p>
        </w:tc>
      </w:tr>
      <w:tr w:rsidR="00CB1D16" w:rsidRPr="00CB1D16" w14:paraId="3112C802" w14:textId="77777777" w:rsidTr="001C436A">
        <w:trPr>
          <w:jc w:val="center"/>
        </w:trPr>
        <w:tc>
          <w:tcPr>
            <w:tcW w:w="1129" w:type="dxa"/>
          </w:tcPr>
          <w:p w14:paraId="23D149F3" w14:textId="77777777" w:rsidR="00CB1D16" w:rsidRPr="001C436A" w:rsidRDefault="00CB1D16" w:rsidP="00CB1D16">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ECO</w:t>
            </w:r>
          </w:p>
        </w:tc>
        <w:tc>
          <w:tcPr>
            <w:tcW w:w="920" w:type="dxa"/>
          </w:tcPr>
          <w:p w14:paraId="2F0EC718" w14:textId="77777777" w:rsidR="00CB1D16" w:rsidRPr="00CB1D16" w:rsidRDefault="00CB1D16" w:rsidP="00CB1D16">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NAR</w:t>
            </w:r>
          </w:p>
        </w:tc>
        <w:tc>
          <w:tcPr>
            <w:tcW w:w="1230" w:type="dxa"/>
          </w:tcPr>
          <w:p w14:paraId="64F8B90F" w14:textId="77777777" w:rsidR="00CB1D16" w:rsidRPr="00CB1D16" w:rsidRDefault="00CB1D16" w:rsidP="00CB1D16">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572</w:t>
            </w:r>
          </w:p>
        </w:tc>
        <w:tc>
          <w:tcPr>
            <w:tcW w:w="1503" w:type="dxa"/>
          </w:tcPr>
          <w:p w14:paraId="34E07062" w14:textId="77777777" w:rsidR="00CB1D16" w:rsidRPr="00CB1D16" w:rsidRDefault="00CB1D16" w:rsidP="00CB1D16">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990</w:t>
            </w:r>
          </w:p>
        </w:tc>
        <w:tc>
          <w:tcPr>
            <w:tcW w:w="1366" w:type="dxa"/>
          </w:tcPr>
          <w:p w14:paraId="214423B7" w14:textId="77777777" w:rsidR="00CB1D16" w:rsidRPr="00CB1D16" w:rsidRDefault="00CB1D16" w:rsidP="00CB1D16">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19.08</w:t>
            </w:r>
          </w:p>
        </w:tc>
        <w:tc>
          <w:tcPr>
            <w:tcW w:w="1367" w:type="dxa"/>
          </w:tcPr>
          <w:p w14:paraId="4E1ADB3A" w14:textId="77777777" w:rsidR="00CB1D16" w:rsidRPr="00CB1D16" w:rsidRDefault="00CB1D16" w:rsidP="00CB1D16">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28.34</w:t>
            </w:r>
          </w:p>
        </w:tc>
        <w:tc>
          <w:tcPr>
            <w:tcW w:w="1501" w:type="dxa"/>
          </w:tcPr>
          <w:p w14:paraId="77591F4D" w14:textId="454456D6" w:rsidR="00CB1D16" w:rsidRPr="00CB1D16" w:rsidRDefault="00E61993" w:rsidP="00E61993">
            <w:pPr>
              <w:spacing w:before="36" w:after="36"/>
              <w:jc w:val="both"/>
              <w:rPr>
                <w:rFonts w:ascii="Times New Roman" w:eastAsia="Aptos" w:hAnsi="Times New Roman" w:cs="Times New Roman"/>
                <w:sz w:val="20"/>
                <w:szCs w:val="20"/>
              </w:rPr>
            </w:pPr>
            <w:r>
              <w:rPr>
                <w:rFonts w:ascii="Times New Roman" w:eastAsia="Aptos" w:hAnsi="Times New Roman" w:cs="Times New Roman"/>
                <w:sz w:val="20"/>
                <w:szCs w:val="20"/>
              </w:rPr>
              <w:t xml:space="preserve">       </w:t>
            </w:r>
            <w:r w:rsidR="00CB1D16" w:rsidRPr="00CB1D16">
              <w:rPr>
                <w:rFonts w:ascii="Times New Roman" w:eastAsia="Aptos" w:hAnsi="Times New Roman" w:cs="Times New Roman"/>
                <w:sz w:val="20"/>
                <w:szCs w:val="20"/>
              </w:rPr>
              <w:t>0.89</w:t>
            </w:r>
          </w:p>
        </w:tc>
      </w:tr>
      <w:tr w:rsidR="001C436A" w:rsidRPr="00CB1D16" w14:paraId="7B5706E3" w14:textId="77777777" w:rsidTr="001C436A">
        <w:trPr>
          <w:jc w:val="center"/>
        </w:trPr>
        <w:tc>
          <w:tcPr>
            <w:tcW w:w="1129" w:type="dxa"/>
          </w:tcPr>
          <w:p w14:paraId="388FB218" w14:textId="57E694ED" w:rsidR="001C436A" w:rsidRPr="001C436A" w:rsidRDefault="001C436A" w:rsidP="001C436A">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ECO</w:t>
            </w:r>
          </w:p>
        </w:tc>
        <w:tc>
          <w:tcPr>
            <w:tcW w:w="920" w:type="dxa"/>
          </w:tcPr>
          <w:p w14:paraId="7BB0137D" w14:textId="77777777" w:rsidR="001C436A" w:rsidRPr="00CB1D16" w:rsidRDefault="001C436A" w:rsidP="001C436A">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NUM</w:t>
            </w:r>
          </w:p>
        </w:tc>
        <w:tc>
          <w:tcPr>
            <w:tcW w:w="1230" w:type="dxa"/>
          </w:tcPr>
          <w:p w14:paraId="2CE89B45"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57</w:t>
            </w:r>
          </w:p>
        </w:tc>
        <w:tc>
          <w:tcPr>
            <w:tcW w:w="1503" w:type="dxa"/>
          </w:tcPr>
          <w:p w14:paraId="72997F74"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97</w:t>
            </w:r>
          </w:p>
        </w:tc>
        <w:tc>
          <w:tcPr>
            <w:tcW w:w="1366" w:type="dxa"/>
          </w:tcPr>
          <w:p w14:paraId="05BB79BC"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2.11</w:t>
            </w:r>
          </w:p>
        </w:tc>
        <w:tc>
          <w:tcPr>
            <w:tcW w:w="1367" w:type="dxa"/>
          </w:tcPr>
          <w:p w14:paraId="0439C6B1"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7.74</w:t>
            </w:r>
          </w:p>
        </w:tc>
        <w:tc>
          <w:tcPr>
            <w:tcW w:w="1501" w:type="dxa"/>
          </w:tcPr>
          <w:p w14:paraId="378819EA" w14:textId="69C4369E" w:rsidR="001C436A" w:rsidRPr="00CB1D16" w:rsidRDefault="001C436A" w:rsidP="001C436A">
            <w:pPr>
              <w:spacing w:before="36" w:after="36"/>
              <w:jc w:val="center"/>
              <w:rPr>
                <w:rFonts w:ascii="Times New Roman" w:eastAsia="Aptos" w:hAnsi="Times New Roman" w:cs="Times New Roman"/>
                <w:sz w:val="20"/>
                <w:szCs w:val="20"/>
              </w:rPr>
            </w:pPr>
            <w:r>
              <w:rPr>
                <w:rFonts w:ascii="Times New Roman" w:eastAsia="Aptos" w:hAnsi="Times New Roman" w:cs="Times New Roman"/>
                <w:sz w:val="20"/>
                <w:szCs w:val="20"/>
              </w:rPr>
              <w:t xml:space="preserve"> </w:t>
            </w:r>
            <w:r w:rsidRPr="00CB1D16">
              <w:rPr>
                <w:rFonts w:ascii="Times New Roman" w:eastAsia="Aptos" w:hAnsi="Times New Roman" w:cs="Times New Roman"/>
                <w:sz w:val="20"/>
                <w:szCs w:val="20"/>
              </w:rPr>
              <w:t>4.32***</w:t>
            </w:r>
          </w:p>
        </w:tc>
      </w:tr>
      <w:tr w:rsidR="001C436A" w:rsidRPr="00CB1D16" w14:paraId="19EC9188" w14:textId="77777777" w:rsidTr="001C436A">
        <w:trPr>
          <w:jc w:val="center"/>
        </w:trPr>
        <w:tc>
          <w:tcPr>
            <w:tcW w:w="1129" w:type="dxa"/>
          </w:tcPr>
          <w:p w14:paraId="54B02D59" w14:textId="43EC1F3D" w:rsidR="001C436A" w:rsidRPr="001C436A" w:rsidRDefault="001C436A" w:rsidP="001C436A">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ECO</w:t>
            </w:r>
          </w:p>
        </w:tc>
        <w:tc>
          <w:tcPr>
            <w:tcW w:w="920" w:type="dxa"/>
          </w:tcPr>
          <w:p w14:paraId="05C884FB" w14:textId="77777777" w:rsidR="001C436A" w:rsidRPr="00CB1D16" w:rsidRDefault="001C436A" w:rsidP="001C436A">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P/T</w:t>
            </w:r>
          </w:p>
        </w:tc>
        <w:tc>
          <w:tcPr>
            <w:tcW w:w="1230" w:type="dxa"/>
          </w:tcPr>
          <w:p w14:paraId="78A235E5"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13</w:t>
            </w:r>
          </w:p>
        </w:tc>
        <w:tc>
          <w:tcPr>
            <w:tcW w:w="1503" w:type="dxa"/>
          </w:tcPr>
          <w:p w14:paraId="01FA928C"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42</w:t>
            </w:r>
          </w:p>
        </w:tc>
        <w:tc>
          <w:tcPr>
            <w:tcW w:w="1366" w:type="dxa"/>
          </w:tcPr>
          <w:p w14:paraId="04D4BE2F"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0.37</w:t>
            </w:r>
          </w:p>
        </w:tc>
        <w:tc>
          <w:tcPr>
            <w:tcW w:w="1367" w:type="dxa"/>
          </w:tcPr>
          <w:p w14:paraId="7090C2D4"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1.20</w:t>
            </w:r>
          </w:p>
        </w:tc>
        <w:tc>
          <w:tcPr>
            <w:tcW w:w="1501" w:type="dxa"/>
          </w:tcPr>
          <w:p w14:paraId="7C8F20DC"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3.12**</w:t>
            </w:r>
          </w:p>
        </w:tc>
      </w:tr>
      <w:tr w:rsidR="001C436A" w:rsidRPr="00CB1D16" w14:paraId="0A721F58" w14:textId="77777777" w:rsidTr="001C436A">
        <w:trPr>
          <w:jc w:val="center"/>
        </w:trPr>
        <w:tc>
          <w:tcPr>
            <w:tcW w:w="1129" w:type="dxa"/>
          </w:tcPr>
          <w:p w14:paraId="2397E0C1" w14:textId="54774A84" w:rsidR="001C436A" w:rsidRPr="001C436A" w:rsidRDefault="001C436A" w:rsidP="001C436A">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ECO</w:t>
            </w:r>
          </w:p>
        </w:tc>
        <w:tc>
          <w:tcPr>
            <w:tcW w:w="920" w:type="dxa"/>
          </w:tcPr>
          <w:p w14:paraId="1496177E" w14:textId="77777777" w:rsidR="001C436A" w:rsidRPr="00CB1D16" w:rsidRDefault="001C436A" w:rsidP="001C436A">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OA</w:t>
            </w:r>
          </w:p>
        </w:tc>
        <w:tc>
          <w:tcPr>
            <w:tcW w:w="1230" w:type="dxa"/>
          </w:tcPr>
          <w:p w14:paraId="5D100C45"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559</w:t>
            </w:r>
          </w:p>
        </w:tc>
        <w:tc>
          <w:tcPr>
            <w:tcW w:w="1503" w:type="dxa"/>
          </w:tcPr>
          <w:p w14:paraId="4BB3A88E"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948</w:t>
            </w:r>
          </w:p>
        </w:tc>
        <w:tc>
          <w:tcPr>
            <w:tcW w:w="1366" w:type="dxa"/>
          </w:tcPr>
          <w:p w14:paraId="4656223B"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12.48</w:t>
            </w:r>
          </w:p>
        </w:tc>
        <w:tc>
          <w:tcPr>
            <w:tcW w:w="1367" w:type="dxa"/>
          </w:tcPr>
          <w:p w14:paraId="716C18AF"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22.11</w:t>
            </w:r>
          </w:p>
        </w:tc>
        <w:tc>
          <w:tcPr>
            <w:tcW w:w="1501" w:type="dxa"/>
          </w:tcPr>
          <w:p w14:paraId="5AFBD6F3" w14:textId="47FEDD68" w:rsidR="001C436A" w:rsidRPr="00CB1D16" w:rsidRDefault="001C436A" w:rsidP="001C436A">
            <w:pPr>
              <w:spacing w:before="36" w:after="36"/>
              <w:jc w:val="both"/>
              <w:rPr>
                <w:rFonts w:ascii="Times New Roman" w:eastAsia="Aptos" w:hAnsi="Times New Roman" w:cs="Times New Roman"/>
                <w:sz w:val="20"/>
                <w:szCs w:val="20"/>
              </w:rPr>
            </w:pPr>
            <w:r>
              <w:rPr>
                <w:rFonts w:ascii="Times New Roman" w:eastAsia="Aptos" w:hAnsi="Times New Roman" w:cs="Times New Roman"/>
                <w:sz w:val="20"/>
                <w:szCs w:val="20"/>
              </w:rPr>
              <w:t xml:space="preserve">       </w:t>
            </w:r>
            <w:r w:rsidRPr="00CB1D16">
              <w:rPr>
                <w:rFonts w:ascii="Times New Roman" w:eastAsia="Aptos" w:hAnsi="Times New Roman" w:cs="Times New Roman"/>
                <w:sz w:val="20"/>
                <w:szCs w:val="20"/>
              </w:rPr>
              <w:t>1.07</w:t>
            </w:r>
          </w:p>
        </w:tc>
      </w:tr>
      <w:tr w:rsidR="00CB1D16" w:rsidRPr="00CB1D16" w14:paraId="2D7B7E72" w14:textId="77777777" w:rsidTr="001C436A">
        <w:trPr>
          <w:jc w:val="center"/>
        </w:trPr>
        <w:tc>
          <w:tcPr>
            <w:tcW w:w="1129" w:type="dxa"/>
          </w:tcPr>
          <w:p w14:paraId="57291822" w14:textId="77777777" w:rsidR="00CB1D16" w:rsidRPr="001C436A" w:rsidRDefault="00CB1D16" w:rsidP="00CB1D16">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TOTAL</w:t>
            </w:r>
          </w:p>
        </w:tc>
        <w:tc>
          <w:tcPr>
            <w:tcW w:w="920" w:type="dxa"/>
          </w:tcPr>
          <w:p w14:paraId="5E8FADC9" w14:textId="77777777" w:rsidR="00CB1D16" w:rsidRPr="00CB1D16" w:rsidRDefault="00CB1D16" w:rsidP="00CB1D16">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NAR</w:t>
            </w:r>
          </w:p>
        </w:tc>
        <w:tc>
          <w:tcPr>
            <w:tcW w:w="1230" w:type="dxa"/>
          </w:tcPr>
          <w:p w14:paraId="490AE544" w14:textId="1800FB9B" w:rsidR="00CB1D16" w:rsidRPr="00940261" w:rsidRDefault="00CB1D16" w:rsidP="00CB1D16">
            <w:pPr>
              <w:spacing w:before="36" w:after="36"/>
              <w:jc w:val="center"/>
              <w:rPr>
                <w:rFonts w:ascii="Times New Roman" w:eastAsia="Aptos" w:hAnsi="Times New Roman" w:cs="Times New Roman"/>
                <w:sz w:val="20"/>
                <w:szCs w:val="20"/>
              </w:rPr>
            </w:pPr>
            <w:r w:rsidRPr="00940261">
              <w:rPr>
                <w:rFonts w:ascii="Times New Roman" w:eastAsia="Aptos" w:hAnsi="Times New Roman" w:cs="Times New Roman"/>
                <w:sz w:val="20"/>
                <w:szCs w:val="20"/>
              </w:rPr>
              <w:t>11</w:t>
            </w:r>
            <w:r w:rsidR="00940261" w:rsidRPr="00940261">
              <w:rPr>
                <w:rFonts w:ascii="Times New Roman" w:eastAsia="Aptos" w:hAnsi="Times New Roman" w:cs="Times New Roman"/>
                <w:sz w:val="20"/>
                <w:szCs w:val="20"/>
              </w:rPr>
              <w:t>2</w:t>
            </w:r>
            <w:r w:rsidRPr="00940261">
              <w:rPr>
                <w:rFonts w:ascii="Times New Roman" w:eastAsia="Aptos" w:hAnsi="Times New Roman" w:cs="Times New Roman"/>
                <w:sz w:val="20"/>
                <w:szCs w:val="20"/>
              </w:rPr>
              <w:t>3</w:t>
            </w:r>
          </w:p>
        </w:tc>
        <w:tc>
          <w:tcPr>
            <w:tcW w:w="1503" w:type="dxa"/>
          </w:tcPr>
          <w:p w14:paraId="420A3519" w14:textId="3F6AEB28" w:rsidR="00CB1D16" w:rsidRPr="00CB1D16" w:rsidRDefault="00CB1D16" w:rsidP="00CB1D16">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328</w:t>
            </w:r>
            <w:r w:rsidR="00940261">
              <w:rPr>
                <w:rFonts w:ascii="Times New Roman" w:eastAsia="Aptos" w:hAnsi="Times New Roman" w:cs="Times New Roman"/>
                <w:sz w:val="20"/>
                <w:szCs w:val="20"/>
              </w:rPr>
              <w:t>3</w:t>
            </w:r>
          </w:p>
        </w:tc>
        <w:tc>
          <w:tcPr>
            <w:tcW w:w="1366" w:type="dxa"/>
          </w:tcPr>
          <w:p w14:paraId="1CA3E04B" w14:textId="79D2D5B4" w:rsidR="00CB1D16" w:rsidRPr="00CB1D16" w:rsidRDefault="00503AD0" w:rsidP="00CB1D16">
            <w:pPr>
              <w:spacing w:before="36" w:after="36"/>
              <w:jc w:val="center"/>
              <w:rPr>
                <w:rFonts w:ascii="Times New Roman" w:eastAsia="Aptos" w:hAnsi="Times New Roman" w:cs="Times New Roman"/>
                <w:sz w:val="20"/>
                <w:szCs w:val="20"/>
              </w:rPr>
            </w:pPr>
            <w:r>
              <w:rPr>
                <w:rFonts w:ascii="Times New Roman" w:eastAsia="Aptos" w:hAnsi="Times New Roman" w:cs="Times New Roman"/>
                <w:sz w:val="20"/>
                <w:szCs w:val="20"/>
              </w:rPr>
              <w:t>32.11</w:t>
            </w:r>
          </w:p>
        </w:tc>
        <w:tc>
          <w:tcPr>
            <w:tcW w:w="1367" w:type="dxa"/>
          </w:tcPr>
          <w:p w14:paraId="55E0596A" w14:textId="796CEB22" w:rsidR="00CB1D16" w:rsidRPr="00CB1D16" w:rsidRDefault="00503AD0" w:rsidP="00503AD0">
            <w:pPr>
              <w:spacing w:before="36" w:after="36"/>
              <w:jc w:val="both"/>
              <w:rPr>
                <w:rFonts w:ascii="Times New Roman" w:eastAsia="Aptos" w:hAnsi="Times New Roman" w:cs="Times New Roman"/>
                <w:sz w:val="20"/>
                <w:szCs w:val="20"/>
              </w:rPr>
            </w:pPr>
            <w:r>
              <w:rPr>
                <w:rFonts w:ascii="Times New Roman" w:eastAsia="Aptos" w:hAnsi="Times New Roman" w:cs="Times New Roman"/>
                <w:sz w:val="20"/>
                <w:szCs w:val="20"/>
              </w:rPr>
              <w:t xml:space="preserve">        93.80</w:t>
            </w:r>
          </w:p>
        </w:tc>
        <w:tc>
          <w:tcPr>
            <w:tcW w:w="1501" w:type="dxa"/>
          </w:tcPr>
          <w:p w14:paraId="1AD30BE1" w14:textId="207E4E35" w:rsidR="00CB1D16" w:rsidRPr="00CB1D16" w:rsidRDefault="00503AD0" w:rsidP="00CB1D16">
            <w:pPr>
              <w:spacing w:before="36" w:after="36"/>
              <w:jc w:val="center"/>
              <w:rPr>
                <w:rFonts w:ascii="Times New Roman" w:eastAsia="Aptos" w:hAnsi="Times New Roman" w:cs="Times New Roman"/>
                <w:sz w:val="20"/>
                <w:szCs w:val="20"/>
              </w:rPr>
            </w:pPr>
            <w:r>
              <w:rPr>
                <w:rFonts w:ascii="Times New Roman" w:eastAsia="Aptos" w:hAnsi="Times New Roman" w:cs="Times New Roman"/>
                <w:sz w:val="20"/>
                <w:szCs w:val="20"/>
              </w:rPr>
              <w:t>2.99</w:t>
            </w:r>
            <w:r w:rsidR="00CB1D16" w:rsidRPr="00CB1D16">
              <w:rPr>
                <w:rFonts w:ascii="Times New Roman" w:eastAsia="Aptos" w:hAnsi="Times New Roman" w:cs="Times New Roman"/>
                <w:sz w:val="20"/>
                <w:szCs w:val="20"/>
              </w:rPr>
              <w:t>**</w:t>
            </w:r>
          </w:p>
        </w:tc>
      </w:tr>
      <w:tr w:rsidR="001C436A" w:rsidRPr="00CB1D16" w14:paraId="290D033A" w14:textId="77777777" w:rsidTr="001C436A">
        <w:trPr>
          <w:jc w:val="center"/>
        </w:trPr>
        <w:tc>
          <w:tcPr>
            <w:tcW w:w="1129" w:type="dxa"/>
          </w:tcPr>
          <w:p w14:paraId="75AEAEBB" w14:textId="33A073E5" w:rsidR="001C436A" w:rsidRPr="00CB1D16" w:rsidRDefault="001C436A" w:rsidP="001C436A">
            <w:pPr>
              <w:spacing w:before="36" w:after="36"/>
              <w:rPr>
                <w:rFonts w:ascii="Times New Roman" w:eastAsia="Aptos" w:hAnsi="Times New Roman" w:cs="Times New Roman"/>
                <w:sz w:val="20"/>
                <w:szCs w:val="20"/>
              </w:rPr>
            </w:pPr>
            <w:r w:rsidRPr="00935190">
              <w:rPr>
                <w:rFonts w:ascii="Times New Roman" w:eastAsia="Aptos" w:hAnsi="Times New Roman" w:cs="Times New Roman"/>
                <w:sz w:val="20"/>
                <w:szCs w:val="20"/>
              </w:rPr>
              <w:t>TOTAL</w:t>
            </w:r>
          </w:p>
        </w:tc>
        <w:tc>
          <w:tcPr>
            <w:tcW w:w="920" w:type="dxa"/>
          </w:tcPr>
          <w:p w14:paraId="49723B89" w14:textId="77777777" w:rsidR="001C436A" w:rsidRPr="00CB1D16" w:rsidRDefault="001C436A" w:rsidP="001C436A">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NUM</w:t>
            </w:r>
          </w:p>
        </w:tc>
        <w:tc>
          <w:tcPr>
            <w:tcW w:w="1230" w:type="dxa"/>
          </w:tcPr>
          <w:p w14:paraId="3E62DD7F" w14:textId="77777777" w:rsidR="001C436A" w:rsidRPr="00940261" w:rsidRDefault="001C436A" w:rsidP="001C436A">
            <w:pPr>
              <w:spacing w:before="36" w:after="36"/>
              <w:jc w:val="center"/>
              <w:rPr>
                <w:rFonts w:ascii="Times New Roman" w:eastAsia="Aptos" w:hAnsi="Times New Roman" w:cs="Times New Roman"/>
                <w:sz w:val="20"/>
                <w:szCs w:val="20"/>
              </w:rPr>
            </w:pPr>
            <w:r w:rsidRPr="00940261">
              <w:rPr>
                <w:rFonts w:ascii="Times New Roman" w:eastAsia="Aptos" w:hAnsi="Times New Roman" w:cs="Times New Roman"/>
                <w:sz w:val="20"/>
                <w:szCs w:val="20"/>
              </w:rPr>
              <w:t>131</w:t>
            </w:r>
          </w:p>
        </w:tc>
        <w:tc>
          <w:tcPr>
            <w:tcW w:w="1503" w:type="dxa"/>
          </w:tcPr>
          <w:p w14:paraId="71D82C19"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512</w:t>
            </w:r>
          </w:p>
        </w:tc>
        <w:tc>
          <w:tcPr>
            <w:tcW w:w="1366" w:type="dxa"/>
          </w:tcPr>
          <w:p w14:paraId="0D20A88E" w14:textId="6F181508"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3.</w:t>
            </w:r>
            <w:r>
              <w:rPr>
                <w:rFonts w:ascii="Times New Roman" w:eastAsia="Aptos" w:hAnsi="Times New Roman" w:cs="Times New Roman"/>
                <w:sz w:val="20"/>
                <w:szCs w:val="20"/>
              </w:rPr>
              <w:t>40</w:t>
            </w:r>
          </w:p>
        </w:tc>
        <w:tc>
          <w:tcPr>
            <w:tcW w:w="1367" w:type="dxa"/>
          </w:tcPr>
          <w:p w14:paraId="38EF1199" w14:textId="35CDB829"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14.6</w:t>
            </w:r>
            <w:r>
              <w:rPr>
                <w:rFonts w:ascii="Times New Roman" w:eastAsia="Aptos" w:hAnsi="Times New Roman" w:cs="Times New Roman"/>
                <w:sz w:val="20"/>
                <w:szCs w:val="20"/>
              </w:rPr>
              <w:t>2</w:t>
            </w:r>
          </w:p>
        </w:tc>
        <w:tc>
          <w:tcPr>
            <w:tcW w:w="1501" w:type="dxa"/>
          </w:tcPr>
          <w:p w14:paraId="4682F565" w14:textId="36CEE65C" w:rsidR="001C436A" w:rsidRPr="00CB1D16" w:rsidRDefault="001C436A" w:rsidP="001C436A">
            <w:pPr>
              <w:spacing w:before="36" w:after="36"/>
              <w:jc w:val="center"/>
              <w:rPr>
                <w:rFonts w:ascii="Times New Roman" w:eastAsia="Aptos" w:hAnsi="Times New Roman" w:cs="Times New Roman"/>
                <w:sz w:val="20"/>
                <w:szCs w:val="20"/>
              </w:rPr>
            </w:pPr>
            <w:r>
              <w:rPr>
                <w:rFonts w:ascii="Times New Roman" w:eastAsia="Aptos" w:hAnsi="Times New Roman" w:cs="Times New Roman"/>
                <w:sz w:val="20"/>
                <w:szCs w:val="20"/>
              </w:rPr>
              <w:t xml:space="preserve"> </w:t>
            </w:r>
            <w:r w:rsidRPr="00CB1D16">
              <w:rPr>
                <w:rFonts w:ascii="Times New Roman" w:eastAsia="Aptos" w:hAnsi="Times New Roman" w:cs="Times New Roman"/>
                <w:sz w:val="20"/>
                <w:szCs w:val="20"/>
              </w:rPr>
              <w:t>4.</w:t>
            </w:r>
            <w:r>
              <w:rPr>
                <w:rFonts w:ascii="Times New Roman" w:eastAsia="Aptos" w:hAnsi="Times New Roman" w:cs="Times New Roman"/>
                <w:sz w:val="20"/>
                <w:szCs w:val="20"/>
              </w:rPr>
              <w:t>7-</w:t>
            </w:r>
            <w:r w:rsidRPr="00CB1D16">
              <w:rPr>
                <w:rFonts w:ascii="Times New Roman" w:eastAsia="Aptos" w:hAnsi="Times New Roman" w:cs="Times New Roman"/>
                <w:sz w:val="20"/>
                <w:szCs w:val="20"/>
              </w:rPr>
              <w:t>***</w:t>
            </w:r>
          </w:p>
        </w:tc>
      </w:tr>
      <w:tr w:rsidR="001C436A" w:rsidRPr="00CB1D16" w14:paraId="5563727F" w14:textId="77777777" w:rsidTr="001C436A">
        <w:trPr>
          <w:jc w:val="center"/>
        </w:trPr>
        <w:tc>
          <w:tcPr>
            <w:tcW w:w="1129" w:type="dxa"/>
          </w:tcPr>
          <w:p w14:paraId="7341923F" w14:textId="2D8AE4C5" w:rsidR="001C436A" w:rsidRPr="00CB1D16" w:rsidRDefault="001C436A" w:rsidP="001C436A">
            <w:pPr>
              <w:spacing w:before="36" w:after="36"/>
              <w:rPr>
                <w:rFonts w:ascii="Times New Roman" w:eastAsia="Aptos" w:hAnsi="Times New Roman" w:cs="Times New Roman"/>
                <w:sz w:val="20"/>
                <w:szCs w:val="20"/>
              </w:rPr>
            </w:pPr>
            <w:r w:rsidRPr="00935190">
              <w:rPr>
                <w:rFonts w:ascii="Times New Roman" w:eastAsia="Aptos" w:hAnsi="Times New Roman" w:cs="Times New Roman"/>
                <w:sz w:val="20"/>
                <w:szCs w:val="20"/>
              </w:rPr>
              <w:t>TOTAL</w:t>
            </w:r>
          </w:p>
        </w:tc>
        <w:tc>
          <w:tcPr>
            <w:tcW w:w="920" w:type="dxa"/>
          </w:tcPr>
          <w:p w14:paraId="35947459" w14:textId="77777777" w:rsidR="001C436A" w:rsidRPr="00CB1D16" w:rsidRDefault="001C436A" w:rsidP="001C436A">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P/T</w:t>
            </w:r>
          </w:p>
        </w:tc>
        <w:tc>
          <w:tcPr>
            <w:tcW w:w="1230" w:type="dxa"/>
          </w:tcPr>
          <w:p w14:paraId="1B403EBE" w14:textId="26AA77F7" w:rsidR="001C436A" w:rsidRPr="00940261" w:rsidRDefault="001C436A" w:rsidP="001C436A">
            <w:pPr>
              <w:spacing w:before="36" w:after="36"/>
              <w:jc w:val="center"/>
              <w:rPr>
                <w:rFonts w:ascii="Times New Roman" w:eastAsia="Aptos" w:hAnsi="Times New Roman" w:cs="Times New Roman"/>
                <w:sz w:val="20"/>
                <w:szCs w:val="20"/>
              </w:rPr>
            </w:pPr>
            <w:r w:rsidRPr="00940261">
              <w:rPr>
                <w:rFonts w:ascii="Times New Roman" w:eastAsia="Aptos" w:hAnsi="Times New Roman" w:cs="Times New Roman"/>
                <w:sz w:val="20"/>
                <w:szCs w:val="20"/>
              </w:rPr>
              <w:t xml:space="preserve">   34</w:t>
            </w:r>
          </w:p>
        </w:tc>
        <w:tc>
          <w:tcPr>
            <w:tcW w:w="1503" w:type="dxa"/>
          </w:tcPr>
          <w:p w14:paraId="0AB3D2A6"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179</w:t>
            </w:r>
          </w:p>
        </w:tc>
        <w:tc>
          <w:tcPr>
            <w:tcW w:w="1366" w:type="dxa"/>
          </w:tcPr>
          <w:p w14:paraId="2FA4D2B1"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1.25</w:t>
            </w:r>
          </w:p>
        </w:tc>
        <w:tc>
          <w:tcPr>
            <w:tcW w:w="1367" w:type="dxa"/>
          </w:tcPr>
          <w:p w14:paraId="6133A677"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5.11</w:t>
            </w:r>
          </w:p>
        </w:tc>
        <w:tc>
          <w:tcPr>
            <w:tcW w:w="1501" w:type="dxa"/>
          </w:tcPr>
          <w:p w14:paraId="15861F17" w14:textId="2770344D" w:rsidR="001C436A" w:rsidRPr="00CB1D16" w:rsidRDefault="001C436A" w:rsidP="001C436A">
            <w:pPr>
              <w:spacing w:before="36" w:after="36"/>
              <w:jc w:val="center"/>
              <w:rPr>
                <w:rFonts w:ascii="Times New Roman" w:eastAsia="Aptos" w:hAnsi="Times New Roman" w:cs="Times New Roman"/>
                <w:sz w:val="20"/>
                <w:szCs w:val="20"/>
              </w:rPr>
            </w:pPr>
            <w:r>
              <w:rPr>
                <w:rFonts w:ascii="Times New Roman" w:eastAsia="Aptos" w:hAnsi="Times New Roman" w:cs="Times New Roman"/>
                <w:sz w:val="20"/>
                <w:szCs w:val="20"/>
              </w:rPr>
              <w:t xml:space="preserve"> </w:t>
            </w:r>
            <w:r w:rsidRPr="00CB1D16">
              <w:rPr>
                <w:rFonts w:ascii="Times New Roman" w:eastAsia="Aptos" w:hAnsi="Times New Roman" w:cs="Times New Roman"/>
                <w:sz w:val="20"/>
                <w:szCs w:val="20"/>
              </w:rPr>
              <w:t>5.18***</w:t>
            </w:r>
          </w:p>
        </w:tc>
      </w:tr>
      <w:tr w:rsidR="001C436A" w:rsidRPr="00CB1D16" w14:paraId="05E03661" w14:textId="77777777" w:rsidTr="001C436A">
        <w:trPr>
          <w:jc w:val="center"/>
        </w:trPr>
        <w:tc>
          <w:tcPr>
            <w:tcW w:w="1129" w:type="dxa"/>
          </w:tcPr>
          <w:p w14:paraId="632C545E" w14:textId="44772578" w:rsidR="001C436A" w:rsidRPr="00CB1D16" w:rsidRDefault="001C436A" w:rsidP="001C436A">
            <w:pPr>
              <w:spacing w:before="36" w:after="36"/>
              <w:rPr>
                <w:rFonts w:ascii="Times New Roman" w:eastAsia="Aptos" w:hAnsi="Times New Roman" w:cs="Times New Roman"/>
                <w:sz w:val="20"/>
                <w:szCs w:val="20"/>
              </w:rPr>
            </w:pPr>
            <w:r w:rsidRPr="00935190">
              <w:rPr>
                <w:rFonts w:ascii="Times New Roman" w:eastAsia="Aptos" w:hAnsi="Times New Roman" w:cs="Times New Roman"/>
                <w:sz w:val="20"/>
                <w:szCs w:val="20"/>
              </w:rPr>
              <w:t>TOTAL</w:t>
            </w:r>
          </w:p>
        </w:tc>
        <w:tc>
          <w:tcPr>
            <w:tcW w:w="920" w:type="dxa"/>
          </w:tcPr>
          <w:p w14:paraId="36AD7902" w14:textId="77777777" w:rsidR="001C436A" w:rsidRPr="00CB1D16" w:rsidRDefault="001C436A" w:rsidP="001C436A">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OA</w:t>
            </w:r>
          </w:p>
        </w:tc>
        <w:tc>
          <w:tcPr>
            <w:tcW w:w="1230" w:type="dxa"/>
          </w:tcPr>
          <w:p w14:paraId="380819EB" w14:textId="50F77232" w:rsidR="001C436A" w:rsidRPr="00940261" w:rsidRDefault="001C436A" w:rsidP="001C436A">
            <w:pPr>
              <w:spacing w:before="36" w:after="36"/>
              <w:jc w:val="center"/>
              <w:rPr>
                <w:rFonts w:ascii="Times New Roman" w:eastAsia="Aptos" w:hAnsi="Times New Roman" w:cs="Times New Roman"/>
                <w:sz w:val="20"/>
                <w:szCs w:val="20"/>
              </w:rPr>
            </w:pPr>
            <w:r w:rsidRPr="00940261">
              <w:rPr>
                <w:rFonts w:ascii="Times New Roman" w:eastAsia="Aptos" w:hAnsi="Times New Roman" w:cs="Times New Roman"/>
                <w:sz w:val="20"/>
                <w:szCs w:val="20"/>
              </w:rPr>
              <w:t>1079</w:t>
            </w:r>
          </w:p>
        </w:tc>
        <w:tc>
          <w:tcPr>
            <w:tcW w:w="1503" w:type="dxa"/>
          </w:tcPr>
          <w:p w14:paraId="29D71E32" w14:textId="031FE958"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310</w:t>
            </w:r>
            <w:r>
              <w:rPr>
                <w:rFonts w:ascii="Times New Roman" w:eastAsia="Aptos" w:hAnsi="Times New Roman" w:cs="Times New Roman"/>
                <w:sz w:val="20"/>
                <w:szCs w:val="20"/>
              </w:rPr>
              <w:t>4</w:t>
            </w:r>
          </w:p>
        </w:tc>
        <w:tc>
          <w:tcPr>
            <w:tcW w:w="1366" w:type="dxa"/>
          </w:tcPr>
          <w:p w14:paraId="3CAE2521" w14:textId="3F58D2B9" w:rsidR="001C436A" w:rsidRPr="00CB1D16" w:rsidRDefault="001C436A" w:rsidP="001C436A">
            <w:pPr>
              <w:spacing w:before="36" w:after="36"/>
              <w:jc w:val="center"/>
              <w:rPr>
                <w:rFonts w:ascii="Times New Roman" w:eastAsia="Aptos" w:hAnsi="Times New Roman" w:cs="Times New Roman"/>
                <w:sz w:val="20"/>
                <w:szCs w:val="20"/>
              </w:rPr>
            </w:pPr>
            <w:r>
              <w:rPr>
                <w:rFonts w:ascii="Times New Roman" w:eastAsia="Aptos" w:hAnsi="Times New Roman" w:cs="Times New Roman"/>
                <w:sz w:val="20"/>
                <w:szCs w:val="20"/>
              </w:rPr>
              <w:t>30.85</w:t>
            </w:r>
          </w:p>
        </w:tc>
        <w:tc>
          <w:tcPr>
            <w:tcW w:w="1367" w:type="dxa"/>
          </w:tcPr>
          <w:p w14:paraId="7FD328F8" w14:textId="5574F0FD" w:rsidR="001C436A" w:rsidRPr="00CB1D16" w:rsidRDefault="001C436A" w:rsidP="001C436A">
            <w:pPr>
              <w:spacing w:before="36" w:after="36"/>
              <w:jc w:val="center"/>
              <w:rPr>
                <w:rFonts w:ascii="Times New Roman" w:eastAsia="Aptos" w:hAnsi="Times New Roman" w:cs="Times New Roman"/>
                <w:sz w:val="20"/>
                <w:szCs w:val="20"/>
              </w:rPr>
            </w:pPr>
            <w:r>
              <w:rPr>
                <w:rFonts w:ascii="Times New Roman" w:eastAsia="Aptos" w:hAnsi="Times New Roman" w:cs="Times New Roman"/>
                <w:sz w:val="20"/>
                <w:szCs w:val="20"/>
              </w:rPr>
              <w:t>88.62</w:t>
            </w:r>
          </w:p>
        </w:tc>
        <w:tc>
          <w:tcPr>
            <w:tcW w:w="1501" w:type="dxa"/>
          </w:tcPr>
          <w:p w14:paraId="62D7A4F5"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2.89**</w:t>
            </w:r>
          </w:p>
        </w:tc>
      </w:tr>
      <w:tr w:rsidR="001C436A" w:rsidRPr="00CB1D16" w14:paraId="64EB9F6C" w14:textId="77777777" w:rsidTr="001C436A">
        <w:trPr>
          <w:jc w:val="center"/>
        </w:trPr>
        <w:tc>
          <w:tcPr>
            <w:tcW w:w="1129" w:type="dxa"/>
            <w:shd w:val="clear" w:color="auto" w:fill="E7E6E6" w:themeFill="background2"/>
          </w:tcPr>
          <w:p w14:paraId="0592E5E2" w14:textId="29E54682" w:rsidR="001C436A" w:rsidRPr="00CB1D16" w:rsidRDefault="001C436A" w:rsidP="001C436A">
            <w:pPr>
              <w:spacing w:before="36" w:after="36"/>
              <w:rPr>
                <w:rFonts w:ascii="Times New Roman" w:eastAsia="Aptos" w:hAnsi="Times New Roman" w:cs="Times New Roman"/>
                <w:sz w:val="20"/>
                <w:szCs w:val="20"/>
              </w:rPr>
            </w:pPr>
            <w:r w:rsidRPr="00935190">
              <w:rPr>
                <w:rFonts w:ascii="Times New Roman" w:eastAsia="Aptos" w:hAnsi="Times New Roman" w:cs="Times New Roman"/>
                <w:sz w:val="20"/>
                <w:szCs w:val="20"/>
              </w:rPr>
              <w:t>TOTAL</w:t>
            </w:r>
          </w:p>
        </w:tc>
        <w:tc>
          <w:tcPr>
            <w:tcW w:w="920" w:type="dxa"/>
            <w:shd w:val="clear" w:color="auto" w:fill="E7E6E6" w:themeFill="background2"/>
          </w:tcPr>
          <w:p w14:paraId="6F89BCE1" w14:textId="77777777" w:rsidR="001C436A" w:rsidRPr="00CB1D16" w:rsidRDefault="001C436A" w:rsidP="001C436A">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ALL</w:t>
            </w:r>
          </w:p>
        </w:tc>
        <w:tc>
          <w:tcPr>
            <w:tcW w:w="1230" w:type="dxa"/>
            <w:shd w:val="clear" w:color="auto" w:fill="E7E6E6" w:themeFill="background2"/>
          </w:tcPr>
          <w:p w14:paraId="12200345" w14:textId="2239BD12" w:rsidR="001C436A" w:rsidRPr="00940261" w:rsidRDefault="001C436A" w:rsidP="001C436A">
            <w:pPr>
              <w:spacing w:before="36" w:after="36"/>
              <w:jc w:val="center"/>
              <w:rPr>
                <w:rFonts w:ascii="Times New Roman" w:eastAsia="Aptos" w:hAnsi="Times New Roman" w:cs="Times New Roman"/>
                <w:sz w:val="20"/>
                <w:szCs w:val="20"/>
              </w:rPr>
            </w:pPr>
            <w:r w:rsidRPr="00940261">
              <w:rPr>
                <w:rFonts w:ascii="Times New Roman" w:eastAsia="Aptos" w:hAnsi="Times New Roman" w:cs="Times New Roman"/>
                <w:sz w:val="20"/>
                <w:szCs w:val="20"/>
              </w:rPr>
              <w:t>1,244</w:t>
            </w:r>
          </w:p>
        </w:tc>
        <w:tc>
          <w:tcPr>
            <w:tcW w:w="1503" w:type="dxa"/>
            <w:shd w:val="clear" w:color="auto" w:fill="E7E6E6" w:themeFill="background2"/>
          </w:tcPr>
          <w:p w14:paraId="712A2789" w14:textId="4B5044E8" w:rsidR="001C436A" w:rsidRPr="00940261" w:rsidRDefault="001C436A" w:rsidP="001C436A">
            <w:pPr>
              <w:spacing w:before="36" w:after="36"/>
              <w:jc w:val="center"/>
              <w:rPr>
                <w:rFonts w:ascii="Times New Roman" w:eastAsia="Aptos" w:hAnsi="Times New Roman" w:cs="Times New Roman"/>
                <w:sz w:val="20"/>
                <w:szCs w:val="20"/>
              </w:rPr>
            </w:pPr>
            <w:r w:rsidRPr="00940261">
              <w:rPr>
                <w:rFonts w:ascii="Times New Roman" w:eastAsia="Aptos" w:hAnsi="Times New Roman" w:cs="Times New Roman"/>
                <w:sz w:val="20"/>
                <w:szCs w:val="20"/>
              </w:rPr>
              <w:t>3,795</w:t>
            </w:r>
          </w:p>
        </w:tc>
        <w:tc>
          <w:tcPr>
            <w:tcW w:w="1366" w:type="dxa"/>
            <w:shd w:val="clear" w:color="auto" w:fill="E7E6E6" w:themeFill="background2"/>
          </w:tcPr>
          <w:p w14:paraId="793B98D2"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54.37</w:t>
            </w:r>
          </w:p>
        </w:tc>
        <w:tc>
          <w:tcPr>
            <w:tcW w:w="1367" w:type="dxa"/>
            <w:shd w:val="clear" w:color="auto" w:fill="E7E6E6" w:themeFill="background2"/>
          </w:tcPr>
          <w:p w14:paraId="7E629969" w14:textId="77777777" w:rsidR="001C436A" w:rsidRPr="00CB1D16" w:rsidRDefault="001C436A" w:rsidP="001C436A">
            <w:pPr>
              <w:spacing w:before="36" w:after="36"/>
              <w:jc w:val="center"/>
              <w:rPr>
                <w:rFonts w:ascii="Times New Roman" w:eastAsia="Aptos" w:hAnsi="Times New Roman" w:cs="Times New Roman"/>
                <w:sz w:val="20"/>
                <w:szCs w:val="20"/>
              </w:rPr>
            </w:pPr>
            <w:r w:rsidRPr="00CB1D16">
              <w:rPr>
                <w:rFonts w:ascii="Times New Roman" w:eastAsia="Aptos" w:hAnsi="Times New Roman" w:cs="Times New Roman"/>
                <w:sz w:val="20"/>
                <w:szCs w:val="20"/>
              </w:rPr>
              <w:t>108.28</w:t>
            </w:r>
          </w:p>
        </w:tc>
        <w:tc>
          <w:tcPr>
            <w:tcW w:w="1501" w:type="dxa"/>
            <w:shd w:val="clear" w:color="auto" w:fill="E7E6E6" w:themeFill="background2"/>
          </w:tcPr>
          <w:p w14:paraId="27A44B5B" w14:textId="56AEE204" w:rsidR="001C436A" w:rsidRPr="00CB1D16" w:rsidRDefault="001C436A" w:rsidP="001C436A">
            <w:pPr>
              <w:spacing w:before="36" w:after="36"/>
              <w:jc w:val="center"/>
              <w:rPr>
                <w:rFonts w:ascii="Times New Roman" w:eastAsia="Aptos" w:hAnsi="Times New Roman" w:cs="Times New Roman"/>
                <w:sz w:val="20"/>
                <w:szCs w:val="20"/>
              </w:rPr>
            </w:pPr>
            <w:r>
              <w:rPr>
                <w:rFonts w:ascii="Times New Roman" w:eastAsia="Aptos" w:hAnsi="Times New Roman" w:cs="Times New Roman"/>
                <w:sz w:val="20"/>
                <w:szCs w:val="20"/>
              </w:rPr>
              <w:t>3.27</w:t>
            </w:r>
            <w:r w:rsidRPr="00CB1D16">
              <w:rPr>
                <w:rFonts w:ascii="Times New Roman" w:eastAsia="Aptos" w:hAnsi="Times New Roman" w:cs="Times New Roman"/>
                <w:sz w:val="20"/>
                <w:szCs w:val="20"/>
              </w:rPr>
              <w:t>**</w:t>
            </w:r>
          </w:p>
        </w:tc>
      </w:tr>
    </w:tbl>
    <w:tbl>
      <w:tblPr>
        <w:tblpPr w:leftFromText="180" w:rightFromText="180" w:vertAnchor="text" w:tblpX="-306" w:tblpY="255"/>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4358B2" w:rsidRPr="00E61993" w14:paraId="6649ECDC" w14:textId="77777777" w:rsidTr="00906E1D">
        <w:trPr>
          <w:trHeight w:val="2259"/>
        </w:trPr>
        <w:tc>
          <w:tcPr>
            <w:tcW w:w="9640" w:type="dxa"/>
          </w:tcPr>
          <w:p w14:paraId="7A7B466E" w14:textId="4C3DC12E" w:rsidR="004358B2" w:rsidRPr="00E61993" w:rsidRDefault="004358B2" w:rsidP="00906E1D">
            <w:pPr>
              <w:suppressAutoHyphens/>
              <w:autoSpaceDN w:val="0"/>
              <w:ind w:firstLine="0"/>
              <w:textAlignment w:val="baseline"/>
              <w:rPr>
                <w:rFonts w:ascii="Times New Roman" w:eastAsia="Calibri" w:hAnsi="Times New Roman" w:cs="Times New Roman"/>
                <w:sz w:val="24"/>
                <w:szCs w:val="24"/>
              </w:rPr>
            </w:pPr>
            <w:r w:rsidRPr="00E61993">
              <w:rPr>
                <w:rFonts w:ascii="Times New Roman" w:eastAsia="Calibri" w:hAnsi="Times New Roman" w:cs="Times New Roman"/>
                <w:sz w:val="24"/>
                <w:szCs w:val="24"/>
              </w:rPr>
              <w:t>Note: Table 3 shows the Total environmental disclosure and</w:t>
            </w:r>
            <w:r w:rsidRPr="00E61993">
              <w:rPr>
                <w:rFonts w:ascii="Times New Roman" w:eastAsia="Yu Mincho" w:hAnsi="Times New Roman" w:cs="Times New Roman"/>
                <w:sz w:val="24"/>
                <w:szCs w:val="24"/>
                <w:lang w:eastAsia="ja-JP"/>
              </w:rPr>
              <w:t xml:space="preserve"> T-test values for difference between means, in year</w:t>
            </w:r>
            <w:r w:rsidRPr="00E61993">
              <w:rPr>
                <w:rFonts w:ascii="Times New Roman" w:eastAsia="Calibri" w:hAnsi="Times New Roman" w:cs="Times New Roman"/>
                <w:sz w:val="24"/>
                <w:szCs w:val="24"/>
              </w:rPr>
              <w:t xml:space="preserve"> 2013 and 2023. ENVMGT represents environmental management disclosure. CC means climate change disclosure and ECO reflects ecosystems disclosure. NUM and NAR denote numerical and narrative disclosure, respectively. P/T and OA means disclosures related to policy and targets, and operational activities.  *, **, *** indicate significance level at 10%, 5%, 1% respectively   </w:t>
            </w:r>
          </w:p>
        </w:tc>
      </w:tr>
    </w:tbl>
    <w:p w14:paraId="3E4FE95F" w14:textId="77777777" w:rsidR="00CB1D16" w:rsidRPr="00CB1D16" w:rsidRDefault="00CB1D16"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1AB8B403" w14:textId="77777777" w:rsidR="00CB1D16" w:rsidRPr="00CB1D16" w:rsidRDefault="00CB1D16"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3ADE8A0B" w14:textId="77777777" w:rsidR="00CB1D16" w:rsidRPr="00CB1D16" w:rsidRDefault="00CB1D16"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06628F42" w14:textId="77777777" w:rsidR="00CB1D16" w:rsidRPr="00CB1D16" w:rsidRDefault="00CB1D16"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0E1E807D" w14:textId="77777777" w:rsidR="00CB1D16" w:rsidRDefault="00CB1D16"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6F24DB4B" w14:textId="77777777" w:rsidR="004965F3" w:rsidRDefault="004965F3"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6A2ECE62" w14:textId="77777777" w:rsidR="004965F3" w:rsidRDefault="004965F3"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72B2EDB0" w14:textId="77777777" w:rsidR="004965F3" w:rsidRPr="00CB1D16" w:rsidRDefault="004965F3" w:rsidP="004965F3">
      <w:pPr>
        <w:spacing w:before="180" w:after="180" w:line="240" w:lineRule="auto"/>
        <w:ind w:firstLine="0"/>
        <w:jc w:val="left"/>
        <w:rPr>
          <w:rFonts w:ascii="Times New Roman" w:eastAsia="Aptos" w:hAnsi="Times New Roman" w:cs="Times New Roman"/>
          <w:kern w:val="0"/>
          <w:sz w:val="24"/>
          <w:szCs w:val="24"/>
          <w:lang w:val="en-US"/>
          <w14:ligatures w14:val="none"/>
        </w:rPr>
      </w:pPr>
      <w:r w:rsidRPr="00CB1D16">
        <w:rPr>
          <w:rFonts w:ascii="Times New Roman" w:eastAsia="Aptos" w:hAnsi="Times New Roman" w:cs="Times New Roman"/>
          <w:b/>
          <w:bCs/>
          <w:kern w:val="0"/>
          <w:sz w:val="24"/>
          <w:szCs w:val="24"/>
          <w:lang w:val="en-US"/>
          <w14:ligatures w14:val="none"/>
        </w:rPr>
        <w:lastRenderedPageBreak/>
        <w:t xml:space="preserve">Table 4: Summary of </w:t>
      </w:r>
      <w:r>
        <w:rPr>
          <w:rFonts w:ascii="Times New Roman" w:eastAsia="Aptos" w:hAnsi="Times New Roman" w:cs="Times New Roman"/>
          <w:b/>
          <w:bCs/>
          <w:kern w:val="0"/>
          <w:sz w:val="24"/>
          <w:szCs w:val="24"/>
          <w:lang w:val="en-US"/>
          <w14:ligatures w14:val="none"/>
        </w:rPr>
        <w:t>Internal Facing</w:t>
      </w:r>
      <w:r w:rsidRPr="00CB1D16">
        <w:rPr>
          <w:rFonts w:ascii="Times New Roman" w:eastAsia="Aptos" w:hAnsi="Times New Roman" w:cs="Times New Roman"/>
          <w:b/>
          <w:bCs/>
          <w:kern w:val="0"/>
          <w:sz w:val="24"/>
          <w:szCs w:val="24"/>
          <w:lang w:val="en-US"/>
          <w14:ligatures w14:val="none"/>
        </w:rPr>
        <w:t xml:space="preserve"> Environmental Disclosure Statistics (2013 vs. 2023)</w:t>
      </w:r>
    </w:p>
    <w:tbl>
      <w:tblPr>
        <w:tblStyle w:val="Table"/>
        <w:tblW w:w="5000" w:type="pct"/>
        <w:tblLayout w:type="fixed"/>
        <w:tblLook w:val="0020" w:firstRow="1" w:lastRow="0" w:firstColumn="0" w:lastColumn="0" w:noHBand="0" w:noVBand="0"/>
      </w:tblPr>
      <w:tblGrid>
        <w:gridCol w:w="1290"/>
        <w:gridCol w:w="1290"/>
        <w:gridCol w:w="1290"/>
        <w:gridCol w:w="1289"/>
        <w:gridCol w:w="1289"/>
        <w:gridCol w:w="1289"/>
        <w:gridCol w:w="1289"/>
      </w:tblGrid>
      <w:tr w:rsidR="004965F3" w:rsidRPr="00CB1D16" w14:paraId="62F1A55C" w14:textId="77777777" w:rsidTr="00A4359A">
        <w:trPr>
          <w:cnfStyle w:val="100000000000" w:firstRow="1" w:lastRow="0" w:firstColumn="0" w:lastColumn="0" w:oddVBand="0" w:evenVBand="0" w:oddHBand="0" w:evenHBand="0" w:firstRowFirstColumn="0" w:firstRowLastColumn="0" w:lastRowFirstColumn="0" w:lastRowLastColumn="0"/>
          <w:tblHeader/>
        </w:trPr>
        <w:tc>
          <w:tcPr>
            <w:tcW w:w="1131" w:type="dxa"/>
            <w:tcBorders>
              <w:top w:val="single" w:sz="4" w:space="0" w:color="auto"/>
              <w:bottom w:val="single" w:sz="2" w:space="0" w:color="auto"/>
            </w:tcBorders>
          </w:tcPr>
          <w:p w14:paraId="55557877" w14:textId="77777777" w:rsidR="004965F3" w:rsidRPr="00CB1D16" w:rsidRDefault="004965F3" w:rsidP="00A4359A">
            <w:pPr>
              <w:spacing w:before="36" w:after="36"/>
              <w:rPr>
                <w:rFonts w:ascii="Times New Roman" w:eastAsia="Aptos" w:hAnsi="Times New Roman" w:cs="Times New Roman"/>
                <w:sz w:val="22"/>
                <w:szCs w:val="22"/>
              </w:rPr>
            </w:pPr>
            <w:r w:rsidRPr="00CB1D16">
              <w:rPr>
                <w:rFonts w:ascii="Times New Roman" w:eastAsia="Aptos" w:hAnsi="Times New Roman" w:cs="Times New Roman"/>
                <w:sz w:val="22"/>
                <w:szCs w:val="22"/>
              </w:rPr>
              <w:t>Theme</w:t>
            </w:r>
          </w:p>
        </w:tc>
        <w:tc>
          <w:tcPr>
            <w:tcW w:w="1131" w:type="dxa"/>
            <w:tcBorders>
              <w:top w:val="single" w:sz="4" w:space="0" w:color="auto"/>
              <w:bottom w:val="single" w:sz="2" w:space="0" w:color="auto"/>
            </w:tcBorders>
          </w:tcPr>
          <w:p w14:paraId="4AFB4D10"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Category</w:t>
            </w:r>
          </w:p>
        </w:tc>
        <w:tc>
          <w:tcPr>
            <w:tcW w:w="1131" w:type="dxa"/>
            <w:tcBorders>
              <w:top w:val="single" w:sz="4" w:space="0" w:color="auto"/>
              <w:bottom w:val="single" w:sz="2" w:space="0" w:color="auto"/>
            </w:tcBorders>
          </w:tcPr>
          <w:p w14:paraId="25C844DE"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2013 (Sum)</w:t>
            </w:r>
          </w:p>
        </w:tc>
        <w:tc>
          <w:tcPr>
            <w:tcW w:w="1131" w:type="dxa"/>
            <w:tcBorders>
              <w:top w:val="single" w:sz="4" w:space="0" w:color="auto"/>
              <w:bottom w:val="single" w:sz="2" w:space="0" w:color="auto"/>
            </w:tcBorders>
          </w:tcPr>
          <w:p w14:paraId="0F06BB43"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2023 (Sum)</w:t>
            </w:r>
          </w:p>
        </w:tc>
        <w:tc>
          <w:tcPr>
            <w:tcW w:w="1131" w:type="dxa"/>
            <w:tcBorders>
              <w:top w:val="single" w:sz="4" w:space="0" w:color="auto"/>
              <w:bottom w:val="single" w:sz="2" w:space="0" w:color="auto"/>
            </w:tcBorders>
          </w:tcPr>
          <w:p w14:paraId="104ABF2D"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2013 (Mean)</w:t>
            </w:r>
          </w:p>
        </w:tc>
        <w:tc>
          <w:tcPr>
            <w:tcW w:w="1131" w:type="dxa"/>
            <w:tcBorders>
              <w:top w:val="single" w:sz="4" w:space="0" w:color="auto"/>
              <w:bottom w:val="single" w:sz="2" w:space="0" w:color="auto"/>
            </w:tcBorders>
          </w:tcPr>
          <w:p w14:paraId="1E94DFEA"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2023 (Mean)</w:t>
            </w:r>
          </w:p>
        </w:tc>
        <w:tc>
          <w:tcPr>
            <w:tcW w:w="1131" w:type="dxa"/>
            <w:tcBorders>
              <w:top w:val="single" w:sz="4" w:space="0" w:color="auto"/>
              <w:bottom w:val="single" w:sz="2" w:space="0" w:color="auto"/>
            </w:tcBorders>
          </w:tcPr>
          <w:p w14:paraId="505EE12F"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T-test (Diff)</w:t>
            </w:r>
          </w:p>
        </w:tc>
      </w:tr>
      <w:tr w:rsidR="004965F3" w:rsidRPr="00CB1D16" w14:paraId="40570016" w14:textId="77777777" w:rsidTr="00A4359A">
        <w:tc>
          <w:tcPr>
            <w:tcW w:w="1131" w:type="dxa"/>
            <w:tcBorders>
              <w:top w:val="single" w:sz="2" w:space="0" w:color="auto"/>
            </w:tcBorders>
          </w:tcPr>
          <w:p w14:paraId="6B6199BA" w14:textId="77777777" w:rsidR="004965F3" w:rsidRPr="00CB1D16" w:rsidRDefault="004965F3" w:rsidP="00A4359A">
            <w:pPr>
              <w:spacing w:before="36" w:after="36"/>
              <w:rPr>
                <w:rFonts w:ascii="Times New Roman" w:eastAsia="Aptos" w:hAnsi="Times New Roman" w:cs="Times New Roman"/>
                <w:sz w:val="22"/>
                <w:szCs w:val="22"/>
              </w:rPr>
            </w:pPr>
            <w:r w:rsidRPr="00CB1D16">
              <w:rPr>
                <w:rFonts w:ascii="Times New Roman" w:eastAsia="Aptos" w:hAnsi="Times New Roman" w:cs="Times New Roman"/>
                <w:sz w:val="22"/>
                <w:szCs w:val="22"/>
              </w:rPr>
              <w:t>ENVMGT</w:t>
            </w:r>
          </w:p>
        </w:tc>
        <w:tc>
          <w:tcPr>
            <w:tcW w:w="1131" w:type="dxa"/>
            <w:tcBorders>
              <w:top w:val="single" w:sz="2" w:space="0" w:color="auto"/>
            </w:tcBorders>
          </w:tcPr>
          <w:p w14:paraId="1A537693"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NAR</w:t>
            </w:r>
          </w:p>
        </w:tc>
        <w:tc>
          <w:tcPr>
            <w:tcW w:w="1131" w:type="dxa"/>
            <w:tcBorders>
              <w:top w:val="single" w:sz="2" w:space="0" w:color="auto"/>
            </w:tcBorders>
          </w:tcPr>
          <w:p w14:paraId="0EF89E93"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2</w:t>
            </w:r>
            <w:r>
              <w:rPr>
                <w:rFonts w:ascii="Times New Roman" w:eastAsia="Aptos" w:hAnsi="Times New Roman" w:cs="Times New Roman"/>
                <w:sz w:val="22"/>
                <w:szCs w:val="22"/>
              </w:rPr>
              <w:t>10</w:t>
            </w:r>
          </w:p>
        </w:tc>
        <w:tc>
          <w:tcPr>
            <w:tcW w:w="1131" w:type="dxa"/>
            <w:tcBorders>
              <w:top w:val="single" w:sz="2" w:space="0" w:color="auto"/>
            </w:tcBorders>
          </w:tcPr>
          <w:p w14:paraId="72E83794" w14:textId="77777777" w:rsidR="004965F3" w:rsidRPr="00CB1D16" w:rsidRDefault="004965F3" w:rsidP="00A4359A">
            <w:pPr>
              <w:spacing w:before="36" w:after="36"/>
              <w:jc w:val="both"/>
              <w:rPr>
                <w:rFonts w:ascii="Times New Roman" w:eastAsia="Aptos" w:hAnsi="Times New Roman" w:cs="Times New Roman"/>
                <w:sz w:val="22"/>
                <w:szCs w:val="22"/>
              </w:rPr>
            </w:pPr>
            <w:r>
              <w:rPr>
                <w:rFonts w:ascii="Times New Roman" w:eastAsia="Aptos" w:hAnsi="Times New Roman" w:cs="Times New Roman"/>
                <w:sz w:val="22"/>
                <w:szCs w:val="22"/>
              </w:rPr>
              <w:t xml:space="preserve">       767</w:t>
            </w:r>
          </w:p>
        </w:tc>
        <w:tc>
          <w:tcPr>
            <w:tcW w:w="1131" w:type="dxa"/>
            <w:tcBorders>
              <w:top w:val="single" w:sz="2" w:space="0" w:color="auto"/>
            </w:tcBorders>
          </w:tcPr>
          <w:p w14:paraId="51A92239" w14:textId="77777777" w:rsidR="004965F3" w:rsidRPr="00CB1D16" w:rsidRDefault="004965F3" w:rsidP="00A4359A">
            <w:pPr>
              <w:spacing w:before="36" w:after="36"/>
              <w:jc w:val="center"/>
              <w:rPr>
                <w:rFonts w:ascii="Times New Roman" w:eastAsia="Aptos" w:hAnsi="Times New Roman" w:cs="Times New Roman"/>
                <w:sz w:val="22"/>
                <w:szCs w:val="22"/>
              </w:rPr>
            </w:pPr>
            <w:r>
              <w:rPr>
                <w:rFonts w:ascii="Times New Roman" w:eastAsia="Aptos" w:hAnsi="Times New Roman" w:cs="Times New Roman"/>
                <w:sz w:val="22"/>
                <w:szCs w:val="22"/>
              </w:rPr>
              <w:t>6.31</w:t>
            </w:r>
          </w:p>
        </w:tc>
        <w:tc>
          <w:tcPr>
            <w:tcW w:w="1131" w:type="dxa"/>
            <w:tcBorders>
              <w:top w:val="single" w:sz="2" w:space="0" w:color="auto"/>
            </w:tcBorders>
          </w:tcPr>
          <w:p w14:paraId="6092CF7A" w14:textId="77777777" w:rsidR="004965F3" w:rsidRPr="00CB1D16" w:rsidRDefault="004965F3" w:rsidP="00A4359A">
            <w:pPr>
              <w:spacing w:before="36" w:after="36"/>
              <w:jc w:val="center"/>
              <w:rPr>
                <w:rFonts w:ascii="Times New Roman" w:eastAsia="Aptos" w:hAnsi="Times New Roman" w:cs="Times New Roman"/>
                <w:sz w:val="22"/>
                <w:szCs w:val="22"/>
              </w:rPr>
            </w:pPr>
            <w:r>
              <w:rPr>
                <w:rFonts w:ascii="Times New Roman" w:eastAsia="Aptos" w:hAnsi="Times New Roman" w:cs="Times New Roman"/>
                <w:sz w:val="22"/>
                <w:szCs w:val="22"/>
              </w:rPr>
              <w:t>21.91</w:t>
            </w:r>
          </w:p>
        </w:tc>
        <w:tc>
          <w:tcPr>
            <w:tcW w:w="1131" w:type="dxa"/>
            <w:tcBorders>
              <w:top w:val="single" w:sz="2" w:space="0" w:color="auto"/>
            </w:tcBorders>
          </w:tcPr>
          <w:p w14:paraId="7B2E754D" w14:textId="77777777" w:rsidR="004965F3" w:rsidRPr="00CB1D16" w:rsidRDefault="004965F3" w:rsidP="00A4359A">
            <w:pPr>
              <w:spacing w:before="36" w:after="36"/>
              <w:jc w:val="center"/>
              <w:rPr>
                <w:rFonts w:ascii="Times New Roman" w:eastAsia="Aptos" w:hAnsi="Times New Roman" w:cs="Times New Roman"/>
                <w:sz w:val="22"/>
                <w:szCs w:val="22"/>
              </w:rPr>
            </w:pPr>
            <w:r>
              <w:rPr>
                <w:rFonts w:ascii="Times New Roman" w:eastAsia="Aptos" w:hAnsi="Times New Roman" w:cs="Times New Roman"/>
                <w:sz w:val="22"/>
                <w:szCs w:val="22"/>
              </w:rPr>
              <w:t>3.93</w:t>
            </w:r>
            <w:r w:rsidRPr="00CB1D16">
              <w:rPr>
                <w:rFonts w:ascii="Times New Roman" w:eastAsia="Aptos" w:hAnsi="Times New Roman" w:cs="Times New Roman"/>
                <w:sz w:val="22"/>
                <w:szCs w:val="22"/>
              </w:rPr>
              <w:t>***</w:t>
            </w:r>
          </w:p>
        </w:tc>
      </w:tr>
      <w:tr w:rsidR="004965F3" w:rsidRPr="00CB1D16" w14:paraId="613696A5" w14:textId="77777777" w:rsidTr="00A4359A">
        <w:tc>
          <w:tcPr>
            <w:tcW w:w="1131" w:type="dxa"/>
          </w:tcPr>
          <w:p w14:paraId="64AB223C" w14:textId="77777777" w:rsidR="004965F3" w:rsidRPr="00CB1D16" w:rsidRDefault="004965F3" w:rsidP="00A4359A">
            <w:pPr>
              <w:spacing w:before="36" w:after="36"/>
              <w:rPr>
                <w:rFonts w:ascii="Times New Roman" w:eastAsia="Aptos" w:hAnsi="Times New Roman" w:cs="Times New Roman"/>
                <w:sz w:val="22"/>
                <w:szCs w:val="22"/>
              </w:rPr>
            </w:pPr>
            <w:r w:rsidRPr="00CB1D16">
              <w:rPr>
                <w:rFonts w:ascii="Times New Roman" w:eastAsia="Aptos" w:hAnsi="Times New Roman" w:cs="Times New Roman"/>
                <w:sz w:val="22"/>
                <w:szCs w:val="22"/>
              </w:rPr>
              <w:t>ENVMGT</w:t>
            </w:r>
          </w:p>
        </w:tc>
        <w:tc>
          <w:tcPr>
            <w:tcW w:w="1131" w:type="dxa"/>
          </w:tcPr>
          <w:p w14:paraId="144D3443"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NUM</w:t>
            </w:r>
          </w:p>
        </w:tc>
        <w:tc>
          <w:tcPr>
            <w:tcW w:w="1131" w:type="dxa"/>
          </w:tcPr>
          <w:p w14:paraId="70DAA75C" w14:textId="77777777" w:rsidR="004965F3" w:rsidRPr="00CB1D16" w:rsidRDefault="004965F3" w:rsidP="00A4359A">
            <w:pPr>
              <w:spacing w:before="36" w:after="36"/>
              <w:jc w:val="center"/>
              <w:rPr>
                <w:rFonts w:ascii="Times New Roman" w:eastAsia="Aptos" w:hAnsi="Times New Roman" w:cs="Times New Roman"/>
                <w:sz w:val="22"/>
                <w:szCs w:val="22"/>
              </w:rPr>
            </w:pPr>
            <w:r>
              <w:rPr>
                <w:rFonts w:ascii="Times New Roman" w:eastAsia="Aptos" w:hAnsi="Times New Roman" w:cs="Times New Roman"/>
                <w:sz w:val="22"/>
                <w:szCs w:val="22"/>
              </w:rPr>
              <w:t>13</w:t>
            </w:r>
          </w:p>
        </w:tc>
        <w:tc>
          <w:tcPr>
            <w:tcW w:w="1131" w:type="dxa"/>
          </w:tcPr>
          <w:p w14:paraId="0F535708"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1</w:t>
            </w:r>
            <w:r>
              <w:rPr>
                <w:rFonts w:ascii="Times New Roman" w:eastAsia="Aptos" w:hAnsi="Times New Roman" w:cs="Times New Roman"/>
                <w:sz w:val="22"/>
                <w:szCs w:val="22"/>
              </w:rPr>
              <w:t>27</w:t>
            </w:r>
          </w:p>
        </w:tc>
        <w:tc>
          <w:tcPr>
            <w:tcW w:w="1131" w:type="dxa"/>
          </w:tcPr>
          <w:p w14:paraId="0B3E82E2"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0.</w:t>
            </w:r>
            <w:r>
              <w:rPr>
                <w:rFonts w:ascii="Times New Roman" w:eastAsia="Aptos" w:hAnsi="Times New Roman" w:cs="Times New Roman"/>
                <w:sz w:val="22"/>
                <w:szCs w:val="22"/>
              </w:rPr>
              <w:t>37</w:t>
            </w:r>
          </w:p>
        </w:tc>
        <w:tc>
          <w:tcPr>
            <w:tcW w:w="1131" w:type="dxa"/>
          </w:tcPr>
          <w:p w14:paraId="782FDBAF" w14:textId="77777777" w:rsidR="004965F3" w:rsidRPr="00CB1D16" w:rsidRDefault="004965F3" w:rsidP="00A4359A">
            <w:pPr>
              <w:spacing w:before="36" w:after="36"/>
              <w:jc w:val="both"/>
              <w:rPr>
                <w:rFonts w:ascii="Times New Roman" w:eastAsia="Aptos" w:hAnsi="Times New Roman" w:cs="Times New Roman"/>
                <w:sz w:val="22"/>
                <w:szCs w:val="22"/>
              </w:rPr>
            </w:pPr>
            <w:r>
              <w:rPr>
                <w:rFonts w:ascii="Times New Roman" w:eastAsia="Aptos" w:hAnsi="Times New Roman" w:cs="Times New Roman"/>
                <w:sz w:val="22"/>
                <w:szCs w:val="22"/>
              </w:rPr>
              <w:t xml:space="preserve">       3.62</w:t>
            </w:r>
          </w:p>
        </w:tc>
        <w:tc>
          <w:tcPr>
            <w:tcW w:w="1131" w:type="dxa"/>
          </w:tcPr>
          <w:p w14:paraId="5F0BC2A1" w14:textId="77777777" w:rsidR="004965F3" w:rsidRPr="00CB1D16" w:rsidRDefault="004965F3" w:rsidP="00A4359A">
            <w:pPr>
              <w:spacing w:before="36" w:after="36"/>
              <w:jc w:val="center"/>
              <w:rPr>
                <w:rFonts w:ascii="Times New Roman" w:eastAsia="Aptos" w:hAnsi="Times New Roman" w:cs="Times New Roman"/>
                <w:sz w:val="22"/>
                <w:szCs w:val="22"/>
              </w:rPr>
            </w:pPr>
            <w:r>
              <w:rPr>
                <w:rFonts w:ascii="Times New Roman" w:eastAsia="Aptos" w:hAnsi="Times New Roman" w:cs="Times New Roman"/>
                <w:sz w:val="22"/>
                <w:szCs w:val="22"/>
              </w:rPr>
              <w:t>4.51</w:t>
            </w:r>
            <w:r w:rsidRPr="00CB1D16">
              <w:rPr>
                <w:rFonts w:ascii="Times New Roman" w:eastAsia="Aptos" w:hAnsi="Times New Roman" w:cs="Times New Roman"/>
                <w:sz w:val="22"/>
                <w:szCs w:val="22"/>
              </w:rPr>
              <w:t>***</w:t>
            </w:r>
          </w:p>
        </w:tc>
      </w:tr>
      <w:tr w:rsidR="004965F3" w:rsidRPr="00CB1D16" w14:paraId="3A243CF0" w14:textId="77777777" w:rsidTr="00A4359A">
        <w:tc>
          <w:tcPr>
            <w:tcW w:w="1131" w:type="dxa"/>
          </w:tcPr>
          <w:p w14:paraId="063E10F6" w14:textId="77777777" w:rsidR="004965F3" w:rsidRPr="00CB1D16" w:rsidRDefault="004965F3" w:rsidP="00A4359A">
            <w:pPr>
              <w:spacing w:before="36" w:after="36"/>
              <w:rPr>
                <w:rFonts w:ascii="Times New Roman" w:eastAsia="Aptos" w:hAnsi="Times New Roman" w:cs="Times New Roman"/>
                <w:sz w:val="22"/>
                <w:szCs w:val="22"/>
              </w:rPr>
            </w:pPr>
            <w:r w:rsidRPr="00CB1D16">
              <w:rPr>
                <w:rFonts w:ascii="Times New Roman" w:eastAsia="Aptos" w:hAnsi="Times New Roman" w:cs="Times New Roman"/>
                <w:sz w:val="22"/>
                <w:szCs w:val="22"/>
              </w:rPr>
              <w:t>ENVMGT</w:t>
            </w:r>
          </w:p>
        </w:tc>
        <w:tc>
          <w:tcPr>
            <w:tcW w:w="1131" w:type="dxa"/>
          </w:tcPr>
          <w:p w14:paraId="161D58C1"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P/T</w:t>
            </w:r>
          </w:p>
        </w:tc>
        <w:tc>
          <w:tcPr>
            <w:tcW w:w="1131" w:type="dxa"/>
          </w:tcPr>
          <w:p w14:paraId="7EE29E1B" w14:textId="77777777" w:rsidR="004965F3" w:rsidRPr="00CB1D16" w:rsidRDefault="004965F3" w:rsidP="00A4359A">
            <w:pPr>
              <w:spacing w:before="36" w:after="36"/>
              <w:jc w:val="center"/>
              <w:rPr>
                <w:rFonts w:ascii="Times New Roman" w:eastAsia="Aptos" w:hAnsi="Times New Roman" w:cs="Times New Roman"/>
                <w:sz w:val="22"/>
                <w:szCs w:val="22"/>
              </w:rPr>
            </w:pPr>
            <w:r>
              <w:rPr>
                <w:rFonts w:ascii="Times New Roman" w:eastAsia="Aptos" w:hAnsi="Times New Roman" w:cs="Times New Roman"/>
                <w:sz w:val="22"/>
                <w:szCs w:val="22"/>
              </w:rPr>
              <w:t>9</w:t>
            </w:r>
          </w:p>
        </w:tc>
        <w:tc>
          <w:tcPr>
            <w:tcW w:w="1131" w:type="dxa"/>
          </w:tcPr>
          <w:p w14:paraId="56D86246"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65</w:t>
            </w:r>
          </w:p>
        </w:tc>
        <w:tc>
          <w:tcPr>
            <w:tcW w:w="1131" w:type="dxa"/>
          </w:tcPr>
          <w:p w14:paraId="463F09FF"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0.54</w:t>
            </w:r>
          </w:p>
        </w:tc>
        <w:tc>
          <w:tcPr>
            <w:tcW w:w="1131" w:type="dxa"/>
          </w:tcPr>
          <w:p w14:paraId="7B6F4B0F"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1.85</w:t>
            </w:r>
          </w:p>
        </w:tc>
        <w:tc>
          <w:tcPr>
            <w:tcW w:w="1131" w:type="dxa"/>
          </w:tcPr>
          <w:p w14:paraId="779F6CF7"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4.97***</w:t>
            </w:r>
          </w:p>
        </w:tc>
      </w:tr>
      <w:tr w:rsidR="004965F3" w:rsidRPr="00CB1D16" w14:paraId="3C6B66BE" w14:textId="77777777" w:rsidTr="00A4359A">
        <w:tc>
          <w:tcPr>
            <w:tcW w:w="1131" w:type="dxa"/>
          </w:tcPr>
          <w:p w14:paraId="1B428ABF" w14:textId="77777777" w:rsidR="004965F3" w:rsidRPr="00CB1D16" w:rsidRDefault="004965F3" w:rsidP="00A4359A">
            <w:pPr>
              <w:spacing w:before="36" w:after="36"/>
              <w:rPr>
                <w:rFonts w:ascii="Times New Roman" w:eastAsia="Aptos" w:hAnsi="Times New Roman" w:cs="Times New Roman"/>
                <w:sz w:val="22"/>
                <w:szCs w:val="22"/>
              </w:rPr>
            </w:pPr>
            <w:r w:rsidRPr="00CB1D16">
              <w:rPr>
                <w:rFonts w:ascii="Times New Roman" w:eastAsia="Aptos" w:hAnsi="Times New Roman" w:cs="Times New Roman"/>
                <w:sz w:val="22"/>
                <w:szCs w:val="22"/>
              </w:rPr>
              <w:t>ENVMGT</w:t>
            </w:r>
          </w:p>
        </w:tc>
        <w:tc>
          <w:tcPr>
            <w:tcW w:w="1131" w:type="dxa"/>
          </w:tcPr>
          <w:p w14:paraId="62D186C5"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OA</w:t>
            </w:r>
          </w:p>
        </w:tc>
        <w:tc>
          <w:tcPr>
            <w:tcW w:w="1131" w:type="dxa"/>
          </w:tcPr>
          <w:p w14:paraId="1B2C150D"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2</w:t>
            </w:r>
            <w:r>
              <w:rPr>
                <w:rFonts w:ascii="Times New Roman" w:eastAsia="Aptos" w:hAnsi="Times New Roman" w:cs="Times New Roman"/>
                <w:sz w:val="22"/>
                <w:szCs w:val="22"/>
              </w:rPr>
              <w:t>01</w:t>
            </w:r>
          </w:p>
        </w:tc>
        <w:tc>
          <w:tcPr>
            <w:tcW w:w="1131" w:type="dxa"/>
          </w:tcPr>
          <w:p w14:paraId="05305344"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7</w:t>
            </w:r>
            <w:r>
              <w:rPr>
                <w:rFonts w:ascii="Times New Roman" w:eastAsia="Aptos" w:hAnsi="Times New Roman" w:cs="Times New Roman"/>
                <w:sz w:val="22"/>
                <w:szCs w:val="22"/>
              </w:rPr>
              <w:t>02</w:t>
            </w:r>
          </w:p>
        </w:tc>
        <w:tc>
          <w:tcPr>
            <w:tcW w:w="1131" w:type="dxa"/>
          </w:tcPr>
          <w:p w14:paraId="29F70C61"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5.77</w:t>
            </w:r>
          </w:p>
        </w:tc>
        <w:tc>
          <w:tcPr>
            <w:tcW w:w="1131" w:type="dxa"/>
          </w:tcPr>
          <w:p w14:paraId="05A2B351"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20.05</w:t>
            </w:r>
          </w:p>
        </w:tc>
        <w:tc>
          <w:tcPr>
            <w:tcW w:w="1131" w:type="dxa"/>
          </w:tcPr>
          <w:p w14:paraId="4DC5E83E"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3.72***</w:t>
            </w:r>
          </w:p>
        </w:tc>
      </w:tr>
      <w:tr w:rsidR="004965F3" w:rsidRPr="00CB1D16" w14:paraId="74936D41" w14:textId="77777777" w:rsidTr="00A4359A">
        <w:tc>
          <w:tcPr>
            <w:tcW w:w="1131" w:type="dxa"/>
          </w:tcPr>
          <w:p w14:paraId="7F516727" w14:textId="77777777" w:rsidR="004965F3" w:rsidRPr="00CB1D16" w:rsidRDefault="004965F3" w:rsidP="00A4359A">
            <w:pPr>
              <w:spacing w:before="36" w:after="36"/>
              <w:rPr>
                <w:rFonts w:ascii="Times New Roman" w:eastAsia="Aptos" w:hAnsi="Times New Roman" w:cs="Times New Roman"/>
                <w:sz w:val="22"/>
                <w:szCs w:val="22"/>
              </w:rPr>
            </w:pPr>
            <w:r w:rsidRPr="00CB1D16">
              <w:rPr>
                <w:rFonts w:ascii="Times New Roman" w:eastAsia="Aptos" w:hAnsi="Times New Roman" w:cs="Times New Roman"/>
                <w:sz w:val="22"/>
                <w:szCs w:val="22"/>
              </w:rPr>
              <w:t>CC</w:t>
            </w:r>
          </w:p>
        </w:tc>
        <w:tc>
          <w:tcPr>
            <w:tcW w:w="1131" w:type="dxa"/>
          </w:tcPr>
          <w:p w14:paraId="70EF4517"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NAR</w:t>
            </w:r>
          </w:p>
        </w:tc>
        <w:tc>
          <w:tcPr>
            <w:tcW w:w="1131" w:type="dxa"/>
          </w:tcPr>
          <w:p w14:paraId="263A825C"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2</w:t>
            </w:r>
            <w:r>
              <w:rPr>
                <w:rFonts w:ascii="Times New Roman" w:eastAsia="Aptos" w:hAnsi="Times New Roman" w:cs="Times New Roman"/>
                <w:sz w:val="22"/>
                <w:szCs w:val="22"/>
              </w:rPr>
              <w:t>56</w:t>
            </w:r>
          </w:p>
        </w:tc>
        <w:tc>
          <w:tcPr>
            <w:tcW w:w="1131" w:type="dxa"/>
          </w:tcPr>
          <w:p w14:paraId="2DA7D8C4"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1</w:t>
            </w:r>
            <w:r>
              <w:rPr>
                <w:rFonts w:ascii="Times New Roman" w:eastAsia="Aptos" w:hAnsi="Times New Roman" w:cs="Times New Roman"/>
                <w:sz w:val="22"/>
                <w:szCs w:val="22"/>
              </w:rPr>
              <w:t>305</w:t>
            </w:r>
          </w:p>
        </w:tc>
        <w:tc>
          <w:tcPr>
            <w:tcW w:w="1131" w:type="dxa"/>
          </w:tcPr>
          <w:p w14:paraId="1B33ACC6" w14:textId="77777777" w:rsidR="004965F3" w:rsidRPr="00CB1D16" w:rsidRDefault="004965F3" w:rsidP="00A4359A">
            <w:pPr>
              <w:spacing w:before="36" w:after="36"/>
              <w:jc w:val="both"/>
              <w:rPr>
                <w:rFonts w:ascii="Times New Roman" w:eastAsia="Aptos" w:hAnsi="Times New Roman" w:cs="Times New Roman"/>
                <w:sz w:val="22"/>
                <w:szCs w:val="22"/>
              </w:rPr>
            </w:pPr>
            <w:r>
              <w:rPr>
                <w:rFonts w:ascii="Times New Roman" w:eastAsia="Aptos" w:hAnsi="Times New Roman" w:cs="Times New Roman"/>
                <w:sz w:val="22"/>
                <w:szCs w:val="22"/>
              </w:rPr>
              <w:t xml:space="preserve">       7.31</w:t>
            </w:r>
          </w:p>
        </w:tc>
        <w:tc>
          <w:tcPr>
            <w:tcW w:w="1131" w:type="dxa"/>
          </w:tcPr>
          <w:p w14:paraId="2877EC0B" w14:textId="77777777" w:rsidR="004965F3" w:rsidRPr="00CB1D16" w:rsidRDefault="004965F3" w:rsidP="00A4359A">
            <w:pPr>
              <w:spacing w:before="36" w:after="36"/>
              <w:jc w:val="center"/>
              <w:rPr>
                <w:rFonts w:ascii="Times New Roman" w:eastAsia="Aptos" w:hAnsi="Times New Roman" w:cs="Times New Roman"/>
                <w:sz w:val="22"/>
                <w:szCs w:val="22"/>
              </w:rPr>
            </w:pPr>
            <w:r>
              <w:rPr>
                <w:rFonts w:ascii="Times New Roman" w:eastAsia="Aptos" w:hAnsi="Times New Roman" w:cs="Times New Roman"/>
                <w:sz w:val="22"/>
                <w:szCs w:val="22"/>
              </w:rPr>
              <w:t>37</w:t>
            </w:r>
            <w:r w:rsidRPr="00CB1D16">
              <w:rPr>
                <w:rFonts w:ascii="Times New Roman" w:eastAsia="Aptos" w:hAnsi="Times New Roman" w:cs="Times New Roman"/>
                <w:sz w:val="22"/>
                <w:szCs w:val="22"/>
              </w:rPr>
              <w:t>.</w:t>
            </w:r>
            <w:r>
              <w:rPr>
                <w:rFonts w:ascii="Times New Roman" w:eastAsia="Aptos" w:hAnsi="Times New Roman" w:cs="Times New Roman"/>
                <w:sz w:val="22"/>
                <w:szCs w:val="22"/>
              </w:rPr>
              <w:t>28</w:t>
            </w:r>
          </w:p>
        </w:tc>
        <w:tc>
          <w:tcPr>
            <w:tcW w:w="1131" w:type="dxa"/>
          </w:tcPr>
          <w:p w14:paraId="1BA719BF" w14:textId="77777777" w:rsidR="004965F3" w:rsidRPr="00CB1D16" w:rsidRDefault="004965F3" w:rsidP="00A4359A">
            <w:pPr>
              <w:spacing w:before="36" w:after="36"/>
              <w:jc w:val="center"/>
              <w:rPr>
                <w:rFonts w:ascii="Times New Roman" w:eastAsia="Aptos" w:hAnsi="Times New Roman" w:cs="Times New Roman"/>
                <w:sz w:val="22"/>
                <w:szCs w:val="22"/>
              </w:rPr>
            </w:pPr>
            <w:r>
              <w:rPr>
                <w:rFonts w:ascii="Times New Roman" w:eastAsia="Aptos" w:hAnsi="Times New Roman" w:cs="Times New Roman"/>
                <w:sz w:val="22"/>
                <w:szCs w:val="22"/>
              </w:rPr>
              <w:t>3.99</w:t>
            </w:r>
            <w:r w:rsidRPr="00CB1D16">
              <w:rPr>
                <w:rFonts w:ascii="Times New Roman" w:eastAsia="Aptos" w:hAnsi="Times New Roman" w:cs="Times New Roman"/>
                <w:sz w:val="22"/>
                <w:szCs w:val="22"/>
              </w:rPr>
              <w:t>***</w:t>
            </w:r>
          </w:p>
        </w:tc>
      </w:tr>
      <w:tr w:rsidR="004965F3" w:rsidRPr="00CB1D16" w14:paraId="4D80B02A" w14:textId="77777777" w:rsidTr="00A4359A">
        <w:tc>
          <w:tcPr>
            <w:tcW w:w="1131" w:type="dxa"/>
          </w:tcPr>
          <w:p w14:paraId="56D351A5" w14:textId="77777777" w:rsidR="004965F3" w:rsidRPr="00CB1D16" w:rsidRDefault="004965F3" w:rsidP="00A4359A">
            <w:pPr>
              <w:spacing w:before="36" w:after="36"/>
              <w:rPr>
                <w:rFonts w:ascii="Times New Roman" w:eastAsia="Aptos" w:hAnsi="Times New Roman" w:cs="Times New Roman"/>
                <w:sz w:val="22"/>
                <w:szCs w:val="22"/>
              </w:rPr>
            </w:pPr>
            <w:r w:rsidRPr="00CB1D16">
              <w:rPr>
                <w:rFonts w:ascii="Times New Roman" w:eastAsia="Aptos" w:hAnsi="Times New Roman" w:cs="Times New Roman"/>
                <w:sz w:val="22"/>
                <w:szCs w:val="22"/>
              </w:rPr>
              <w:t>CC</w:t>
            </w:r>
          </w:p>
        </w:tc>
        <w:tc>
          <w:tcPr>
            <w:tcW w:w="1131" w:type="dxa"/>
          </w:tcPr>
          <w:p w14:paraId="03F00AAD"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NUM</w:t>
            </w:r>
          </w:p>
        </w:tc>
        <w:tc>
          <w:tcPr>
            <w:tcW w:w="1131" w:type="dxa"/>
          </w:tcPr>
          <w:p w14:paraId="2AD63942"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4</w:t>
            </w:r>
            <w:r>
              <w:rPr>
                <w:rFonts w:ascii="Times New Roman" w:eastAsia="Aptos" w:hAnsi="Times New Roman" w:cs="Times New Roman"/>
                <w:sz w:val="22"/>
                <w:szCs w:val="22"/>
              </w:rPr>
              <w:t>3</w:t>
            </w:r>
          </w:p>
        </w:tc>
        <w:tc>
          <w:tcPr>
            <w:tcW w:w="1131" w:type="dxa"/>
          </w:tcPr>
          <w:p w14:paraId="775F6B78"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2</w:t>
            </w:r>
            <w:r>
              <w:rPr>
                <w:rFonts w:ascii="Times New Roman" w:eastAsia="Aptos" w:hAnsi="Times New Roman" w:cs="Times New Roman"/>
                <w:sz w:val="22"/>
                <w:szCs w:val="22"/>
              </w:rPr>
              <w:t>36</w:t>
            </w:r>
          </w:p>
        </w:tc>
        <w:tc>
          <w:tcPr>
            <w:tcW w:w="1131" w:type="dxa"/>
          </w:tcPr>
          <w:p w14:paraId="22AADA46"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1.</w:t>
            </w:r>
            <w:r>
              <w:rPr>
                <w:rFonts w:ascii="Times New Roman" w:eastAsia="Aptos" w:hAnsi="Times New Roman" w:cs="Times New Roman"/>
                <w:sz w:val="22"/>
                <w:szCs w:val="22"/>
              </w:rPr>
              <w:t>23</w:t>
            </w:r>
          </w:p>
        </w:tc>
        <w:tc>
          <w:tcPr>
            <w:tcW w:w="1131" w:type="dxa"/>
          </w:tcPr>
          <w:p w14:paraId="0F8476B1" w14:textId="77777777" w:rsidR="004965F3" w:rsidRPr="00CB1D16" w:rsidRDefault="004965F3" w:rsidP="00A4359A">
            <w:pPr>
              <w:spacing w:before="36" w:after="36"/>
              <w:jc w:val="center"/>
              <w:rPr>
                <w:rFonts w:ascii="Times New Roman" w:eastAsia="Aptos" w:hAnsi="Times New Roman" w:cs="Times New Roman"/>
                <w:sz w:val="22"/>
                <w:szCs w:val="22"/>
              </w:rPr>
            </w:pPr>
            <w:r>
              <w:rPr>
                <w:rFonts w:ascii="Times New Roman" w:eastAsia="Aptos" w:hAnsi="Times New Roman" w:cs="Times New Roman"/>
                <w:sz w:val="22"/>
                <w:szCs w:val="22"/>
              </w:rPr>
              <w:t>6</w:t>
            </w:r>
            <w:r w:rsidRPr="00CB1D16">
              <w:rPr>
                <w:rFonts w:ascii="Times New Roman" w:eastAsia="Aptos" w:hAnsi="Times New Roman" w:cs="Times New Roman"/>
                <w:sz w:val="22"/>
                <w:szCs w:val="22"/>
              </w:rPr>
              <w:t>.74</w:t>
            </w:r>
          </w:p>
        </w:tc>
        <w:tc>
          <w:tcPr>
            <w:tcW w:w="1131" w:type="dxa"/>
          </w:tcPr>
          <w:p w14:paraId="67CA0DCF" w14:textId="77777777" w:rsidR="004965F3" w:rsidRPr="00CB1D16" w:rsidRDefault="004965F3" w:rsidP="00A4359A">
            <w:pPr>
              <w:spacing w:before="36" w:after="36"/>
              <w:jc w:val="center"/>
              <w:rPr>
                <w:rFonts w:ascii="Times New Roman" w:eastAsia="Aptos" w:hAnsi="Times New Roman" w:cs="Times New Roman"/>
                <w:sz w:val="22"/>
                <w:szCs w:val="22"/>
              </w:rPr>
            </w:pPr>
            <w:r>
              <w:rPr>
                <w:rFonts w:ascii="Times New Roman" w:eastAsia="Aptos" w:hAnsi="Times New Roman" w:cs="Times New Roman"/>
                <w:sz w:val="22"/>
                <w:szCs w:val="22"/>
              </w:rPr>
              <w:t>4.68</w:t>
            </w:r>
            <w:r w:rsidRPr="00CB1D16">
              <w:rPr>
                <w:rFonts w:ascii="Times New Roman" w:eastAsia="Aptos" w:hAnsi="Times New Roman" w:cs="Times New Roman"/>
                <w:sz w:val="22"/>
                <w:szCs w:val="22"/>
              </w:rPr>
              <w:t>***</w:t>
            </w:r>
          </w:p>
        </w:tc>
      </w:tr>
      <w:tr w:rsidR="004965F3" w:rsidRPr="00CB1D16" w14:paraId="4C574001" w14:textId="77777777" w:rsidTr="00A4359A">
        <w:tc>
          <w:tcPr>
            <w:tcW w:w="1131" w:type="dxa"/>
          </w:tcPr>
          <w:p w14:paraId="5CF31FA9" w14:textId="77777777" w:rsidR="004965F3" w:rsidRPr="00CB1D16" w:rsidRDefault="004965F3" w:rsidP="00A4359A">
            <w:pPr>
              <w:spacing w:before="36" w:after="36"/>
              <w:rPr>
                <w:rFonts w:ascii="Times New Roman" w:eastAsia="Aptos" w:hAnsi="Times New Roman" w:cs="Times New Roman"/>
                <w:sz w:val="22"/>
                <w:szCs w:val="22"/>
              </w:rPr>
            </w:pPr>
            <w:r w:rsidRPr="00CB1D16">
              <w:rPr>
                <w:rFonts w:ascii="Times New Roman" w:eastAsia="Aptos" w:hAnsi="Times New Roman" w:cs="Times New Roman"/>
                <w:sz w:val="22"/>
                <w:szCs w:val="22"/>
              </w:rPr>
              <w:t>CC</w:t>
            </w:r>
          </w:p>
        </w:tc>
        <w:tc>
          <w:tcPr>
            <w:tcW w:w="1131" w:type="dxa"/>
          </w:tcPr>
          <w:p w14:paraId="76127F84"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P/T</w:t>
            </w:r>
          </w:p>
        </w:tc>
        <w:tc>
          <w:tcPr>
            <w:tcW w:w="1131" w:type="dxa"/>
          </w:tcPr>
          <w:p w14:paraId="3EB2E516"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12</w:t>
            </w:r>
          </w:p>
        </w:tc>
        <w:tc>
          <w:tcPr>
            <w:tcW w:w="1131" w:type="dxa"/>
          </w:tcPr>
          <w:p w14:paraId="700B59D3"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72</w:t>
            </w:r>
          </w:p>
        </w:tc>
        <w:tc>
          <w:tcPr>
            <w:tcW w:w="1131" w:type="dxa"/>
          </w:tcPr>
          <w:p w14:paraId="7E81F5E0"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0.35</w:t>
            </w:r>
          </w:p>
        </w:tc>
        <w:tc>
          <w:tcPr>
            <w:tcW w:w="1131" w:type="dxa"/>
          </w:tcPr>
          <w:p w14:paraId="5AC286E3"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2.05</w:t>
            </w:r>
          </w:p>
        </w:tc>
        <w:tc>
          <w:tcPr>
            <w:tcW w:w="1131" w:type="dxa"/>
          </w:tcPr>
          <w:p w14:paraId="73BD9DAF"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4.93***</w:t>
            </w:r>
          </w:p>
        </w:tc>
      </w:tr>
      <w:tr w:rsidR="004965F3" w:rsidRPr="00CB1D16" w14:paraId="78C5A645" w14:textId="77777777" w:rsidTr="00A4359A">
        <w:tc>
          <w:tcPr>
            <w:tcW w:w="1131" w:type="dxa"/>
          </w:tcPr>
          <w:p w14:paraId="4A3F42E6" w14:textId="77777777" w:rsidR="004965F3" w:rsidRPr="00CB1D16" w:rsidRDefault="004965F3" w:rsidP="00A4359A">
            <w:pPr>
              <w:spacing w:before="36" w:after="36"/>
              <w:rPr>
                <w:rFonts w:ascii="Times New Roman" w:eastAsia="Aptos" w:hAnsi="Times New Roman" w:cs="Times New Roman"/>
                <w:sz w:val="22"/>
                <w:szCs w:val="22"/>
              </w:rPr>
            </w:pPr>
            <w:r w:rsidRPr="00CB1D16">
              <w:rPr>
                <w:rFonts w:ascii="Times New Roman" w:eastAsia="Aptos" w:hAnsi="Times New Roman" w:cs="Times New Roman"/>
                <w:sz w:val="22"/>
                <w:szCs w:val="22"/>
              </w:rPr>
              <w:t>CC</w:t>
            </w:r>
          </w:p>
        </w:tc>
        <w:tc>
          <w:tcPr>
            <w:tcW w:w="1131" w:type="dxa"/>
          </w:tcPr>
          <w:p w14:paraId="77F657E7" w14:textId="77777777" w:rsidR="004965F3" w:rsidRPr="00CB1D16" w:rsidRDefault="004965F3" w:rsidP="00A4359A">
            <w:pPr>
              <w:spacing w:before="36" w:after="36"/>
              <w:jc w:val="both"/>
              <w:rPr>
                <w:rFonts w:ascii="Times New Roman" w:eastAsia="Aptos" w:hAnsi="Times New Roman" w:cs="Times New Roman"/>
                <w:sz w:val="22"/>
                <w:szCs w:val="22"/>
              </w:rPr>
            </w:pPr>
            <w:r>
              <w:rPr>
                <w:rFonts w:ascii="Times New Roman" w:eastAsia="Aptos" w:hAnsi="Times New Roman" w:cs="Times New Roman"/>
                <w:sz w:val="22"/>
                <w:szCs w:val="22"/>
              </w:rPr>
              <w:t xml:space="preserve">       </w:t>
            </w:r>
            <w:r w:rsidRPr="00CB1D16">
              <w:rPr>
                <w:rFonts w:ascii="Times New Roman" w:eastAsia="Aptos" w:hAnsi="Times New Roman" w:cs="Times New Roman"/>
                <w:sz w:val="22"/>
                <w:szCs w:val="22"/>
              </w:rPr>
              <w:t>OA</w:t>
            </w:r>
          </w:p>
        </w:tc>
        <w:tc>
          <w:tcPr>
            <w:tcW w:w="1131" w:type="dxa"/>
          </w:tcPr>
          <w:p w14:paraId="40973DC4"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2</w:t>
            </w:r>
            <w:r>
              <w:rPr>
                <w:rFonts w:ascii="Times New Roman" w:eastAsia="Aptos" w:hAnsi="Times New Roman" w:cs="Times New Roman"/>
                <w:sz w:val="22"/>
                <w:szCs w:val="22"/>
              </w:rPr>
              <w:t>44</w:t>
            </w:r>
          </w:p>
        </w:tc>
        <w:tc>
          <w:tcPr>
            <w:tcW w:w="1131" w:type="dxa"/>
          </w:tcPr>
          <w:p w14:paraId="052963FF"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1</w:t>
            </w:r>
            <w:r>
              <w:rPr>
                <w:rFonts w:ascii="Times New Roman" w:eastAsia="Aptos" w:hAnsi="Times New Roman" w:cs="Times New Roman"/>
                <w:sz w:val="22"/>
                <w:szCs w:val="22"/>
              </w:rPr>
              <w:t>233</w:t>
            </w:r>
          </w:p>
        </w:tc>
        <w:tc>
          <w:tcPr>
            <w:tcW w:w="1131" w:type="dxa"/>
          </w:tcPr>
          <w:p w14:paraId="1FEDCE4F"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6.97</w:t>
            </w:r>
          </w:p>
        </w:tc>
        <w:tc>
          <w:tcPr>
            <w:tcW w:w="1131" w:type="dxa"/>
          </w:tcPr>
          <w:p w14:paraId="011067AC" w14:textId="77777777" w:rsidR="004965F3" w:rsidRPr="00CB1D16" w:rsidRDefault="004965F3" w:rsidP="00A4359A">
            <w:pPr>
              <w:spacing w:before="36" w:after="36"/>
              <w:jc w:val="both"/>
              <w:rPr>
                <w:rFonts w:ascii="Times New Roman" w:eastAsia="Aptos" w:hAnsi="Times New Roman" w:cs="Times New Roman"/>
                <w:sz w:val="22"/>
                <w:szCs w:val="22"/>
              </w:rPr>
            </w:pPr>
            <w:r>
              <w:rPr>
                <w:rFonts w:ascii="Times New Roman" w:eastAsia="Aptos" w:hAnsi="Times New Roman" w:cs="Times New Roman"/>
                <w:sz w:val="22"/>
                <w:szCs w:val="22"/>
              </w:rPr>
              <w:t xml:space="preserve">      35.22</w:t>
            </w:r>
          </w:p>
        </w:tc>
        <w:tc>
          <w:tcPr>
            <w:tcW w:w="1131" w:type="dxa"/>
          </w:tcPr>
          <w:p w14:paraId="6D65E316" w14:textId="77777777" w:rsidR="004965F3" w:rsidRPr="00CB1D16" w:rsidRDefault="004965F3" w:rsidP="00A4359A">
            <w:pPr>
              <w:spacing w:before="36" w:after="36"/>
              <w:jc w:val="both"/>
              <w:rPr>
                <w:rFonts w:ascii="Times New Roman" w:eastAsia="Aptos" w:hAnsi="Times New Roman" w:cs="Times New Roman"/>
                <w:sz w:val="22"/>
                <w:szCs w:val="22"/>
              </w:rPr>
            </w:pPr>
            <w:r>
              <w:rPr>
                <w:rFonts w:ascii="Times New Roman" w:eastAsia="Aptos" w:hAnsi="Times New Roman" w:cs="Times New Roman"/>
                <w:sz w:val="22"/>
                <w:szCs w:val="22"/>
              </w:rPr>
              <w:t xml:space="preserve">   3.89</w:t>
            </w:r>
            <w:r w:rsidRPr="00CB1D16">
              <w:rPr>
                <w:rFonts w:ascii="Times New Roman" w:eastAsia="Aptos" w:hAnsi="Times New Roman" w:cs="Times New Roman"/>
                <w:sz w:val="22"/>
                <w:szCs w:val="22"/>
              </w:rPr>
              <w:t>**</w:t>
            </w:r>
            <w:r>
              <w:rPr>
                <w:rFonts w:ascii="Times New Roman" w:eastAsia="Aptos" w:hAnsi="Times New Roman" w:cs="Times New Roman"/>
                <w:sz w:val="22"/>
                <w:szCs w:val="22"/>
              </w:rPr>
              <w:t>*</w:t>
            </w:r>
          </w:p>
        </w:tc>
      </w:tr>
      <w:tr w:rsidR="004965F3" w:rsidRPr="00CB1D16" w14:paraId="4F82DA64" w14:textId="77777777" w:rsidTr="00A4359A">
        <w:tc>
          <w:tcPr>
            <w:tcW w:w="1131" w:type="dxa"/>
          </w:tcPr>
          <w:p w14:paraId="5188A45E" w14:textId="77777777" w:rsidR="004965F3" w:rsidRPr="00CB1D16" w:rsidRDefault="004965F3" w:rsidP="00A4359A">
            <w:pPr>
              <w:spacing w:before="36" w:after="36"/>
              <w:rPr>
                <w:rFonts w:ascii="Times New Roman" w:eastAsia="Aptos" w:hAnsi="Times New Roman" w:cs="Times New Roman"/>
                <w:sz w:val="22"/>
                <w:szCs w:val="22"/>
              </w:rPr>
            </w:pPr>
            <w:r w:rsidRPr="00CB1D16">
              <w:rPr>
                <w:rFonts w:ascii="Times New Roman" w:eastAsia="Aptos" w:hAnsi="Times New Roman" w:cs="Times New Roman"/>
                <w:sz w:val="22"/>
                <w:szCs w:val="22"/>
              </w:rPr>
              <w:t>ECO</w:t>
            </w:r>
          </w:p>
        </w:tc>
        <w:tc>
          <w:tcPr>
            <w:tcW w:w="1131" w:type="dxa"/>
          </w:tcPr>
          <w:p w14:paraId="02169B5F"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NAR</w:t>
            </w:r>
          </w:p>
        </w:tc>
        <w:tc>
          <w:tcPr>
            <w:tcW w:w="1131" w:type="dxa"/>
          </w:tcPr>
          <w:p w14:paraId="38532A3C" w14:textId="77777777" w:rsidR="004965F3" w:rsidRPr="00CB1D16" w:rsidRDefault="004965F3" w:rsidP="00A4359A">
            <w:pPr>
              <w:spacing w:before="36" w:after="36"/>
              <w:jc w:val="both"/>
              <w:rPr>
                <w:rFonts w:ascii="Times New Roman" w:eastAsia="Aptos" w:hAnsi="Times New Roman" w:cs="Times New Roman"/>
                <w:sz w:val="22"/>
                <w:szCs w:val="22"/>
              </w:rPr>
            </w:pPr>
            <w:r>
              <w:rPr>
                <w:rFonts w:ascii="Times New Roman" w:eastAsia="Aptos" w:hAnsi="Times New Roman" w:cs="Times New Roman"/>
                <w:sz w:val="22"/>
                <w:szCs w:val="22"/>
              </w:rPr>
              <w:t xml:space="preserve">       450</w:t>
            </w:r>
          </w:p>
        </w:tc>
        <w:tc>
          <w:tcPr>
            <w:tcW w:w="1131" w:type="dxa"/>
          </w:tcPr>
          <w:p w14:paraId="69880568" w14:textId="77777777" w:rsidR="004965F3" w:rsidRPr="00CB1D16" w:rsidRDefault="004965F3" w:rsidP="00A4359A">
            <w:pPr>
              <w:spacing w:before="36" w:after="36"/>
              <w:jc w:val="both"/>
              <w:rPr>
                <w:rFonts w:ascii="Times New Roman" w:eastAsia="Aptos" w:hAnsi="Times New Roman" w:cs="Times New Roman"/>
                <w:sz w:val="22"/>
                <w:szCs w:val="22"/>
              </w:rPr>
            </w:pPr>
            <w:r>
              <w:rPr>
                <w:rFonts w:ascii="Times New Roman" w:eastAsia="Aptos" w:hAnsi="Times New Roman" w:cs="Times New Roman"/>
                <w:sz w:val="22"/>
                <w:szCs w:val="22"/>
              </w:rPr>
              <w:t xml:space="preserve">       818</w:t>
            </w:r>
          </w:p>
        </w:tc>
        <w:tc>
          <w:tcPr>
            <w:tcW w:w="1131" w:type="dxa"/>
          </w:tcPr>
          <w:p w14:paraId="22444DCF"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1</w:t>
            </w:r>
            <w:r>
              <w:rPr>
                <w:rFonts w:ascii="Times New Roman" w:eastAsia="Aptos" w:hAnsi="Times New Roman" w:cs="Times New Roman"/>
                <w:sz w:val="22"/>
                <w:szCs w:val="22"/>
              </w:rPr>
              <w:t>2.85</w:t>
            </w:r>
          </w:p>
        </w:tc>
        <w:tc>
          <w:tcPr>
            <w:tcW w:w="1131" w:type="dxa"/>
          </w:tcPr>
          <w:p w14:paraId="3169CEAC"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2</w:t>
            </w:r>
            <w:r>
              <w:rPr>
                <w:rFonts w:ascii="Times New Roman" w:eastAsia="Aptos" w:hAnsi="Times New Roman" w:cs="Times New Roman"/>
                <w:sz w:val="22"/>
                <w:szCs w:val="22"/>
              </w:rPr>
              <w:t>3</w:t>
            </w:r>
            <w:r w:rsidRPr="00CB1D16">
              <w:rPr>
                <w:rFonts w:ascii="Times New Roman" w:eastAsia="Aptos" w:hAnsi="Times New Roman" w:cs="Times New Roman"/>
                <w:sz w:val="22"/>
                <w:szCs w:val="22"/>
              </w:rPr>
              <w:t>.3</w:t>
            </w:r>
            <w:r>
              <w:rPr>
                <w:rFonts w:ascii="Times New Roman" w:eastAsia="Aptos" w:hAnsi="Times New Roman" w:cs="Times New Roman"/>
                <w:sz w:val="22"/>
                <w:szCs w:val="22"/>
              </w:rPr>
              <w:t>7</w:t>
            </w:r>
          </w:p>
        </w:tc>
        <w:tc>
          <w:tcPr>
            <w:tcW w:w="1131" w:type="dxa"/>
          </w:tcPr>
          <w:p w14:paraId="432A7978" w14:textId="77777777" w:rsidR="004965F3" w:rsidRPr="00CB1D16" w:rsidRDefault="004965F3" w:rsidP="00A4359A">
            <w:pPr>
              <w:spacing w:before="36" w:after="36"/>
              <w:jc w:val="both"/>
              <w:rPr>
                <w:rFonts w:ascii="Times New Roman" w:eastAsia="Aptos" w:hAnsi="Times New Roman" w:cs="Times New Roman"/>
                <w:sz w:val="22"/>
                <w:szCs w:val="22"/>
              </w:rPr>
            </w:pPr>
            <w:r>
              <w:rPr>
                <w:rFonts w:ascii="Times New Roman" w:eastAsia="Aptos" w:hAnsi="Times New Roman" w:cs="Times New Roman"/>
                <w:sz w:val="22"/>
                <w:szCs w:val="22"/>
              </w:rPr>
              <w:t xml:space="preserve">    1.16</w:t>
            </w:r>
          </w:p>
        </w:tc>
      </w:tr>
      <w:tr w:rsidR="004965F3" w:rsidRPr="00CB1D16" w14:paraId="60FBEF2B" w14:textId="77777777" w:rsidTr="00A4359A">
        <w:tc>
          <w:tcPr>
            <w:tcW w:w="1131" w:type="dxa"/>
          </w:tcPr>
          <w:p w14:paraId="6A011A73" w14:textId="77777777" w:rsidR="004965F3" w:rsidRPr="00CB1D16" w:rsidRDefault="004965F3" w:rsidP="00A4359A">
            <w:pPr>
              <w:spacing w:before="36" w:after="36"/>
              <w:rPr>
                <w:rFonts w:ascii="Times New Roman" w:eastAsia="Aptos" w:hAnsi="Times New Roman" w:cs="Times New Roman"/>
                <w:sz w:val="22"/>
                <w:szCs w:val="22"/>
              </w:rPr>
            </w:pPr>
            <w:r w:rsidRPr="00CB1D16">
              <w:rPr>
                <w:rFonts w:ascii="Times New Roman" w:eastAsia="Aptos" w:hAnsi="Times New Roman" w:cs="Times New Roman"/>
                <w:sz w:val="22"/>
                <w:szCs w:val="22"/>
              </w:rPr>
              <w:t>ECO</w:t>
            </w:r>
          </w:p>
        </w:tc>
        <w:tc>
          <w:tcPr>
            <w:tcW w:w="1131" w:type="dxa"/>
          </w:tcPr>
          <w:p w14:paraId="47608BBD"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NUM</w:t>
            </w:r>
          </w:p>
        </w:tc>
        <w:tc>
          <w:tcPr>
            <w:tcW w:w="1131" w:type="dxa"/>
          </w:tcPr>
          <w:p w14:paraId="5DDDA2F5" w14:textId="77777777" w:rsidR="004965F3" w:rsidRPr="00CB1D16" w:rsidRDefault="004965F3" w:rsidP="00A4359A">
            <w:pPr>
              <w:spacing w:before="36" w:after="36"/>
              <w:jc w:val="center"/>
              <w:rPr>
                <w:rFonts w:ascii="Times New Roman" w:eastAsia="Aptos" w:hAnsi="Times New Roman" w:cs="Times New Roman"/>
                <w:sz w:val="22"/>
                <w:szCs w:val="22"/>
              </w:rPr>
            </w:pPr>
            <w:r>
              <w:rPr>
                <w:rFonts w:ascii="Times New Roman" w:eastAsia="Aptos" w:hAnsi="Times New Roman" w:cs="Times New Roman"/>
                <w:sz w:val="22"/>
                <w:szCs w:val="22"/>
              </w:rPr>
              <w:t>19</w:t>
            </w:r>
          </w:p>
        </w:tc>
        <w:tc>
          <w:tcPr>
            <w:tcW w:w="1131" w:type="dxa"/>
          </w:tcPr>
          <w:p w14:paraId="1AC16DEB" w14:textId="77777777" w:rsidR="004965F3" w:rsidRPr="00CB1D16" w:rsidRDefault="004965F3" w:rsidP="00A4359A">
            <w:pPr>
              <w:spacing w:before="36" w:after="36"/>
              <w:jc w:val="center"/>
              <w:rPr>
                <w:rFonts w:ascii="Times New Roman" w:eastAsia="Aptos" w:hAnsi="Times New Roman" w:cs="Times New Roman"/>
                <w:sz w:val="22"/>
                <w:szCs w:val="22"/>
              </w:rPr>
            </w:pPr>
            <w:r>
              <w:rPr>
                <w:rFonts w:ascii="Times New Roman" w:eastAsia="Aptos" w:hAnsi="Times New Roman" w:cs="Times New Roman"/>
                <w:sz w:val="22"/>
                <w:szCs w:val="22"/>
              </w:rPr>
              <w:t>42</w:t>
            </w:r>
          </w:p>
        </w:tc>
        <w:tc>
          <w:tcPr>
            <w:tcW w:w="1131" w:type="dxa"/>
          </w:tcPr>
          <w:p w14:paraId="09A28CD8" w14:textId="77777777" w:rsidR="004965F3" w:rsidRPr="00CB1D16" w:rsidRDefault="004965F3" w:rsidP="00A4359A">
            <w:pPr>
              <w:spacing w:before="36" w:after="36"/>
              <w:jc w:val="both"/>
              <w:rPr>
                <w:rFonts w:ascii="Times New Roman" w:eastAsia="Aptos" w:hAnsi="Times New Roman" w:cs="Times New Roman"/>
                <w:sz w:val="22"/>
                <w:szCs w:val="22"/>
              </w:rPr>
            </w:pPr>
            <w:r>
              <w:rPr>
                <w:rFonts w:ascii="Times New Roman" w:eastAsia="Aptos" w:hAnsi="Times New Roman" w:cs="Times New Roman"/>
                <w:sz w:val="22"/>
                <w:szCs w:val="22"/>
              </w:rPr>
              <w:t xml:space="preserve">      0.54</w:t>
            </w:r>
          </w:p>
        </w:tc>
        <w:tc>
          <w:tcPr>
            <w:tcW w:w="1131" w:type="dxa"/>
          </w:tcPr>
          <w:p w14:paraId="3C01DDFC" w14:textId="77777777" w:rsidR="004965F3" w:rsidRPr="00CB1D16" w:rsidRDefault="004965F3" w:rsidP="00A4359A">
            <w:pPr>
              <w:spacing w:before="36" w:after="36"/>
              <w:jc w:val="center"/>
              <w:rPr>
                <w:rFonts w:ascii="Times New Roman" w:eastAsia="Aptos" w:hAnsi="Times New Roman" w:cs="Times New Roman"/>
                <w:sz w:val="22"/>
                <w:szCs w:val="22"/>
              </w:rPr>
            </w:pPr>
            <w:r>
              <w:rPr>
                <w:rFonts w:ascii="Times New Roman" w:eastAsia="Aptos" w:hAnsi="Times New Roman" w:cs="Times New Roman"/>
                <w:sz w:val="22"/>
                <w:szCs w:val="22"/>
              </w:rPr>
              <w:t>1.20</w:t>
            </w:r>
          </w:p>
        </w:tc>
        <w:tc>
          <w:tcPr>
            <w:tcW w:w="1131" w:type="dxa"/>
          </w:tcPr>
          <w:p w14:paraId="2EADEA22" w14:textId="77777777" w:rsidR="004965F3" w:rsidRPr="00CB1D16" w:rsidRDefault="004965F3" w:rsidP="00A4359A">
            <w:pPr>
              <w:spacing w:before="36" w:after="36"/>
              <w:jc w:val="both"/>
              <w:rPr>
                <w:rFonts w:ascii="Times New Roman" w:eastAsia="Aptos" w:hAnsi="Times New Roman" w:cs="Times New Roman"/>
                <w:sz w:val="22"/>
                <w:szCs w:val="22"/>
              </w:rPr>
            </w:pPr>
            <w:r>
              <w:rPr>
                <w:rFonts w:ascii="Times New Roman" w:eastAsia="Aptos" w:hAnsi="Times New Roman" w:cs="Times New Roman"/>
                <w:sz w:val="22"/>
                <w:szCs w:val="22"/>
              </w:rPr>
              <w:t xml:space="preserve">     1.13</w:t>
            </w:r>
          </w:p>
        </w:tc>
      </w:tr>
      <w:tr w:rsidR="004965F3" w:rsidRPr="00CB1D16" w14:paraId="76418AC8" w14:textId="77777777" w:rsidTr="00A4359A">
        <w:tc>
          <w:tcPr>
            <w:tcW w:w="1131" w:type="dxa"/>
          </w:tcPr>
          <w:p w14:paraId="3C133623" w14:textId="77777777" w:rsidR="004965F3" w:rsidRPr="00CB1D16" w:rsidRDefault="004965F3" w:rsidP="00A4359A">
            <w:pPr>
              <w:spacing w:before="36" w:after="36"/>
              <w:rPr>
                <w:rFonts w:ascii="Times New Roman" w:eastAsia="Aptos" w:hAnsi="Times New Roman" w:cs="Times New Roman"/>
                <w:sz w:val="22"/>
                <w:szCs w:val="22"/>
              </w:rPr>
            </w:pPr>
            <w:r w:rsidRPr="00CB1D16">
              <w:rPr>
                <w:rFonts w:ascii="Times New Roman" w:eastAsia="Aptos" w:hAnsi="Times New Roman" w:cs="Times New Roman"/>
                <w:sz w:val="22"/>
                <w:szCs w:val="22"/>
              </w:rPr>
              <w:t>ECO</w:t>
            </w:r>
          </w:p>
        </w:tc>
        <w:tc>
          <w:tcPr>
            <w:tcW w:w="1131" w:type="dxa"/>
          </w:tcPr>
          <w:p w14:paraId="4810BDAC"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P/T</w:t>
            </w:r>
          </w:p>
        </w:tc>
        <w:tc>
          <w:tcPr>
            <w:tcW w:w="1131" w:type="dxa"/>
          </w:tcPr>
          <w:p w14:paraId="45494AF9"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13</w:t>
            </w:r>
          </w:p>
        </w:tc>
        <w:tc>
          <w:tcPr>
            <w:tcW w:w="1131" w:type="dxa"/>
          </w:tcPr>
          <w:p w14:paraId="27CE03FB"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42</w:t>
            </w:r>
          </w:p>
        </w:tc>
        <w:tc>
          <w:tcPr>
            <w:tcW w:w="1131" w:type="dxa"/>
          </w:tcPr>
          <w:p w14:paraId="257B7FA3"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0.37</w:t>
            </w:r>
          </w:p>
        </w:tc>
        <w:tc>
          <w:tcPr>
            <w:tcW w:w="1131" w:type="dxa"/>
          </w:tcPr>
          <w:p w14:paraId="0DDC66AF"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1.2</w:t>
            </w:r>
          </w:p>
        </w:tc>
        <w:tc>
          <w:tcPr>
            <w:tcW w:w="1131" w:type="dxa"/>
          </w:tcPr>
          <w:p w14:paraId="5B5C1293"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3.12**</w:t>
            </w:r>
          </w:p>
        </w:tc>
      </w:tr>
      <w:tr w:rsidR="004965F3" w:rsidRPr="00CB1D16" w14:paraId="59607FBC" w14:textId="77777777" w:rsidTr="00A4359A">
        <w:tc>
          <w:tcPr>
            <w:tcW w:w="1131" w:type="dxa"/>
          </w:tcPr>
          <w:p w14:paraId="4B7624C0" w14:textId="77777777" w:rsidR="004965F3" w:rsidRPr="00CB1D16" w:rsidRDefault="004965F3" w:rsidP="00A4359A">
            <w:pPr>
              <w:spacing w:before="36" w:after="36"/>
              <w:rPr>
                <w:rFonts w:ascii="Times New Roman" w:eastAsia="Aptos" w:hAnsi="Times New Roman" w:cs="Times New Roman"/>
                <w:sz w:val="22"/>
                <w:szCs w:val="22"/>
              </w:rPr>
            </w:pPr>
            <w:r w:rsidRPr="00CB1D16">
              <w:rPr>
                <w:rFonts w:ascii="Times New Roman" w:eastAsia="Aptos" w:hAnsi="Times New Roman" w:cs="Times New Roman"/>
                <w:sz w:val="22"/>
                <w:szCs w:val="22"/>
              </w:rPr>
              <w:t>ECO</w:t>
            </w:r>
          </w:p>
        </w:tc>
        <w:tc>
          <w:tcPr>
            <w:tcW w:w="1131" w:type="dxa"/>
          </w:tcPr>
          <w:p w14:paraId="0E6CAA9A"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OA</w:t>
            </w:r>
          </w:p>
        </w:tc>
        <w:tc>
          <w:tcPr>
            <w:tcW w:w="1131" w:type="dxa"/>
          </w:tcPr>
          <w:p w14:paraId="79D9890B" w14:textId="77777777" w:rsidR="004965F3" w:rsidRPr="00CB1D16" w:rsidRDefault="004965F3" w:rsidP="00A4359A">
            <w:pPr>
              <w:spacing w:before="36" w:after="36"/>
              <w:jc w:val="both"/>
              <w:rPr>
                <w:rFonts w:ascii="Times New Roman" w:eastAsia="Aptos" w:hAnsi="Times New Roman" w:cs="Times New Roman"/>
                <w:sz w:val="22"/>
                <w:szCs w:val="22"/>
              </w:rPr>
            </w:pPr>
            <w:r>
              <w:rPr>
                <w:rFonts w:ascii="Times New Roman" w:eastAsia="Aptos" w:hAnsi="Times New Roman" w:cs="Times New Roman"/>
                <w:sz w:val="22"/>
                <w:szCs w:val="22"/>
              </w:rPr>
              <w:t xml:space="preserve">       437</w:t>
            </w:r>
          </w:p>
        </w:tc>
        <w:tc>
          <w:tcPr>
            <w:tcW w:w="1131" w:type="dxa"/>
          </w:tcPr>
          <w:p w14:paraId="296B668E" w14:textId="77777777" w:rsidR="004965F3" w:rsidRPr="00CB1D16" w:rsidRDefault="004965F3" w:rsidP="00A4359A">
            <w:pPr>
              <w:spacing w:before="36" w:after="36"/>
              <w:jc w:val="both"/>
              <w:rPr>
                <w:rFonts w:ascii="Times New Roman" w:eastAsia="Aptos" w:hAnsi="Times New Roman" w:cs="Times New Roman"/>
                <w:sz w:val="22"/>
                <w:szCs w:val="22"/>
              </w:rPr>
            </w:pPr>
            <w:r>
              <w:rPr>
                <w:rFonts w:ascii="Times New Roman" w:eastAsia="Aptos" w:hAnsi="Times New Roman" w:cs="Times New Roman"/>
                <w:sz w:val="22"/>
                <w:szCs w:val="22"/>
              </w:rPr>
              <w:t xml:space="preserve">       776</w:t>
            </w:r>
          </w:p>
        </w:tc>
        <w:tc>
          <w:tcPr>
            <w:tcW w:w="1131" w:type="dxa"/>
          </w:tcPr>
          <w:p w14:paraId="184A1D4C"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12.48</w:t>
            </w:r>
          </w:p>
        </w:tc>
        <w:tc>
          <w:tcPr>
            <w:tcW w:w="1131" w:type="dxa"/>
          </w:tcPr>
          <w:p w14:paraId="6E529990" w14:textId="77777777" w:rsidR="004965F3" w:rsidRPr="00CB1D16" w:rsidRDefault="004965F3" w:rsidP="00A4359A">
            <w:pPr>
              <w:spacing w:before="36" w:after="36"/>
              <w:jc w:val="center"/>
              <w:rPr>
                <w:rFonts w:ascii="Times New Roman" w:eastAsia="Aptos" w:hAnsi="Times New Roman" w:cs="Times New Roman"/>
                <w:sz w:val="22"/>
                <w:szCs w:val="22"/>
              </w:rPr>
            </w:pPr>
            <w:r w:rsidRPr="00CB1D16">
              <w:rPr>
                <w:rFonts w:ascii="Times New Roman" w:eastAsia="Aptos" w:hAnsi="Times New Roman" w:cs="Times New Roman"/>
                <w:sz w:val="22"/>
                <w:szCs w:val="22"/>
              </w:rPr>
              <w:t>22.11</w:t>
            </w:r>
          </w:p>
        </w:tc>
        <w:tc>
          <w:tcPr>
            <w:tcW w:w="1131" w:type="dxa"/>
          </w:tcPr>
          <w:p w14:paraId="71DA28EA" w14:textId="77777777" w:rsidR="004965F3" w:rsidRPr="00CB1D16" w:rsidRDefault="004965F3" w:rsidP="00A4359A">
            <w:pPr>
              <w:spacing w:before="36" w:after="36"/>
              <w:jc w:val="both"/>
              <w:rPr>
                <w:rFonts w:ascii="Times New Roman" w:eastAsia="Aptos" w:hAnsi="Times New Roman" w:cs="Times New Roman"/>
                <w:sz w:val="22"/>
                <w:szCs w:val="22"/>
              </w:rPr>
            </w:pPr>
            <w:r>
              <w:rPr>
                <w:rFonts w:ascii="Times New Roman" w:eastAsia="Aptos" w:hAnsi="Times New Roman" w:cs="Times New Roman"/>
                <w:sz w:val="22"/>
                <w:szCs w:val="22"/>
              </w:rPr>
              <w:t xml:space="preserve">    </w:t>
            </w:r>
            <w:r w:rsidRPr="00CB1D16">
              <w:rPr>
                <w:rFonts w:ascii="Times New Roman" w:eastAsia="Aptos" w:hAnsi="Times New Roman" w:cs="Times New Roman"/>
                <w:sz w:val="22"/>
                <w:szCs w:val="22"/>
              </w:rPr>
              <w:t>1.07</w:t>
            </w:r>
          </w:p>
        </w:tc>
      </w:tr>
      <w:tr w:rsidR="004965F3" w:rsidRPr="00776F08" w14:paraId="50CB92F0" w14:textId="77777777" w:rsidTr="00A4359A">
        <w:tc>
          <w:tcPr>
            <w:tcW w:w="1131" w:type="dxa"/>
          </w:tcPr>
          <w:p w14:paraId="66112A55" w14:textId="77777777" w:rsidR="004965F3" w:rsidRPr="00776F08" w:rsidRDefault="004965F3" w:rsidP="00A4359A">
            <w:pPr>
              <w:spacing w:before="36" w:after="36"/>
              <w:rPr>
                <w:rFonts w:ascii="Times New Roman" w:eastAsia="Aptos" w:hAnsi="Times New Roman" w:cs="Times New Roman"/>
                <w:sz w:val="22"/>
                <w:szCs w:val="22"/>
              </w:rPr>
            </w:pPr>
            <w:bookmarkStart w:id="25" w:name="_Hlk202974999"/>
            <w:r w:rsidRPr="00776F08">
              <w:rPr>
                <w:rFonts w:ascii="Times New Roman" w:eastAsia="Aptos" w:hAnsi="Times New Roman" w:cs="Times New Roman"/>
                <w:sz w:val="22"/>
                <w:szCs w:val="22"/>
              </w:rPr>
              <w:t>TOTAL</w:t>
            </w:r>
          </w:p>
        </w:tc>
        <w:tc>
          <w:tcPr>
            <w:tcW w:w="1131" w:type="dxa"/>
          </w:tcPr>
          <w:p w14:paraId="3B91F351"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NAR</w:t>
            </w:r>
          </w:p>
        </w:tc>
        <w:tc>
          <w:tcPr>
            <w:tcW w:w="1131" w:type="dxa"/>
          </w:tcPr>
          <w:p w14:paraId="69304E9A"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916</w:t>
            </w:r>
          </w:p>
        </w:tc>
        <w:tc>
          <w:tcPr>
            <w:tcW w:w="1131" w:type="dxa"/>
          </w:tcPr>
          <w:p w14:paraId="7D446486" w14:textId="77777777" w:rsidR="004965F3" w:rsidRPr="00503AD0" w:rsidRDefault="004965F3" w:rsidP="00A4359A">
            <w:pPr>
              <w:spacing w:before="36" w:after="36"/>
              <w:jc w:val="both"/>
              <w:rPr>
                <w:rFonts w:ascii="Times New Roman" w:eastAsia="Aptos" w:hAnsi="Times New Roman" w:cs="Times New Roman"/>
                <w:sz w:val="22"/>
                <w:szCs w:val="22"/>
              </w:rPr>
            </w:pPr>
            <w:r w:rsidRPr="00503AD0">
              <w:rPr>
                <w:rFonts w:ascii="Times New Roman" w:eastAsia="Aptos" w:hAnsi="Times New Roman" w:cs="Times New Roman"/>
                <w:sz w:val="22"/>
                <w:szCs w:val="22"/>
              </w:rPr>
              <w:t xml:space="preserve">     2890</w:t>
            </w:r>
          </w:p>
        </w:tc>
        <w:tc>
          <w:tcPr>
            <w:tcW w:w="1131" w:type="dxa"/>
          </w:tcPr>
          <w:p w14:paraId="43D16F2D"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26.48</w:t>
            </w:r>
          </w:p>
        </w:tc>
        <w:tc>
          <w:tcPr>
            <w:tcW w:w="1131" w:type="dxa"/>
          </w:tcPr>
          <w:p w14:paraId="54A2ECFC"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82.51</w:t>
            </w:r>
          </w:p>
        </w:tc>
        <w:tc>
          <w:tcPr>
            <w:tcW w:w="1131" w:type="dxa"/>
          </w:tcPr>
          <w:p w14:paraId="096A5F02"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3.03**</w:t>
            </w:r>
          </w:p>
        </w:tc>
      </w:tr>
      <w:tr w:rsidR="004965F3" w:rsidRPr="00776F08" w14:paraId="5A04A9D2" w14:textId="77777777" w:rsidTr="00A4359A">
        <w:tc>
          <w:tcPr>
            <w:tcW w:w="1131" w:type="dxa"/>
          </w:tcPr>
          <w:p w14:paraId="2CD0D868" w14:textId="77777777" w:rsidR="004965F3" w:rsidRPr="00776F08" w:rsidRDefault="004965F3" w:rsidP="00A4359A">
            <w:pPr>
              <w:spacing w:before="36" w:after="36"/>
              <w:rPr>
                <w:rFonts w:ascii="Times New Roman" w:eastAsia="Aptos" w:hAnsi="Times New Roman" w:cs="Times New Roman"/>
                <w:sz w:val="22"/>
                <w:szCs w:val="22"/>
              </w:rPr>
            </w:pPr>
            <w:r w:rsidRPr="00776F08">
              <w:rPr>
                <w:rFonts w:ascii="Times New Roman" w:eastAsia="Aptos" w:hAnsi="Times New Roman" w:cs="Times New Roman"/>
                <w:sz w:val="22"/>
                <w:szCs w:val="22"/>
              </w:rPr>
              <w:t>TOTAL</w:t>
            </w:r>
          </w:p>
        </w:tc>
        <w:tc>
          <w:tcPr>
            <w:tcW w:w="1131" w:type="dxa"/>
          </w:tcPr>
          <w:p w14:paraId="630AD1BD"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NUM</w:t>
            </w:r>
          </w:p>
        </w:tc>
        <w:tc>
          <w:tcPr>
            <w:tcW w:w="1131" w:type="dxa"/>
          </w:tcPr>
          <w:p w14:paraId="311D3633"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75</w:t>
            </w:r>
          </w:p>
        </w:tc>
        <w:tc>
          <w:tcPr>
            <w:tcW w:w="1131" w:type="dxa"/>
          </w:tcPr>
          <w:p w14:paraId="48B503A4"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405</w:t>
            </w:r>
          </w:p>
        </w:tc>
        <w:tc>
          <w:tcPr>
            <w:tcW w:w="1131" w:type="dxa"/>
          </w:tcPr>
          <w:p w14:paraId="63597E7F"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2.14</w:t>
            </w:r>
          </w:p>
        </w:tc>
        <w:tc>
          <w:tcPr>
            <w:tcW w:w="1131" w:type="dxa"/>
          </w:tcPr>
          <w:p w14:paraId="7B56B8C2"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11.57</w:t>
            </w:r>
          </w:p>
        </w:tc>
        <w:tc>
          <w:tcPr>
            <w:tcW w:w="1131" w:type="dxa"/>
          </w:tcPr>
          <w:p w14:paraId="48FAD686" w14:textId="1B000BC2" w:rsidR="004965F3" w:rsidRPr="00503AD0" w:rsidRDefault="003F6652"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 xml:space="preserve">  </w:t>
            </w:r>
            <w:r w:rsidR="004965F3" w:rsidRPr="00503AD0">
              <w:rPr>
                <w:rFonts w:ascii="Times New Roman" w:eastAsia="Aptos" w:hAnsi="Times New Roman" w:cs="Times New Roman"/>
                <w:sz w:val="22"/>
                <w:szCs w:val="22"/>
              </w:rPr>
              <w:t>4.68***</w:t>
            </w:r>
          </w:p>
        </w:tc>
      </w:tr>
      <w:tr w:rsidR="004965F3" w:rsidRPr="00F46423" w14:paraId="6D1E6E40" w14:textId="77777777" w:rsidTr="00A4359A">
        <w:tc>
          <w:tcPr>
            <w:tcW w:w="1131" w:type="dxa"/>
          </w:tcPr>
          <w:p w14:paraId="7FF3C0A4" w14:textId="77777777" w:rsidR="004965F3" w:rsidRPr="00776F08" w:rsidRDefault="004965F3" w:rsidP="00A4359A">
            <w:pPr>
              <w:spacing w:before="36" w:after="36"/>
              <w:rPr>
                <w:rFonts w:ascii="Times New Roman" w:eastAsia="Aptos" w:hAnsi="Times New Roman" w:cs="Times New Roman"/>
                <w:sz w:val="22"/>
                <w:szCs w:val="22"/>
              </w:rPr>
            </w:pPr>
            <w:r w:rsidRPr="00776F08">
              <w:rPr>
                <w:rFonts w:ascii="Times New Roman" w:eastAsia="Aptos" w:hAnsi="Times New Roman" w:cs="Times New Roman"/>
                <w:sz w:val="22"/>
                <w:szCs w:val="22"/>
              </w:rPr>
              <w:t>TOTAL</w:t>
            </w:r>
          </w:p>
        </w:tc>
        <w:tc>
          <w:tcPr>
            <w:tcW w:w="1131" w:type="dxa"/>
          </w:tcPr>
          <w:p w14:paraId="45324E3C"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P/T</w:t>
            </w:r>
          </w:p>
        </w:tc>
        <w:tc>
          <w:tcPr>
            <w:tcW w:w="1131" w:type="dxa"/>
          </w:tcPr>
          <w:p w14:paraId="35F03AF9"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34</w:t>
            </w:r>
          </w:p>
        </w:tc>
        <w:tc>
          <w:tcPr>
            <w:tcW w:w="1131" w:type="dxa"/>
          </w:tcPr>
          <w:p w14:paraId="5C1340DE"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179</w:t>
            </w:r>
          </w:p>
        </w:tc>
        <w:tc>
          <w:tcPr>
            <w:tcW w:w="1131" w:type="dxa"/>
          </w:tcPr>
          <w:p w14:paraId="69AC5964"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1.25</w:t>
            </w:r>
          </w:p>
        </w:tc>
        <w:tc>
          <w:tcPr>
            <w:tcW w:w="1131" w:type="dxa"/>
          </w:tcPr>
          <w:p w14:paraId="13EE3BE1"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5.11</w:t>
            </w:r>
          </w:p>
        </w:tc>
        <w:tc>
          <w:tcPr>
            <w:tcW w:w="1131" w:type="dxa"/>
          </w:tcPr>
          <w:p w14:paraId="357BE574" w14:textId="1ECEBEC7" w:rsidR="004965F3" w:rsidRPr="00503AD0" w:rsidRDefault="003F6652"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 xml:space="preserve">  </w:t>
            </w:r>
            <w:r w:rsidR="004965F3" w:rsidRPr="00503AD0">
              <w:rPr>
                <w:rFonts w:ascii="Times New Roman" w:eastAsia="Aptos" w:hAnsi="Times New Roman" w:cs="Times New Roman"/>
                <w:sz w:val="22"/>
                <w:szCs w:val="22"/>
              </w:rPr>
              <w:t>5.18***</w:t>
            </w:r>
          </w:p>
        </w:tc>
      </w:tr>
      <w:tr w:rsidR="004965F3" w:rsidRPr="00776F08" w14:paraId="04AABF68" w14:textId="77777777" w:rsidTr="00A4359A">
        <w:tc>
          <w:tcPr>
            <w:tcW w:w="1131" w:type="dxa"/>
          </w:tcPr>
          <w:p w14:paraId="437888A8" w14:textId="77777777" w:rsidR="004965F3" w:rsidRPr="00776F08" w:rsidRDefault="004965F3" w:rsidP="00A4359A">
            <w:pPr>
              <w:spacing w:before="36" w:after="36"/>
              <w:rPr>
                <w:rFonts w:ascii="Times New Roman" w:eastAsia="Aptos" w:hAnsi="Times New Roman" w:cs="Times New Roman"/>
                <w:sz w:val="22"/>
                <w:szCs w:val="22"/>
              </w:rPr>
            </w:pPr>
            <w:r w:rsidRPr="00776F08">
              <w:rPr>
                <w:rFonts w:ascii="Times New Roman" w:eastAsia="Aptos" w:hAnsi="Times New Roman" w:cs="Times New Roman"/>
                <w:sz w:val="22"/>
                <w:szCs w:val="22"/>
              </w:rPr>
              <w:t>TOTAL</w:t>
            </w:r>
          </w:p>
        </w:tc>
        <w:tc>
          <w:tcPr>
            <w:tcW w:w="1131" w:type="dxa"/>
          </w:tcPr>
          <w:p w14:paraId="021F752B"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OA</w:t>
            </w:r>
          </w:p>
        </w:tc>
        <w:tc>
          <w:tcPr>
            <w:tcW w:w="1131" w:type="dxa"/>
          </w:tcPr>
          <w:p w14:paraId="0BDEA7D3" w14:textId="77777777" w:rsidR="004965F3" w:rsidRPr="00503AD0" w:rsidRDefault="004965F3" w:rsidP="00A4359A">
            <w:pPr>
              <w:spacing w:before="36" w:after="36"/>
              <w:jc w:val="both"/>
              <w:rPr>
                <w:rFonts w:ascii="Times New Roman" w:eastAsia="Aptos" w:hAnsi="Times New Roman" w:cs="Times New Roman"/>
                <w:sz w:val="22"/>
                <w:szCs w:val="22"/>
              </w:rPr>
            </w:pPr>
            <w:r w:rsidRPr="00503AD0">
              <w:rPr>
                <w:rFonts w:ascii="Times New Roman" w:eastAsia="Aptos" w:hAnsi="Times New Roman" w:cs="Times New Roman"/>
                <w:sz w:val="22"/>
                <w:szCs w:val="22"/>
              </w:rPr>
              <w:t xml:space="preserve">       882</w:t>
            </w:r>
          </w:p>
        </w:tc>
        <w:tc>
          <w:tcPr>
            <w:tcW w:w="1131" w:type="dxa"/>
          </w:tcPr>
          <w:p w14:paraId="77D8FBC7" w14:textId="77777777" w:rsidR="004965F3" w:rsidRPr="00503AD0" w:rsidRDefault="004965F3" w:rsidP="00A4359A">
            <w:pPr>
              <w:spacing w:before="36" w:after="36"/>
              <w:jc w:val="both"/>
              <w:rPr>
                <w:rFonts w:ascii="Times New Roman" w:eastAsia="Aptos" w:hAnsi="Times New Roman" w:cs="Times New Roman"/>
                <w:sz w:val="22"/>
                <w:szCs w:val="22"/>
              </w:rPr>
            </w:pPr>
            <w:r w:rsidRPr="00503AD0">
              <w:rPr>
                <w:rFonts w:ascii="Times New Roman" w:eastAsia="Aptos" w:hAnsi="Times New Roman" w:cs="Times New Roman"/>
                <w:sz w:val="22"/>
                <w:szCs w:val="22"/>
              </w:rPr>
              <w:t xml:space="preserve">      2711</w:t>
            </w:r>
          </w:p>
        </w:tc>
        <w:tc>
          <w:tcPr>
            <w:tcW w:w="1131" w:type="dxa"/>
          </w:tcPr>
          <w:p w14:paraId="5A4005FB"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25.22</w:t>
            </w:r>
          </w:p>
        </w:tc>
        <w:tc>
          <w:tcPr>
            <w:tcW w:w="1131" w:type="dxa"/>
          </w:tcPr>
          <w:p w14:paraId="6532531C"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77.4</w:t>
            </w:r>
          </w:p>
        </w:tc>
        <w:tc>
          <w:tcPr>
            <w:tcW w:w="1131" w:type="dxa"/>
          </w:tcPr>
          <w:p w14:paraId="56AB4CB6"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2.89**</w:t>
            </w:r>
          </w:p>
        </w:tc>
      </w:tr>
      <w:tr w:rsidR="004965F3" w:rsidRPr="00A91975" w14:paraId="4FDFFC35" w14:textId="77777777" w:rsidTr="001C436A">
        <w:tc>
          <w:tcPr>
            <w:tcW w:w="1131" w:type="dxa"/>
            <w:tcBorders>
              <w:bottom w:val="single" w:sz="4" w:space="0" w:color="auto"/>
            </w:tcBorders>
            <w:shd w:val="clear" w:color="auto" w:fill="E7E6E6" w:themeFill="background2"/>
          </w:tcPr>
          <w:p w14:paraId="257DB1BB" w14:textId="77777777" w:rsidR="004965F3" w:rsidRPr="00776F08" w:rsidRDefault="004965F3" w:rsidP="00A4359A">
            <w:pPr>
              <w:spacing w:before="36" w:after="36"/>
              <w:rPr>
                <w:rFonts w:ascii="Times New Roman" w:eastAsia="Aptos" w:hAnsi="Times New Roman" w:cs="Times New Roman"/>
                <w:sz w:val="22"/>
                <w:szCs w:val="22"/>
              </w:rPr>
            </w:pPr>
            <w:r w:rsidRPr="00776F08">
              <w:rPr>
                <w:rFonts w:ascii="Times New Roman" w:eastAsia="Aptos" w:hAnsi="Times New Roman" w:cs="Times New Roman"/>
                <w:sz w:val="22"/>
                <w:szCs w:val="22"/>
              </w:rPr>
              <w:t>TOTAL</w:t>
            </w:r>
          </w:p>
        </w:tc>
        <w:tc>
          <w:tcPr>
            <w:tcW w:w="1131" w:type="dxa"/>
            <w:tcBorders>
              <w:bottom w:val="single" w:sz="4" w:space="0" w:color="auto"/>
            </w:tcBorders>
            <w:shd w:val="clear" w:color="auto" w:fill="E7E6E6" w:themeFill="background2"/>
          </w:tcPr>
          <w:p w14:paraId="62180835"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ALL</w:t>
            </w:r>
          </w:p>
        </w:tc>
        <w:tc>
          <w:tcPr>
            <w:tcW w:w="1131" w:type="dxa"/>
            <w:tcBorders>
              <w:bottom w:val="single" w:sz="4" w:space="0" w:color="auto"/>
            </w:tcBorders>
            <w:shd w:val="clear" w:color="auto" w:fill="E7E6E6" w:themeFill="background2"/>
          </w:tcPr>
          <w:p w14:paraId="4EFFB8B6"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991</w:t>
            </w:r>
          </w:p>
        </w:tc>
        <w:tc>
          <w:tcPr>
            <w:tcW w:w="1131" w:type="dxa"/>
            <w:tcBorders>
              <w:bottom w:val="single" w:sz="4" w:space="0" w:color="auto"/>
            </w:tcBorders>
            <w:shd w:val="clear" w:color="auto" w:fill="E7E6E6" w:themeFill="background2"/>
          </w:tcPr>
          <w:p w14:paraId="435E07B1"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3295</w:t>
            </w:r>
          </w:p>
        </w:tc>
        <w:tc>
          <w:tcPr>
            <w:tcW w:w="1131" w:type="dxa"/>
            <w:tcBorders>
              <w:bottom w:val="single" w:sz="4" w:space="0" w:color="auto"/>
            </w:tcBorders>
            <w:shd w:val="clear" w:color="auto" w:fill="E7E6E6" w:themeFill="background2"/>
          </w:tcPr>
          <w:p w14:paraId="0959E885"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28.62</w:t>
            </w:r>
          </w:p>
        </w:tc>
        <w:tc>
          <w:tcPr>
            <w:tcW w:w="1131" w:type="dxa"/>
            <w:tcBorders>
              <w:bottom w:val="single" w:sz="4" w:space="0" w:color="auto"/>
            </w:tcBorders>
            <w:shd w:val="clear" w:color="auto" w:fill="E7E6E6" w:themeFill="background2"/>
          </w:tcPr>
          <w:p w14:paraId="5939FA46" w14:textId="77777777" w:rsidR="004965F3" w:rsidRPr="00503AD0" w:rsidRDefault="004965F3" w:rsidP="00A4359A">
            <w:pPr>
              <w:spacing w:before="36" w:after="36"/>
              <w:jc w:val="center"/>
              <w:rPr>
                <w:rFonts w:ascii="Times New Roman" w:eastAsia="Aptos" w:hAnsi="Times New Roman" w:cs="Times New Roman"/>
                <w:sz w:val="22"/>
                <w:szCs w:val="22"/>
              </w:rPr>
            </w:pPr>
            <w:r w:rsidRPr="00503AD0">
              <w:rPr>
                <w:rFonts w:ascii="Times New Roman" w:eastAsia="Aptos" w:hAnsi="Times New Roman" w:cs="Times New Roman"/>
                <w:sz w:val="22"/>
                <w:szCs w:val="22"/>
              </w:rPr>
              <w:t>94.14</w:t>
            </w:r>
          </w:p>
        </w:tc>
        <w:tc>
          <w:tcPr>
            <w:tcW w:w="1131" w:type="dxa"/>
            <w:tcBorders>
              <w:bottom w:val="single" w:sz="4" w:space="0" w:color="auto"/>
            </w:tcBorders>
            <w:shd w:val="clear" w:color="auto" w:fill="E7E6E6" w:themeFill="background2"/>
          </w:tcPr>
          <w:p w14:paraId="204345F8" w14:textId="77777777" w:rsidR="004965F3" w:rsidRPr="00503AD0" w:rsidRDefault="004965F3" w:rsidP="00A4359A">
            <w:pPr>
              <w:spacing w:before="36" w:after="36"/>
              <w:jc w:val="both"/>
              <w:rPr>
                <w:rFonts w:ascii="Times New Roman" w:eastAsia="Aptos" w:hAnsi="Times New Roman" w:cs="Times New Roman"/>
                <w:sz w:val="22"/>
                <w:szCs w:val="22"/>
              </w:rPr>
            </w:pPr>
            <w:r w:rsidRPr="00503AD0">
              <w:rPr>
                <w:rFonts w:ascii="Times New Roman" w:eastAsia="Aptos" w:hAnsi="Times New Roman" w:cs="Times New Roman"/>
                <w:sz w:val="22"/>
                <w:szCs w:val="22"/>
              </w:rPr>
              <w:t xml:space="preserve">     3.36 ***</w:t>
            </w:r>
          </w:p>
        </w:tc>
      </w:tr>
    </w:tbl>
    <w:tbl>
      <w:tblPr>
        <w:tblpPr w:leftFromText="180" w:rightFromText="180" w:vertAnchor="text" w:tblpX="-17" w:tblpY="25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4965F3" w:rsidRPr="009D59FC" w14:paraId="1EC5EF9C" w14:textId="77777777" w:rsidTr="00A4359A">
        <w:trPr>
          <w:trHeight w:val="1124"/>
        </w:trPr>
        <w:tc>
          <w:tcPr>
            <w:tcW w:w="9209" w:type="dxa"/>
          </w:tcPr>
          <w:bookmarkEnd w:id="25"/>
          <w:p w14:paraId="5EDB512C" w14:textId="77777777" w:rsidR="004965F3" w:rsidRPr="009D59FC" w:rsidRDefault="004965F3" w:rsidP="00A4359A">
            <w:pPr>
              <w:suppressAutoHyphens/>
              <w:autoSpaceDN w:val="0"/>
              <w:ind w:firstLine="0"/>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 xml:space="preserve">Note: Table 4 shows the internal facing (firm level) environmental disclosure. All descriptions of variables remain the same as table 3.   </w:t>
            </w:r>
            <w:r w:rsidRPr="00AB1F33">
              <w:rPr>
                <w:rFonts w:ascii="Times New Roman" w:eastAsia="Calibri" w:hAnsi="Times New Roman" w:cs="Times New Roman"/>
                <w:sz w:val="20"/>
                <w:szCs w:val="20"/>
              </w:rPr>
              <w:t>*, **, *** indicate significance level at 10%, 5%, 1% respectively</w:t>
            </w:r>
          </w:p>
        </w:tc>
      </w:tr>
    </w:tbl>
    <w:p w14:paraId="3CC136B9" w14:textId="77777777" w:rsidR="004965F3" w:rsidRPr="00CB1D16" w:rsidRDefault="004965F3"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67C8F299" w14:textId="77777777" w:rsidR="00CB1D16" w:rsidRDefault="00CB1D16"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70543DA7" w14:textId="77777777" w:rsidR="00CB1D16" w:rsidRPr="00CB1D16" w:rsidRDefault="00CB1D16"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7572AC7D" w14:textId="77777777" w:rsidR="00CB1D16" w:rsidRPr="00CB1D16" w:rsidRDefault="00CB1D16"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4B503391" w14:textId="77777777" w:rsidR="00CB1D16" w:rsidRPr="00CB1D16" w:rsidRDefault="00CB1D16"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5ED71AC4" w14:textId="77777777" w:rsidR="00CB1D16" w:rsidRDefault="00CB1D16"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5C1978CB" w14:textId="77777777" w:rsidR="00146467" w:rsidRDefault="00146467"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0F680A5C" w14:textId="77777777" w:rsidR="00146467" w:rsidRPr="00CB1D16" w:rsidRDefault="00146467"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7D2AA9EA" w14:textId="77777777" w:rsidR="00CB1D16" w:rsidRPr="00CB1D16" w:rsidRDefault="00CB1D16"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68C5789B" w14:textId="77777777" w:rsidR="00CB1D16" w:rsidRPr="00CB1D16" w:rsidRDefault="00CB1D16"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7AB0C339" w14:textId="77777777" w:rsidR="00CB1D16" w:rsidRPr="00CB1D16" w:rsidRDefault="00CB1D16"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54767F0D" w14:textId="77777777" w:rsidR="004358B2" w:rsidRPr="00CB1D16" w:rsidRDefault="004358B2"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63864C55" w14:textId="77777777" w:rsidR="00DA6CA8" w:rsidRPr="00CB1D16" w:rsidRDefault="00DA6CA8" w:rsidP="00DA6CA8">
      <w:pPr>
        <w:spacing w:before="180" w:after="180" w:line="240" w:lineRule="auto"/>
        <w:ind w:firstLine="0"/>
        <w:jc w:val="left"/>
        <w:rPr>
          <w:rFonts w:ascii="Times New Roman" w:eastAsia="Aptos" w:hAnsi="Times New Roman" w:cs="Times New Roman"/>
          <w:kern w:val="0"/>
          <w:sz w:val="24"/>
          <w:szCs w:val="24"/>
          <w:lang w:val="en-US"/>
          <w14:ligatures w14:val="none"/>
        </w:rPr>
      </w:pPr>
      <w:r w:rsidRPr="00CB1D16">
        <w:rPr>
          <w:rFonts w:ascii="Times New Roman" w:eastAsia="Aptos" w:hAnsi="Times New Roman" w:cs="Times New Roman"/>
          <w:b/>
          <w:bCs/>
          <w:kern w:val="0"/>
          <w:sz w:val="24"/>
          <w:szCs w:val="24"/>
          <w:lang w:val="en-US"/>
          <w14:ligatures w14:val="none"/>
        </w:rPr>
        <w:lastRenderedPageBreak/>
        <w:t>Table 5. External‑Facing Environmental Disclosure Statistics (2013 vs 2023)</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71"/>
        <w:gridCol w:w="778"/>
        <w:gridCol w:w="1366"/>
        <w:gridCol w:w="1231"/>
        <w:gridCol w:w="1502"/>
        <w:gridCol w:w="1367"/>
        <w:gridCol w:w="1501"/>
      </w:tblGrid>
      <w:tr w:rsidR="00DA6CA8" w:rsidRPr="00CB1D16" w14:paraId="50189F47" w14:textId="77777777" w:rsidTr="001C436A">
        <w:trPr>
          <w:cnfStyle w:val="100000000000" w:firstRow="1" w:lastRow="0" w:firstColumn="0" w:lastColumn="0" w:oddVBand="0" w:evenVBand="0" w:oddHBand="0" w:evenHBand="0" w:firstRowFirstColumn="0" w:firstRowLastColumn="0" w:lastRowFirstColumn="0" w:lastRowLastColumn="0"/>
          <w:tblHeader/>
        </w:trPr>
        <w:tc>
          <w:tcPr>
            <w:tcW w:w="1271" w:type="dxa"/>
          </w:tcPr>
          <w:p w14:paraId="322B5629" w14:textId="77777777" w:rsidR="00DA6CA8" w:rsidRPr="00CB1D16" w:rsidRDefault="00DA6CA8" w:rsidP="00A4359A">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Theme</w:t>
            </w:r>
          </w:p>
        </w:tc>
        <w:tc>
          <w:tcPr>
            <w:tcW w:w="778" w:type="dxa"/>
          </w:tcPr>
          <w:p w14:paraId="43953158" w14:textId="77777777" w:rsidR="00DA6CA8" w:rsidRPr="00CB1D16" w:rsidRDefault="00DA6CA8" w:rsidP="00A4359A">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Category</w:t>
            </w:r>
          </w:p>
        </w:tc>
        <w:tc>
          <w:tcPr>
            <w:tcW w:w="1366" w:type="dxa"/>
          </w:tcPr>
          <w:p w14:paraId="4D92DDA0" w14:textId="77777777" w:rsidR="00DA6CA8" w:rsidRPr="00CB1D16" w:rsidRDefault="00DA6CA8" w:rsidP="00A4359A">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2013 (Sum)</w:t>
            </w:r>
          </w:p>
        </w:tc>
        <w:tc>
          <w:tcPr>
            <w:tcW w:w="1231" w:type="dxa"/>
          </w:tcPr>
          <w:p w14:paraId="164D291B" w14:textId="77777777" w:rsidR="00DA6CA8" w:rsidRPr="00CB1D16" w:rsidRDefault="00DA6CA8" w:rsidP="00A4359A">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2023 (Sum)</w:t>
            </w:r>
          </w:p>
        </w:tc>
        <w:tc>
          <w:tcPr>
            <w:tcW w:w="1502" w:type="dxa"/>
          </w:tcPr>
          <w:p w14:paraId="292EAC74" w14:textId="77777777" w:rsidR="00DA6CA8" w:rsidRPr="00CB1D16" w:rsidRDefault="00DA6CA8" w:rsidP="00A4359A">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2013 (Mean)</w:t>
            </w:r>
          </w:p>
        </w:tc>
        <w:tc>
          <w:tcPr>
            <w:tcW w:w="1367" w:type="dxa"/>
          </w:tcPr>
          <w:p w14:paraId="7E9AA817" w14:textId="77777777" w:rsidR="00DA6CA8" w:rsidRPr="00CB1D16" w:rsidRDefault="00DA6CA8" w:rsidP="00A4359A">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2023 (Mean)</w:t>
            </w:r>
          </w:p>
        </w:tc>
        <w:tc>
          <w:tcPr>
            <w:tcW w:w="1501" w:type="dxa"/>
          </w:tcPr>
          <w:p w14:paraId="0E2F8547" w14:textId="77777777" w:rsidR="00DA6CA8" w:rsidRPr="00CB1D16" w:rsidRDefault="00DA6CA8" w:rsidP="00A4359A">
            <w:pPr>
              <w:spacing w:before="36" w:after="36"/>
              <w:rPr>
                <w:rFonts w:ascii="Times New Roman" w:eastAsia="Aptos" w:hAnsi="Times New Roman" w:cs="Times New Roman"/>
                <w:sz w:val="20"/>
                <w:szCs w:val="20"/>
              </w:rPr>
            </w:pPr>
            <w:r w:rsidRPr="00CB1D16">
              <w:rPr>
                <w:rFonts w:ascii="Times New Roman" w:eastAsia="Aptos" w:hAnsi="Times New Roman" w:cs="Times New Roman"/>
                <w:sz w:val="20"/>
                <w:szCs w:val="20"/>
              </w:rPr>
              <w:t>T‑test (Diff)</w:t>
            </w:r>
          </w:p>
        </w:tc>
      </w:tr>
      <w:tr w:rsidR="00DA6CA8" w:rsidRPr="00CB1D16" w14:paraId="6784EBDC" w14:textId="77777777" w:rsidTr="001C436A">
        <w:tc>
          <w:tcPr>
            <w:tcW w:w="1271" w:type="dxa"/>
          </w:tcPr>
          <w:p w14:paraId="5BA34042" w14:textId="0B77A3F9" w:rsidR="00DA6CA8" w:rsidRPr="001C436A" w:rsidRDefault="00DA6CA8" w:rsidP="00A4359A">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ENVMG</w:t>
            </w:r>
            <w:r w:rsidR="001C436A" w:rsidRPr="001C436A">
              <w:rPr>
                <w:rFonts w:ascii="Times New Roman" w:eastAsia="Aptos" w:hAnsi="Times New Roman" w:cs="Times New Roman"/>
                <w:sz w:val="20"/>
                <w:szCs w:val="20"/>
              </w:rPr>
              <w:t>T</w:t>
            </w:r>
          </w:p>
        </w:tc>
        <w:tc>
          <w:tcPr>
            <w:tcW w:w="778" w:type="dxa"/>
          </w:tcPr>
          <w:p w14:paraId="20E4F92C" w14:textId="77777777" w:rsidR="00DA6CA8" w:rsidRPr="00447C1A" w:rsidRDefault="00DA6CA8" w:rsidP="00A4359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NAR</w:t>
            </w:r>
          </w:p>
        </w:tc>
        <w:tc>
          <w:tcPr>
            <w:tcW w:w="1366" w:type="dxa"/>
          </w:tcPr>
          <w:p w14:paraId="0B37D49F" w14:textId="77777777" w:rsidR="00DA6CA8" w:rsidRPr="00447C1A" w:rsidRDefault="00DA6CA8" w:rsidP="00A4359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37</w:t>
            </w:r>
          </w:p>
        </w:tc>
        <w:tc>
          <w:tcPr>
            <w:tcW w:w="1231" w:type="dxa"/>
          </w:tcPr>
          <w:p w14:paraId="77E47DBF" w14:textId="77777777" w:rsidR="00DA6CA8" w:rsidRPr="00447C1A" w:rsidRDefault="00DA6CA8" w:rsidP="00A4359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97</w:t>
            </w:r>
          </w:p>
        </w:tc>
        <w:tc>
          <w:tcPr>
            <w:tcW w:w="1502" w:type="dxa"/>
          </w:tcPr>
          <w:p w14:paraId="13B90C1D" w14:textId="77777777" w:rsidR="00DA6CA8" w:rsidRPr="00447C1A" w:rsidRDefault="00DA6CA8" w:rsidP="00A4359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1.05</w:t>
            </w:r>
          </w:p>
        </w:tc>
        <w:tc>
          <w:tcPr>
            <w:tcW w:w="1367" w:type="dxa"/>
          </w:tcPr>
          <w:p w14:paraId="3D127499" w14:textId="77777777" w:rsidR="00DA6CA8" w:rsidRPr="00447C1A" w:rsidRDefault="00DA6CA8" w:rsidP="00A4359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2.77</w:t>
            </w:r>
          </w:p>
        </w:tc>
        <w:tc>
          <w:tcPr>
            <w:tcW w:w="1501" w:type="dxa"/>
          </w:tcPr>
          <w:p w14:paraId="080FF70A" w14:textId="77777777" w:rsidR="00DA6CA8" w:rsidRPr="00447C1A" w:rsidRDefault="00DA6CA8" w:rsidP="00A4359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2.90**</w:t>
            </w:r>
          </w:p>
        </w:tc>
      </w:tr>
      <w:tr w:rsidR="001C436A" w:rsidRPr="00CB1D16" w14:paraId="4ACB7901" w14:textId="77777777" w:rsidTr="001C436A">
        <w:tc>
          <w:tcPr>
            <w:tcW w:w="1271" w:type="dxa"/>
          </w:tcPr>
          <w:p w14:paraId="71593DB9" w14:textId="3EAD753E" w:rsidR="001C436A" w:rsidRPr="00CB1D16" w:rsidRDefault="001C436A" w:rsidP="001C436A">
            <w:pPr>
              <w:spacing w:before="36" w:after="36"/>
              <w:rPr>
                <w:rFonts w:ascii="Times New Roman" w:eastAsia="Aptos" w:hAnsi="Times New Roman" w:cs="Times New Roman"/>
                <w:sz w:val="20"/>
                <w:szCs w:val="20"/>
              </w:rPr>
            </w:pPr>
            <w:r w:rsidRPr="00F639A3">
              <w:rPr>
                <w:rFonts w:ascii="Times New Roman" w:eastAsia="Aptos" w:hAnsi="Times New Roman" w:cs="Times New Roman"/>
                <w:sz w:val="20"/>
                <w:szCs w:val="20"/>
              </w:rPr>
              <w:t>ENVMGT</w:t>
            </w:r>
          </w:p>
        </w:tc>
        <w:tc>
          <w:tcPr>
            <w:tcW w:w="778" w:type="dxa"/>
          </w:tcPr>
          <w:p w14:paraId="07A1C424"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NUM</w:t>
            </w:r>
          </w:p>
        </w:tc>
        <w:tc>
          <w:tcPr>
            <w:tcW w:w="1366" w:type="dxa"/>
          </w:tcPr>
          <w:p w14:paraId="63EE5C23"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13</w:t>
            </w:r>
          </w:p>
        </w:tc>
        <w:tc>
          <w:tcPr>
            <w:tcW w:w="1231" w:type="dxa"/>
          </w:tcPr>
          <w:p w14:paraId="4A519A5C"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17</w:t>
            </w:r>
          </w:p>
        </w:tc>
        <w:tc>
          <w:tcPr>
            <w:tcW w:w="1502" w:type="dxa"/>
          </w:tcPr>
          <w:p w14:paraId="379B87A0"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0.29</w:t>
            </w:r>
          </w:p>
        </w:tc>
        <w:tc>
          <w:tcPr>
            <w:tcW w:w="1367" w:type="dxa"/>
          </w:tcPr>
          <w:p w14:paraId="64AED48C"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0.48</w:t>
            </w:r>
          </w:p>
        </w:tc>
        <w:tc>
          <w:tcPr>
            <w:tcW w:w="1501" w:type="dxa"/>
          </w:tcPr>
          <w:p w14:paraId="221CED61"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1.91**</w:t>
            </w:r>
          </w:p>
        </w:tc>
      </w:tr>
      <w:tr w:rsidR="001C436A" w:rsidRPr="00CB1D16" w14:paraId="45A6E9BD" w14:textId="77777777" w:rsidTr="001C436A">
        <w:tc>
          <w:tcPr>
            <w:tcW w:w="1271" w:type="dxa"/>
          </w:tcPr>
          <w:p w14:paraId="7AEE023D" w14:textId="1F7790FC" w:rsidR="001C436A" w:rsidRPr="00CB1D16" w:rsidRDefault="001C436A" w:rsidP="001C436A">
            <w:pPr>
              <w:spacing w:before="36" w:after="36"/>
              <w:rPr>
                <w:rFonts w:ascii="Times New Roman" w:eastAsia="Aptos" w:hAnsi="Times New Roman" w:cs="Times New Roman"/>
                <w:sz w:val="20"/>
                <w:szCs w:val="20"/>
              </w:rPr>
            </w:pPr>
            <w:r w:rsidRPr="00F639A3">
              <w:rPr>
                <w:rFonts w:ascii="Times New Roman" w:eastAsia="Aptos" w:hAnsi="Times New Roman" w:cs="Times New Roman"/>
                <w:sz w:val="20"/>
                <w:szCs w:val="20"/>
              </w:rPr>
              <w:t>ENVMGT</w:t>
            </w:r>
          </w:p>
        </w:tc>
        <w:tc>
          <w:tcPr>
            <w:tcW w:w="778" w:type="dxa"/>
          </w:tcPr>
          <w:p w14:paraId="17D8C710"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P/T</w:t>
            </w:r>
          </w:p>
        </w:tc>
        <w:tc>
          <w:tcPr>
            <w:tcW w:w="1366" w:type="dxa"/>
          </w:tcPr>
          <w:p w14:paraId="72596FAD"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0.00</w:t>
            </w:r>
          </w:p>
        </w:tc>
        <w:tc>
          <w:tcPr>
            <w:tcW w:w="1231" w:type="dxa"/>
          </w:tcPr>
          <w:p w14:paraId="6C1E28E5"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0.00</w:t>
            </w:r>
          </w:p>
        </w:tc>
        <w:tc>
          <w:tcPr>
            <w:tcW w:w="1502" w:type="dxa"/>
          </w:tcPr>
          <w:p w14:paraId="5C13CC81"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0.00</w:t>
            </w:r>
          </w:p>
        </w:tc>
        <w:tc>
          <w:tcPr>
            <w:tcW w:w="1367" w:type="dxa"/>
          </w:tcPr>
          <w:p w14:paraId="7E995FAE"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0.00</w:t>
            </w:r>
          </w:p>
        </w:tc>
        <w:tc>
          <w:tcPr>
            <w:tcW w:w="1501" w:type="dxa"/>
          </w:tcPr>
          <w:p w14:paraId="5CF888DA" w14:textId="31E3D6B8" w:rsidR="001C436A" w:rsidRPr="00447C1A" w:rsidRDefault="001C436A" w:rsidP="001C436A">
            <w:pPr>
              <w:spacing w:before="36" w:after="36"/>
              <w:jc w:val="center"/>
              <w:rPr>
                <w:rFonts w:ascii="Times New Roman" w:eastAsia="Aptos" w:hAnsi="Times New Roman" w:cs="Times New Roman"/>
                <w:sz w:val="20"/>
                <w:szCs w:val="20"/>
              </w:rPr>
            </w:pPr>
            <w:r>
              <w:rPr>
                <w:rFonts w:ascii="Times New Roman" w:eastAsia="Aptos" w:hAnsi="Times New Roman" w:cs="Times New Roman"/>
                <w:sz w:val="20"/>
                <w:szCs w:val="20"/>
              </w:rPr>
              <w:t>0.00</w:t>
            </w:r>
          </w:p>
        </w:tc>
      </w:tr>
      <w:tr w:rsidR="001C436A" w:rsidRPr="00CB1D16" w14:paraId="64E6BC31" w14:textId="77777777" w:rsidTr="001C436A">
        <w:tc>
          <w:tcPr>
            <w:tcW w:w="1271" w:type="dxa"/>
          </w:tcPr>
          <w:p w14:paraId="2F61C9A2" w14:textId="4901D5A2" w:rsidR="001C436A" w:rsidRPr="00CB1D16" w:rsidRDefault="001C436A" w:rsidP="001C436A">
            <w:pPr>
              <w:spacing w:before="36" w:after="36"/>
              <w:rPr>
                <w:rFonts w:ascii="Times New Roman" w:eastAsia="Aptos" w:hAnsi="Times New Roman" w:cs="Times New Roman"/>
                <w:sz w:val="20"/>
                <w:szCs w:val="20"/>
              </w:rPr>
            </w:pPr>
            <w:r w:rsidRPr="00F639A3">
              <w:rPr>
                <w:rFonts w:ascii="Times New Roman" w:eastAsia="Aptos" w:hAnsi="Times New Roman" w:cs="Times New Roman"/>
                <w:sz w:val="20"/>
                <w:szCs w:val="20"/>
              </w:rPr>
              <w:t>ENVMGT</w:t>
            </w:r>
          </w:p>
        </w:tc>
        <w:tc>
          <w:tcPr>
            <w:tcW w:w="778" w:type="dxa"/>
          </w:tcPr>
          <w:p w14:paraId="55811AC0"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OA</w:t>
            </w:r>
          </w:p>
        </w:tc>
        <w:tc>
          <w:tcPr>
            <w:tcW w:w="1366" w:type="dxa"/>
          </w:tcPr>
          <w:p w14:paraId="54EC1BDA"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37</w:t>
            </w:r>
          </w:p>
        </w:tc>
        <w:tc>
          <w:tcPr>
            <w:tcW w:w="1231" w:type="dxa"/>
          </w:tcPr>
          <w:p w14:paraId="00F56DD0"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97</w:t>
            </w:r>
          </w:p>
        </w:tc>
        <w:tc>
          <w:tcPr>
            <w:tcW w:w="1502" w:type="dxa"/>
          </w:tcPr>
          <w:p w14:paraId="62828274"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1.05</w:t>
            </w:r>
          </w:p>
        </w:tc>
        <w:tc>
          <w:tcPr>
            <w:tcW w:w="1367" w:type="dxa"/>
          </w:tcPr>
          <w:p w14:paraId="43D37754"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2.77</w:t>
            </w:r>
          </w:p>
        </w:tc>
        <w:tc>
          <w:tcPr>
            <w:tcW w:w="1501" w:type="dxa"/>
          </w:tcPr>
          <w:p w14:paraId="2295B8FE"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2.90**</w:t>
            </w:r>
          </w:p>
        </w:tc>
      </w:tr>
      <w:tr w:rsidR="00DA6CA8" w:rsidRPr="00CB1D16" w14:paraId="078BFD1F" w14:textId="77777777" w:rsidTr="001C436A">
        <w:tc>
          <w:tcPr>
            <w:tcW w:w="1271" w:type="dxa"/>
          </w:tcPr>
          <w:p w14:paraId="02CE8E6E" w14:textId="77777777" w:rsidR="00DA6CA8" w:rsidRPr="001C436A" w:rsidRDefault="00DA6CA8" w:rsidP="00A4359A">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CC</w:t>
            </w:r>
          </w:p>
        </w:tc>
        <w:tc>
          <w:tcPr>
            <w:tcW w:w="778" w:type="dxa"/>
          </w:tcPr>
          <w:p w14:paraId="493AB148" w14:textId="77777777" w:rsidR="00DA6CA8" w:rsidRPr="00447C1A" w:rsidRDefault="00DA6CA8" w:rsidP="00A4359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NAR</w:t>
            </w:r>
          </w:p>
        </w:tc>
        <w:tc>
          <w:tcPr>
            <w:tcW w:w="1366" w:type="dxa"/>
          </w:tcPr>
          <w:p w14:paraId="6BAFEE26" w14:textId="77777777" w:rsidR="00DA6CA8" w:rsidRPr="00447C1A" w:rsidRDefault="00DA6CA8" w:rsidP="00A4359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38</w:t>
            </w:r>
          </w:p>
        </w:tc>
        <w:tc>
          <w:tcPr>
            <w:tcW w:w="1231" w:type="dxa"/>
          </w:tcPr>
          <w:p w14:paraId="5750143A" w14:textId="77777777" w:rsidR="00DA6CA8" w:rsidRPr="00447C1A" w:rsidRDefault="00DA6CA8" w:rsidP="00A4359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122</w:t>
            </w:r>
          </w:p>
        </w:tc>
        <w:tc>
          <w:tcPr>
            <w:tcW w:w="1502" w:type="dxa"/>
          </w:tcPr>
          <w:p w14:paraId="3624C89E" w14:textId="77777777" w:rsidR="00DA6CA8" w:rsidRPr="00447C1A" w:rsidRDefault="00DA6CA8" w:rsidP="00A4359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1.08</w:t>
            </w:r>
          </w:p>
        </w:tc>
        <w:tc>
          <w:tcPr>
            <w:tcW w:w="1367" w:type="dxa"/>
          </w:tcPr>
          <w:p w14:paraId="3C311D2E" w14:textId="77777777" w:rsidR="00DA6CA8" w:rsidRPr="00447C1A" w:rsidRDefault="00DA6CA8" w:rsidP="00A4359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3.48</w:t>
            </w:r>
          </w:p>
        </w:tc>
        <w:tc>
          <w:tcPr>
            <w:tcW w:w="1501" w:type="dxa"/>
          </w:tcPr>
          <w:p w14:paraId="43394800" w14:textId="77777777" w:rsidR="00DA6CA8" w:rsidRPr="00447C1A" w:rsidRDefault="00DA6CA8" w:rsidP="00A4359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3.09**</w:t>
            </w:r>
          </w:p>
        </w:tc>
      </w:tr>
      <w:tr w:rsidR="001C436A" w:rsidRPr="00CB1D16" w14:paraId="7C87C75F" w14:textId="77777777" w:rsidTr="001C436A">
        <w:tc>
          <w:tcPr>
            <w:tcW w:w="1271" w:type="dxa"/>
          </w:tcPr>
          <w:p w14:paraId="207A4EED" w14:textId="3311EDC5" w:rsidR="001C436A" w:rsidRPr="001C436A" w:rsidRDefault="001C436A" w:rsidP="001C436A">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CC</w:t>
            </w:r>
          </w:p>
        </w:tc>
        <w:tc>
          <w:tcPr>
            <w:tcW w:w="778" w:type="dxa"/>
          </w:tcPr>
          <w:p w14:paraId="0F32AA93"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NUM</w:t>
            </w:r>
          </w:p>
        </w:tc>
        <w:tc>
          <w:tcPr>
            <w:tcW w:w="1366" w:type="dxa"/>
          </w:tcPr>
          <w:p w14:paraId="25C68007" w14:textId="391F3E16"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5</w:t>
            </w:r>
          </w:p>
        </w:tc>
        <w:tc>
          <w:tcPr>
            <w:tcW w:w="1231" w:type="dxa"/>
          </w:tcPr>
          <w:p w14:paraId="4B2A4FFA"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35</w:t>
            </w:r>
          </w:p>
        </w:tc>
        <w:tc>
          <w:tcPr>
            <w:tcW w:w="1502" w:type="dxa"/>
          </w:tcPr>
          <w:p w14:paraId="314B15F1"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0.14</w:t>
            </w:r>
          </w:p>
        </w:tc>
        <w:tc>
          <w:tcPr>
            <w:tcW w:w="1367" w:type="dxa"/>
          </w:tcPr>
          <w:p w14:paraId="28959C83"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1.00</w:t>
            </w:r>
          </w:p>
        </w:tc>
        <w:tc>
          <w:tcPr>
            <w:tcW w:w="1501" w:type="dxa"/>
          </w:tcPr>
          <w:p w14:paraId="0EA21EE4"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1.56</w:t>
            </w:r>
          </w:p>
        </w:tc>
      </w:tr>
      <w:tr w:rsidR="001C436A" w:rsidRPr="00CB1D16" w14:paraId="2F29B19F" w14:textId="77777777" w:rsidTr="001C436A">
        <w:tc>
          <w:tcPr>
            <w:tcW w:w="1271" w:type="dxa"/>
          </w:tcPr>
          <w:p w14:paraId="7FF890B4" w14:textId="51DB78B4" w:rsidR="001C436A" w:rsidRPr="001C436A" w:rsidRDefault="001C436A" w:rsidP="001C436A">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CC</w:t>
            </w:r>
          </w:p>
        </w:tc>
        <w:tc>
          <w:tcPr>
            <w:tcW w:w="778" w:type="dxa"/>
          </w:tcPr>
          <w:p w14:paraId="7DD439B4"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P/T</w:t>
            </w:r>
          </w:p>
        </w:tc>
        <w:tc>
          <w:tcPr>
            <w:tcW w:w="1366" w:type="dxa"/>
          </w:tcPr>
          <w:p w14:paraId="51B6B962" w14:textId="287675F1"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0</w:t>
            </w:r>
          </w:p>
        </w:tc>
        <w:tc>
          <w:tcPr>
            <w:tcW w:w="1231" w:type="dxa"/>
          </w:tcPr>
          <w:p w14:paraId="69F2BC57" w14:textId="363DB8E2"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0</w:t>
            </w:r>
          </w:p>
        </w:tc>
        <w:tc>
          <w:tcPr>
            <w:tcW w:w="1502" w:type="dxa"/>
          </w:tcPr>
          <w:p w14:paraId="20304A59"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0.00</w:t>
            </w:r>
          </w:p>
        </w:tc>
        <w:tc>
          <w:tcPr>
            <w:tcW w:w="1367" w:type="dxa"/>
          </w:tcPr>
          <w:p w14:paraId="77A0EBA8"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0.00</w:t>
            </w:r>
          </w:p>
        </w:tc>
        <w:tc>
          <w:tcPr>
            <w:tcW w:w="1501" w:type="dxa"/>
          </w:tcPr>
          <w:p w14:paraId="737D7620" w14:textId="6BE64748" w:rsidR="001C436A" w:rsidRPr="00447C1A" w:rsidRDefault="001C436A" w:rsidP="001C436A">
            <w:pPr>
              <w:spacing w:before="36" w:after="36"/>
              <w:jc w:val="center"/>
              <w:rPr>
                <w:rFonts w:ascii="Times New Roman" w:eastAsia="Aptos" w:hAnsi="Times New Roman" w:cs="Times New Roman"/>
                <w:sz w:val="20"/>
                <w:szCs w:val="20"/>
              </w:rPr>
            </w:pPr>
            <w:r>
              <w:rPr>
                <w:rFonts w:ascii="Times New Roman" w:eastAsia="Aptos" w:hAnsi="Times New Roman" w:cs="Times New Roman"/>
                <w:sz w:val="20"/>
                <w:szCs w:val="20"/>
              </w:rPr>
              <w:t>0.00</w:t>
            </w:r>
          </w:p>
        </w:tc>
      </w:tr>
      <w:tr w:rsidR="001C436A" w:rsidRPr="00CB1D16" w14:paraId="3D6FA0DE" w14:textId="77777777" w:rsidTr="001C436A">
        <w:tc>
          <w:tcPr>
            <w:tcW w:w="1271" w:type="dxa"/>
          </w:tcPr>
          <w:p w14:paraId="6D8FEE4F" w14:textId="6BB27EEF" w:rsidR="001C436A" w:rsidRPr="001C436A" w:rsidRDefault="001C436A" w:rsidP="001C436A">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CC</w:t>
            </w:r>
          </w:p>
        </w:tc>
        <w:tc>
          <w:tcPr>
            <w:tcW w:w="778" w:type="dxa"/>
          </w:tcPr>
          <w:p w14:paraId="45B64CD4"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OA</w:t>
            </w:r>
          </w:p>
        </w:tc>
        <w:tc>
          <w:tcPr>
            <w:tcW w:w="1366" w:type="dxa"/>
          </w:tcPr>
          <w:p w14:paraId="7DAE2BDE"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38</w:t>
            </w:r>
          </w:p>
        </w:tc>
        <w:tc>
          <w:tcPr>
            <w:tcW w:w="1231" w:type="dxa"/>
          </w:tcPr>
          <w:p w14:paraId="1DD5CF19"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122</w:t>
            </w:r>
          </w:p>
        </w:tc>
        <w:tc>
          <w:tcPr>
            <w:tcW w:w="1502" w:type="dxa"/>
          </w:tcPr>
          <w:p w14:paraId="2E76B7D7"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1.08</w:t>
            </w:r>
          </w:p>
        </w:tc>
        <w:tc>
          <w:tcPr>
            <w:tcW w:w="1367" w:type="dxa"/>
          </w:tcPr>
          <w:p w14:paraId="1B779111"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3.48</w:t>
            </w:r>
          </w:p>
        </w:tc>
        <w:tc>
          <w:tcPr>
            <w:tcW w:w="1501" w:type="dxa"/>
          </w:tcPr>
          <w:p w14:paraId="55050A79"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3.48</w:t>
            </w:r>
          </w:p>
        </w:tc>
      </w:tr>
      <w:tr w:rsidR="00DA6CA8" w:rsidRPr="00CB1D16" w14:paraId="48225C6A" w14:textId="77777777" w:rsidTr="001C436A">
        <w:tc>
          <w:tcPr>
            <w:tcW w:w="1271" w:type="dxa"/>
          </w:tcPr>
          <w:p w14:paraId="7E7B477A" w14:textId="77777777" w:rsidR="00DA6CA8" w:rsidRPr="001C436A" w:rsidRDefault="00DA6CA8" w:rsidP="00A4359A">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ECO</w:t>
            </w:r>
          </w:p>
        </w:tc>
        <w:tc>
          <w:tcPr>
            <w:tcW w:w="778" w:type="dxa"/>
          </w:tcPr>
          <w:p w14:paraId="5A720390" w14:textId="77777777" w:rsidR="00DA6CA8" w:rsidRPr="00503AD0" w:rsidRDefault="00DA6CA8" w:rsidP="00A4359A">
            <w:pPr>
              <w:spacing w:before="36" w:after="36"/>
              <w:jc w:val="center"/>
              <w:rPr>
                <w:rFonts w:ascii="Times New Roman" w:eastAsia="Aptos" w:hAnsi="Times New Roman" w:cs="Times New Roman"/>
                <w:sz w:val="20"/>
                <w:szCs w:val="20"/>
              </w:rPr>
            </w:pPr>
            <w:r w:rsidRPr="00503AD0">
              <w:rPr>
                <w:rFonts w:ascii="Times New Roman" w:eastAsia="Aptos" w:hAnsi="Times New Roman" w:cs="Times New Roman"/>
                <w:sz w:val="20"/>
                <w:szCs w:val="20"/>
              </w:rPr>
              <w:t>NAR</w:t>
            </w:r>
          </w:p>
        </w:tc>
        <w:tc>
          <w:tcPr>
            <w:tcW w:w="1366" w:type="dxa"/>
          </w:tcPr>
          <w:p w14:paraId="62FF890C" w14:textId="77777777" w:rsidR="00DA6CA8" w:rsidRPr="00503AD0" w:rsidRDefault="00DA6CA8" w:rsidP="00A4359A">
            <w:pPr>
              <w:spacing w:before="36" w:after="36"/>
              <w:jc w:val="center"/>
              <w:rPr>
                <w:rFonts w:ascii="Times New Roman" w:eastAsia="Aptos" w:hAnsi="Times New Roman" w:cs="Times New Roman"/>
                <w:sz w:val="20"/>
                <w:szCs w:val="20"/>
              </w:rPr>
            </w:pPr>
            <w:r w:rsidRPr="00503AD0">
              <w:rPr>
                <w:rFonts w:ascii="Times New Roman" w:eastAsia="Aptos" w:hAnsi="Times New Roman" w:cs="Times New Roman"/>
                <w:sz w:val="20"/>
                <w:szCs w:val="20"/>
              </w:rPr>
              <w:t>122</w:t>
            </w:r>
          </w:p>
        </w:tc>
        <w:tc>
          <w:tcPr>
            <w:tcW w:w="1231" w:type="dxa"/>
          </w:tcPr>
          <w:p w14:paraId="0039741E" w14:textId="77777777" w:rsidR="00DA6CA8" w:rsidRPr="00503AD0" w:rsidRDefault="00DA6CA8" w:rsidP="00A4359A">
            <w:pPr>
              <w:spacing w:before="36" w:after="36"/>
              <w:jc w:val="center"/>
              <w:rPr>
                <w:rFonts w:ascii="Times New Roman" w:eastAsia="Aptos" w:hAnsi="Times New Roman" w:cs="Times New Roman"/>
                <w:sz w:val="20"/>
                <w:szCs w:val="20"/>
              </w:rPr>
            </w:pPr>
            <w:r w:rsidRPr="00503AD0">
              <w:rPr>
                <w:rFonts w:ascii="Times New Roman" w:eastAsia="Aptos" w:hAnsi="Times New Roman" w:cs="Times New Roman"/>
                <w:sz w:val="20"/>
                <w:szCs w:val="20"/>
              </w:rPr>
              <w:t>174</w:t>
            </w:r>
          </w:p>
        </w:tc>
        <w:tc>
          <w:tcPr>
            <w:tcW w:w="1502" w:type="dxa"/>
          </w:tcPr>
          <w:p w14:paraId="372865CF" w14:textId="77777777" w:rsidR="00DA6CA8" w:rsidRPr="00503AD0" w:rsidRDefault="00DA6CA8" w:rsidP="00A4359A">
            <w:pPr>
              <w:spacing w:before="36" w:after="36"/>
              <w:jc w:val="center"/>
              <w:rPr>
                <w:rFonts w:ascii="Times New Roman" w:eastAsia="Aptos" w:hAnsi="Times New Roman" w:cs="Times New Roman"/>
                <w:sz w:val="20"/>
                <w:szCs w:val="20"/>
              </w:rPr>
            </w:pPr>
            <w:r w:rsidRPr="00503AD0">
              <w:rPr>
                <w:rFonts w:ascii="Times New Roman" w:eastAsia="Aptos" w:hAnsi="Times New Roman" w:cs="Times New Roman"/>
                <w:sz w:val="20"/>
                <w:szCs w:val="20"/>
              </w:rPr>
              <w:t>3.48</w:t>
            </w:r>
          </w:p>
        </w:tc>
        <w:tc>
          <w:tcPr>
            <w:tcW w:w="1367" w:type="dxa"/>
          </w:tcPr>
          <w:p w14:paraId="23D697E9" w14:textId="77777777" w:rsidR="00DA6CA8" w:rsidRPr="00503AD0" w:rsidRDefault="00DA6CA8" w:rsidP="00A4359A">
            <w:pPr>
              <w:spacing w:before="36" w:after="36"/>
              <w:jc w:val="center"/>
              <w:rPr>
                <w:rFonts w:ascii="Times New Roman" w:eastAsia="Aptos" w:hAnsi="Times New Roman" w:cs="Times New Roman"/>
                <w:sz w:val="20"/>
                <w:szCs w:val="20"/>
              </w:rPr>
            </w:pPr>
            <w:r w:rsidRPr="00503AD0">
              <w:rPr>
                <w:rFonts w:ascii="Times New Roman" w:eastAsia="Aptos" w:hAnsi="Times New Roman" w:cs="Times New Roman"/>
                <w:sz w:val="20"/>
                <w:szCs w:val="20"/>
              </w:rPr>
              <w:t>4.97</w:t>
            </w:r>
          </w:p>
        </w:tc>
        <w:tc>
          <w:tcPr>
            <w:tcW w:w="1501" w:type="dxa"/>
          </w:tcPr>
          <w:p w14:paraId="7A8E821C" w14:textId="77777777" w:rsidR="00DA6CA8" w:rsidRPr="00503AD0" w:rsidRDefault="00DA6CA8" w:rsidP="00A4359A">
            <w:pPr>
              <w:spacing w:before="36" w:after="36"/>
              <w:jc w:val="center"/>
              <w:rPr>
                <w:rFonts w:ascii="Times New Roman" w:eastAsia="Aptos" w:hAnsi="Times New Roman" w:cs="Times New Roman"/>
                <w:sz w:val="20"/>
                <w:szCs w:val="20"/>
              </w:rPr>
            </w:pPr>
            <w:r w:rsidRPr="00503AD0">
              <w:rPr>
                <w:rFonts w:ascii="Times New Roman" w:eastAsia="Aptos" w:hAnsi="Times New Roman" w:cs="Times New Roman"/>
                <w:sz w:val="20"/>
                <w:szCs w:val="20"/>
              </w:rPr>
              <w:t>0.78</w:t>
            </w:r>
          </w:p>
        </w:tc>
      </w:tr>
      <w:tr w:rsidR="001C436A" w:rsidRPr="00CB1D16" w14:paraId="755613B4" w14:textId="77777777" w:rsidTr="001C436A">
        <w:tc>
          <w:tcPr>
            <w:tcW w:w="1271" w:type="dxa"/>
          </w:tcPr>
          <w:p w14:paraId="69402C3E" w14:textId="22717A8D" w:rsidR="001C436A" w:rsidRPr="001C436A" w:rsidRDefault="001C436A" w:rsidP="001C436A">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ECO</w:t>
            </w:r>
          </w:p>
        </w:tc>
        <w:tc>
          <w:tcPr>
            <w:tcW w:w="778" w:type="dxa"/>
          </w:tcPr>
          <w:p w14:paraId="5DEE2947" w14:textId="77777777" w:rsidR="001C436A" w:rsidRPr="00503AD0" w:rsidRDefault="001C436A" w:rsidP="001C436A">
            <w:pPr>
              <w:spacing w:before="36" w:after="36"/>
              <w:jc w:val="center"/>
              <w:rPr>
                <w:rFonts w:ascii="Times New Roman" w:eastAsia="Aptos" w:hAnsi="Times New Roman" w:cs="Times New Roman"/>
                <w:sz w:val="20"/>
                <w:szCs w:val="20"/>
              </w:rPr>
            </w:pPr>
            <w:r w:rsidRPr="00503AD0">
              <w:rPr>
                <w:rFonts w:ascii="Times New Roman" w:eastAsia="Aptos" w:hAnsi="Times New Roman" w:cs="Times New Roman"/>
                <w:sz w:val="20"/>
                <w:szCs w:val="20"/>
              </w:rPr>
              <w:t>NUM</w:t>
            </w:r>
          </w:p>
        </w:tc>
        <w:tc>
          <w:tcPr>
            <w:tcW w:w="1366" w:type="dxa"/>
          </w:tcPr>
          <w:p w14:paraId="14B27212" w14:textId="77777777" w:rsidR="001C436A" w:rsidRPr="00503AD0" w:rsidRDefault="001C436A" w:rsidP="001C436A">
            <w:pPr>
              <w:spacing w:before="36" w:after="36"/>
              <w:jc w:val="both"/>
              <w:rPr>
                <w:rFonts w:ascii="Times New Roman" w:eastAsia="Aptos" w:hAnsi="Times New Roman" w:cs="Times New Roman"/>
                <w:sz w:val="20"/>
                <w:szCs w:val="20"/>
              </w:rPr>
            </w:pPr>
            <w:r w:rsidRPr="00503AD0">
              <w:rPr>
                <w:rFonts w:ascii="Times New Roman" w:eastAsia="Aptos" w:hAnsi="Times New Roman" w:cs="Times New Roman"/>
                <w:sz w:val="20"/>
                <w:szCs w:val="20"/>
              </w:rPr>
              <w:t xml:space="preserve">         38</w:t>
            </w:r>
          </w:p>
        </w:tc>
        <w:tc>
          <w:tcPr>
            <w:tcW w:w="1231" w:type="dxa"/>
          </w:tcPr>
          <w:p w14:paraId="1CCED7E2" w14:textId="77777777" w:rsidR="001C436A" w:rsidRPr="00503AD0" w:rsidRDefault="001C436A" w:rsidP="001C436A">
            <w:pPr>
              <w:spacing w:before="36" w:after="36"/>
              <w:jc w:val="center"/>
              <w:rPr>
                <w:rFonts w:ascii="Times New Roman" w:eastAsia="Aptos" w:hAnsi="Times New Roman" w:cs="Times New Roman"/>
                <w:sz w:val="20"/>
                <w:szCs w:val="20"/>
              </w:rPr>
            </w:pPr>
            <w:r w:rsidRPr="00503AD0">
              <w:rPr>
                <w:rFonts w:ascii="Times New Roman" w:eastAsia="Aptos" w:hAnsi="Times New Roman" w:cs="Times New Roman"/>
                <w:sz w:val="20"/>
                <w:szCs w:val="20"/>
              </w:rPr>
              <w:t>55</w:t>
            </w:r>
          </w:p>
        </w:tc>
        <w:tc>
          <w:tcPr>
            <w:tcW w:w="1502" w:type="dxa"/>
          </w:tcPr>
          <w:p w14:paraId="463CCD8C" w14:textId="4BB35D4E" w:rsidR="001C436A" w:rsidRPr="00503AD0" w:rsidRDefault="001C436A" w:rsidP="001C436A">
            <w:pPr>
              <w:spacing w:before="36" w:after="36"/>
              <w:jc w:val="center"/>
              <w:rPr>
                <w:rFonts w:ascii="Times New Roman" w:eastAsia="Aptos" w:hAnsi="Times New Roman" w:cs="Times New Roman"/>
                <w:sz w:val="20"/>
                <w:szCs w:val="20"/>
              </w:rPr>
            </w:pPr>
            <w:r w:rsidRPr="00503AD0">
              <w:rPr>
                <w:rFonts w:ascii="Times New Roman" w:eastAsia="Aptos" w:hAnsi="Times New Roman" w:cs="Times New Roman"/>
                <w:sz w:val="20"/>
                <w:szCs w:val="20"/>
              </w:rPr>
              <w:t>1.08</w:t>
            </w:r>
          </w:p>
        </w:tc>
        <w:tc>
          <w:tcPr>
            <w:tcW w:w="1367" w:type="dxa"/>
          </w:tcPr>
          <w:p w14:paraId="25A64289" w14:textId="77777777" w:rsidR="001C436A" w:rsidRPr="00503AD0" w:rsidRDefault="001C436A" w:rsidP="001C436A">
            <w:pPr>
              <w:spacing w:before="36" w:after="36"/>
              <w:jc w:val="center"/>
              <w:rPr>
                <w:rFonts w:ascii="Times New Roman" w:eastAsia="Aptos" w:hAnsi="Times New Roman" w:cs="Times New Roman"/>
                <w:sz w:val="20"/>
                <w:szCs w:val="20"/>
              </w:rPr>
            </w:pPr>
            <w:r w:rsidRPr="00503AD0">
              <w:rPr>
                <w:rFonts w:ascii="Times New Roman" w:eastAsia="Aptos" w:hAnsi="Times New Roman" w:cs="Times New Roman"/>
                <w:sz w:val="20"/>
                <w:szCs w:val="20"/>
              </w:rPr>
              <w:t>1.57</w:t>
            </w:r>
          </w:p>
        </w:tc>
        <w:tc>
          <w:tcPr>
            <w:tcW w:w="1501" w:type="dxa"/>
          </w:tcPr>
          <w:p w14:paraId="765350F7" w14:textId="77777777" w:rsidR="001C436A" w:rsidRPr="00503AD0" w:rsidRDefault="001C436A" w:rsidP="001C436A">
            <w:pPr>
              <w:spacing w:before="36" w:after="36"/>
              <w:jc w:val="center"/>
              <w:rPr>
                <w:rFonts w:ascii="Times New Roman" w:eastAsia="Aptos" w:hAnsi="Times New Roman" w:cs="Times New Roman"/>
                <w:sz w:val="20"/>
                <w:szCs w:val="20"/>
              </w:rPr>
            </w:pPr>
            <w:r w:rsidRPr="00503AD0">
              <w:rPr>
                <w:rFonts w:ascii="Times New Roman" w:eastAsia="Aptos" w:hAnsi="Times New Roman" w:cs="Times New Roman"/>
                <w:sz w:val="20"/>
                <w:szCs w:val="20"/>
              </w:rPr>
              <w:t>0.53</w:t>
            </w:r>
          </w:p>
        </w:tc>
      </w:tr>
      <w:tr w:rsidR="001C436A" w:rsidRPr="00CB1D16" w14:paraId="5DF64AC6" w14:textId="77777777" w:rsidTr="001C436A">
        <w:tc>
          <w:tcPr>
            <w:tcW w:w="1271" w:type="dxa"/>
          </w:tcPr>
          <w:p w14:paraId="023EE9E3" w14:textId="7677396D" w:rsidR="001C436A" w:rsidRPr="001C436A" w:rsidRDefault="001C436A" w:rsidP="001C436A">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ECO</w:t>
            </w:r>
          </w:p>
        </w:tc>
        <w:tc>
          <w:tcPr>
            <w:tcW w:w="778" w:type="dxa"/>
          </w:tcPr>
          <w:p w14:paraId="429F68EE"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P/T</w:t>
            </w:r>
          </w:p>
        </w:tc>
        <w:tc>
          <w:tcPr>
            <w:tcW w:w="1366" w:type="dxa"/>
          </w:tcPr>
          <w:p w14:paraId="78894688"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0</w:t>
            </w:r>
          </w:p>
        </w:tc>
        <w:tc>
          <w:tcPr>
            <w:tcW w:w="1231" w:type="dxa"/>
          </w:tcPr>
          <w:p w14:paraId="4563B89B"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0</w:t>
            </w:r>
          </w:p>
        </w:tc>
        <w:tc>
          <w:tcPr>
            <w:tcW w:w="1502" w:type="dxa"/>
          </w:tcPr>
          <w:p w14:paraId="1DADED0D" w14:textId="4086BDB3"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0</w:t>
            </w:r>
            <w:r>
              <w:rPr>
                <w:rFonts w:ascii="Times New Roman" w:eastAsia="Aptos" w:hAnsi="Times New Roman" w:cs="Times New Roman"/>
                <w:sz w:val="20"/>
                <w:szCs w:val="20"/>
              </w:rPr>
              <w:t>.00</w:t>
            </w:r>
          </w:p>
        </w:tc>
        <w:tc>
          <w:tcPr>
            <w:tcW w:w="1367" w:type="dxa"/>
          </w:tcPr>
          <w:p w14:paraId="346BBDED" w14:textId="5D62927D"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0</w:t>
            </w:r>
            <w:r>
              <w:rPr>
                <w:rFonts w:ascii="Times New Roman" w:eastAsia="Aptos" w:hAnsi="Times New Roman" w:cs="Times New Roman"/>
                <w:sz w:val="20"/>
                <w:szCs w:val="20"/>
              </w:rPr>
              <w:t>.00</w:t>
            </w:r>
          </w:p>
        </w:tc>
        <w:tc>
          <w:tcPr>
            <w:tcW w:w="1501" w:type="dxa"/>
          </w:tcPr>
          <w:p w14:paraId="2461FB66" w14:textId="244EF8F0" w:rsidR="001C436A" w:rsidRPr="00447C1A" w:rsidRDefault="001C436A" w:rsidP="001C436A">
            <w:pPr>
              <w:spacing w:before="36" w:after="36"/>
              <w:jc w:val="center"/>
              <w:rPr>
                <w:rFonts w:ascii="Times New Roman" w:eastAsia="Aptos" w:hAnsi="Times New Roman" w:cs="Times New Roman"/>
                <w:sz w:val="20"/>
                <w:szCs w:val="20"/>
              </w:rPr>
            </w:pPr>
            <w:r>
              <w:rPr>
                <w:rFonts w:ascii="Times New Roman" w:eastAsia="Aptos" w:hAnsi="Times New Roman" w:cs="Times New Roman"/>
                <w:sz w:val="20"/>
                <w:szCs w:val="20"/>
              </w:rPr>
              <w:t>0.00</w:t>
            </w:r>
          </w:p>
        </w:tc>
      </w:tr>
      <w:tr w:rsidR="001C436A" w:rsidRPr="00CB1D16" w14:paraId="043136A7" w14:textId="77777777" w:rsidTr="001C436A">
        <w:tc>
          <w:tcPr>
            <w:tcW w:w="1271" w:type="dxa"/>
          </w:tcPr>
          <w:p w14:paraId="4C9F7C26" w14:textId="56E3125E" w:rsidR="001C436A" w:rsidRPr="001C436A" w:rsidRDefault="001C436A" w:rsidP="001C436A">
            <w:pPr>
              <w:spacing w:before="36" w:after="36"/>
              <w:rPr>
                <w:rFonts w:ascii="Times New Roman" w:eastAsia="Aptos" w:hAnsi="Times New Roman" w:cs="Times New Roman"/>
                <w:sz w:val="20"/>
                <w:szCs w:val="20"/>
              </w:rPr>
            </w:pPr>
            <w:r w:rsidRPr="001C436A">
              <w:rPr>
                <w:rFonts w:ascii="Times New Roman" w:eastAsia="Aptos" w:hAnsi="Times New Roman" w:cs="Times New Roman"/>
                <w:sz w:val="20"/>
                <w:szCs w:val="20"/>
              </w:rPr>
              <w:t>ECO</w:t>
            </w:r>
          </w:p>
        </w:tc>
        <w:tc>
          <w:tcPr>
            <w:tcW w:w="778" w:type="dxa"/>
          </w:tcPr>
          <w:p w14:paraId="1D6A9F10"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OA</w:t>
            </w:r>
          </w:p>
        </w:tc>
        <w:tc>
          <w:tcPr>
            <w:tcW w:w="1366" w:type="dxa"/>
          </w:tcPr>
          <w:p w14:paraId="1E64F9D0"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122</w:t>
            </w:r>
          </w:p>
        </w:tc>
        <w:tc>
          <w:tcPr>
            <w:tcW w:w="1231" w:type="dxa"/>
          </w:tcPr>
          <w:p w14:paraId="22D0619A"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174</w:t>
            </w:r>
          </w:p>
        </w:tc>
        <w:tc>
          <w:tcPr>
            <w:tcW w:w="1502" w:type="dxa"/>
          </w:tcPr>
          <w:p w14:paraId="2F3D1DE6"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3.48</w:t>
            </w:r>
          </w:p>
        </w:tc>
        <w:tc>
          <w:tcPr>
            <w:tcW w:w="1367" w:type="dxa"/>
          </w:tcPr>
          <w:p w14:paraId="56B0C8EF"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4.97</w:t>
            </w:r>
          </w:p>
        </w:tc>
        <w:tc>
          <w:tcPr>
            <w:tcW w:w="1501" w:type="dxa"/>
          </w:tcPr>
          <w:p w14:paraId="5719647F" w14:textId="77777777" w:rsidR="001C436A" w:rsidRPr="00447C1A" w:rsidRDefault="001C436A" w:rsidP="001C436A">
            <w:pPr>
              <w:spacing w:before="36" w:after="36"/>
              <w:jc w:val="center"/>
              <w:rPr>
                <w:rFonts w:ascii="Times New Roman" w:eastAsia="Aptos" w:hAnsi="Times New Roman" w:cs="Times New Roman"/>
                <w:sz w:val="20"/>
                <w:szCs w:val="20"/>
              </w:rPr>
            </w:pPr>
            <w:r w:rsidRPr="00447C1A">
              <w:rPr>
                <w:rFonts w:ascii="Times New Roman" w:eastAsia="Aptos" w:hAnsi="Times New Roman" w:cs="Times New Roman"/>
                <w:sz w:val="20"/>
                <w:szCs w:val="20"/>
              </w:rPr>
              <w:t>0.78</w:t>
            </w:r>
          </w:p>
        </w:tc>
      </w:tr>
      <w:tr w:rsidR="00DA6CA8" w:rsidRPr="00CB1D16" w14:paraId="1326F7E3" w14:textId="77777777" w:rsidTr="001C436A">
        <w:tc>
          <w:tcPr>
            <w:tcW w:w="1271" w:type="dxa"/>
          </w:tcPr>
          <w:p w14:paraId="6F0A6853" w14:textId="77777777" w:rsidR="00DA6CA8" w:rsidRPr="00CB1D16" w:rsidRDefault="00DA6CA8" w:rsidP="00A4359A">
            <w:pPr>
              <w:spacing w:before="36" w:after="36"/>
              <w:rPr>
                <w:rFonts w:ascii="Times New Roman" w:eastAsia="Aptos" w:hAnsi="Times New Roman" w:cs="Times New Roman"/>
                <w:sz w:val="20"/>
                <w:szCs w:val="20"/>
              </w:rPr>
            </w:pPr>
            <w:r>
              <w:rPr>
                <w:rFonts w:ascii="Times New Roman" w:eastAsia="Aptos" w:hAnsi="Times New Roman" w:cs="Times New Roman"/>
                <w:sz w:val="20"/>
                <w:szCs w:val="20"/>
              </w:rPr>
              <w:t>TOTAL</w:t>
            </w:r>
          </w:p>
        </w:tc>
        <w:tc>
          <w:tcPr>
            <w:tcW w:w="778" w:type="dxa"/>
          </w:tcPr>
          <w:p w14:paraId="7D51392D" w14:textId="77777777" w:rsidR="00DA6CA8" w:rsidRPr="004F7035" w:rsidRDefault="00DA6CA8" w:rsidP="00A4359A">
            <w:pPr>
              <w:spacing w:before="36" w:after="36"/>
              <w:jc w:val="center"/>
              <w:rPr>
                <w:rFonts w:ascii="Times New Roman" w:eastAsia="Aptos" w:hAnsi="Times New Roman" w:cs="Times New Roman"/>
                <w:sz w:val="20"/>
                <w:szCs w:val="20"/>
              </w:rPr>
            </w:pPr>
            <w:r w:rsidRPr="004F7035">
              <w:rPr>
                <w:rFonts w:ascii="Times New Roman" w:eastAsia="Aptos" w:hAnsi="Times New Roman" w:cs="Times New Roman"/>
                <w:sz w:val="20"/>
                <w:szCs w:val="20"/>
              </w:rPr>
              <w:t>NAR</w:t>
            </w:r>
          </w:p>
        </w:tc>
        <w:tc>
          <w:tcPr>
            <w:tcW w:w="1366" w:type="dxa"/>
          </w:tcPr>
          <w:p w14:paraId="300B6B76" w14:textId="77777777" w:rsidR="00DA6CA8" w:rsidRPr="004F7035" w:rsidRDefault="00DA6CA8" w:rsidP="00A4359A">
            <w:pPr>
              <w:spacing w:before="36" w:after="36"/>
              <w:jc w:val="center"/>
              <w:rPr>
                <w:rFonts w:ascii="Times New Roman" w:eastAsia="Aptos" w:hAnsi="Times New Roman" w:cs="Times New Roman"/>
                <w:sz w:val="20"/>
                <w:szCs w:val="20"/>
              </w:rPr>
            </w:pPr>
            <w:r w:rsidRPr="004F7035">
              <w:rPr>
                <w:rFonts w:ascii="Times New Roman" w:eastAsia="Aptos" w:hAnsi="Times New Roman" w:cs="Times New Roman"/>
                <w:sz w:val="20"/>
                <w:szCs w:val="20"/>
              </w:rPr>
              <w:t>197</w:t>
            </w:r>
          </w:p>
        </w:tc>
        <w:tc>
          <w:tcPr>
            <w:tcW w:w="1231" w:type="dxa"/>
          </w:tcPr>
          <w:p w14:paraId="412647F0" w14:textId="77777777" w:rsidR="00DA6CA8" w:rsidRPr="004F7035" w:rsidRDefault="00DA6CA8" w:rsidP="00A4359A">
            <w:pPr>
              <w:spacing w:before="36" w:after="36"/>
              <w:jc w:val="center"/>
              <w:rPr>
                <w:rFonts w:ascii="Times New Roman" w:eastAsia="Aptos" w:hAnsi="Times New Roman" w:cs="Times New Roman"/>
                <w:sz w:val="20"/>
                <w:szCs w:val="20"/>
              </w:rPr>
            </w:pPr>
            <w:r w:rsidRPr="004F7035">
              <w:rPr>
                <w:rFonts w:ascii="Times New Roman" w:eastAsia="Aptos" w:hAnsi="Times New Roman" w:cs="Times New Roman"/>
                <w:sz w:val="20"/>
                <w:szCs w:val="20"/>
              </w:rPr>
              <w:t>393</w:t>
            </w:r>
          </w:p>
        </w:tc>
        <w:tc>
          <w:tcPr>
            <w:tcW w:w="1502" w:type="dxa"/>
          </w:tcPr>
          <w:p w14:paraId="74A29342" w14:textId="77777777" w:rsidR="00DA6CA8" w:rsidRPr="00CB1D16" w:rsidRDefault="00DA6CA8" w:rsidP="00A4359A">
            <w:pPr>
              <w:spacing w:before="36" w:after="36"/>
              <w:jc w:val="center"/>
              <w:rPr>
                <w:rFonts w:ascii="Times New Roman" w:eastAsia="Aptos" w:hAnsi="Times New Roman" w:cs="Times New Roman"/>
                <w:sz w:val="20"/>
                <w:szCs w:val="20"/>
              </w:rPr>
            </w:pPr>
            <w:r w:rsidRPr="00350ED1">
              <w:rPr>
                <w:rFonts w:ascii="Times New Roman" w:eastAsia="Aptos" w:hAnsi="Times New Roman" w:cs="Times New Roman"/>
                <w:sz w:val="20"/>
                <w:szCs w:val="20"/>
              </w:rPr>
              <w:t>5.62</w:t>
            </w:r>
          </w:p>
        </w:tc>
        <w:tc>
          <w:tcPr>
            <w:tcW w:w="1367" w:type="dxa"/>
          </w:tcPr>
          <w:p w14:paraId="1BF83959" w14:textId="77777777" w:rsidR="00DA6CA8" w:rsidRPr="00CB1D16" w:rsidRDefault="00DA6CA8" w:rsidP="00A4359A">
            <w:pPr>
              <w:spacing w:before="36" w:after="36"/>
              <w:jc w:val="center"/>
              <w:rPr>
                <w:rFonts w:ascii="Times New Roman" w:eastAsia="Aptos" w:hAnsi="Times New Roman" w:cs="Times New Roman"/>
                <w:sz w:val="20"/>
                <w:szCs w:val="20"/>
              </w:rPr>
            </w:pPr>
            <w:r w:rsidRPr="00350ED1">
              <w:rPr>
                <w:rFonts w:ascii="Times New Roman" w:eastAsia="Aptos" w:hAnsi="Times New Roman" w:cs="Times New Roman"/>
                <w:sz w:val="20"/>
                <w:szCs w:val="20"/>
              </w:rPr>
              <w:t>11.22</w:t>
            </w:r>
          </w:p>
        </w:tc>
        <w:tc>
          <w:tcPr>
            <w:tcW w:w="1501" w:type="dxa"/>
          </w:tcPr>
          <w:p w14:paraId="1CBCD43D" w14:textId="77777777" w:rsidR="00DA6CA8" w:rsidRPr="00CB1D16" w:rsidRDefault="00DA6CA8" w:rsidP="00A4359A">
            <w:pPr>
              <w:spacing w:before="36" w:after="36"/>
              <w:jc w:val="both"/>
              <w:rPr>
                <w:rFonts w:ascii="Times New Roman" w:eastAsia="Aptos" w:hAnsi="Times New Roman" w:cs="Times New Roman"/>
                <w:sz w:val="20"/>
                <w:szCs w:val="20"/>
              </w:rPr>
            </w:pPr>
            <w:r>
              <w:rPr>
                <w:rFonts w:ascii="Times New Roman" w:eastAsia="Aptos" w:hAnsi="Times New Roman" w:cs="Times New Roman"/>
                <w:sz w:val="20"/>
                <w:szCs w:val="20"/>
              </w:rPr>
              <w:t xml:space="preserve">        </w:t>
            </w:r>
            <w:r w:rsidRPr="00350ED1">
              <w:rPr>
                <w:rFonts w:ascii="Times New Roman" w:eastAsia="Aptos" w:hAnsi="Times New Roman" w:cs="Times New Roman"/>
                <w:sz w:val="20"/>
                <w:szCs w:val="20"/>
              </w:rPr>
              <w:t>2.09</w:t>
            </w:r>
            <w:r>
              <w:rPr>
                <w:rFonts w:ascii="Times New Roman" w:eastAsia="Aptos" w:hAnsi="Times New Roman" w:cs="Times New Roman"/>
                <w:sz w:val="20"/>
                <w:szCs w:val="20"/>
              </w:rPr>
              <w:t>**</w:t>
            </w:r>
          </w:p>
        </w:tc>
      </w:tr>
      <w:tr w:rsidR="00DA6CA8" w:rsidRPr="00CB1D16" w14:paraId="30CCE5D7" w14:textId="77777777" w:rsidTr="001C436A">
        <w:tc>
          <w:tcPr>
            <w:tcW w:w="1271" w:type="dxa"/>
          </w:tcPr>
          <w:p w14:paraId="59007D21" w14:textId="77777777" w:rsidR="00DA6CA8" w:rsidRPr="00CB1D16" w:rsidRDefault="00DA6CA8" w:rsidP="00A4359A">
            <w:pPr>
              <w:spacing w:before="36" w:after="36"/>
              <w:rPr>
                <w:rFonts w:ascii="Times New Roman" w:eastAsia="Aptos" w:hAnsi="Times New Roman" w:cs="Times New Roman"/>
                <w:sz w:val="20"/>
                <w:szCs w:val="20"/>
              </w:rPr>
            </w:pPr>
            <w:r>
              <w:rPr>
                <w:rFonts w:ascii="Times New Roman" w:eastAsia="Aptos" w:hAnsi="Times New Roman" w:cs="Times New Roman"/>
                <w:sz w:val="20"/>
                <w:szCs w:val="20"/>
              </w:rPr>
              <w:t>TOTAL</w:t>
            </w:r>
          </w:p>
        </w:tc>
        <w:tc>
          <w:tcPr>
            <w:tcW w:w="778" w:type="dxa"/>
          </w:tcPr>
          <w:p w14:paraId="02CD47A3" w14:textId="77777777" w:rsidR="00DA6CA8" w:rsidRPr="004F7035" w:rsidRDefault="00DA6CA8" w:rsidP="00A4359A">
            <w:pPr>
              <w:spacing w:before="36" w:after="36"/>
              <w:jc w:val="center"/>
              <w:rPr>
                <w:rFonts w:ascii="Times New Roman" w:eastAsia="Aptos" w:hAnsi="Times New Roman" w:cs="Times New Roman"/>
                <w:sz w:val="20"/>
                <w:szCs w:val="20"/>
              </w:rPr>
            </w:pPr>
            <w:r w:rsidRPr="004F7035">
              <w:rPr>
                <w:rFonts w:ascii="Times New Roman" w:eastAsia="Aptos" w:hAnsi="Times New Roman" w:cs="Times New Roman"/>
                <w:sz w:val="20"/>
                <w:szCs w:val="20"/>
              </w:rPr>
              <w:t>NUM</w:t>
            </w:r>
          </w:p>
        </w:tc>
        <w:tc>
          <w:tcPr>
            <w:tcW w:w="1366" w:type="dxa"/>
          </w:tcPr>
          <w:p w14:paraId="1841FA3B" w14:textId="77777777" w:rsidR="00DA6CA8" w:rsidRPr="004F7035" w:rsidRDefault="00DA6CA8" w:rsidP="00A4359A">
            <w:pPr>
              <w:spacing w:before="36" w:after="36"/>
              <w:jc w:val="center"/>
              <w:rPr>
                <w:rFonts w:ascii="Times New Roman" w:eastAsia="Aptos" w:hAnsi="Times New Roman" w:cs="Times New Roman"/>
                <w:sz w:val="20"/>
                <w:szCs w:val="20"/>
              </w:rPr>
            </w:pPr>
            <w:r w:rsidRPr="004F7035">
              <w:rPr>
                <w:rFonts w:ascii="Times New Roman" w:eastAsia="Aptos" w:hAnsi="Times New Roman" w:cs="Times New Roman"/>
                <w:sz w:val="20"/>
                <w:szCs w:val="20"/>
              </w:rPr>
              <w:t>56</w:t>
            </w:r>
          </w:p>
        </w:tc>
        <w:tc>
          <w:tcPr>
            <w:tcW w:w="1231" w:type="dxa"/>
          </w:tcPr>
          <w:p w14:paraId="36295DE3" w14:textId="77777777" w:rsidR="00DA6CA8" w:rsidRPr="004F7035" w:rsidRDefault="00DA6CA8" w:rsidP="00A4359A">
            <w:pPr>
              <w:spacing w:before="36" w:after="36"/>
              <w:jc w:val="center"/>
              <w:rPr>
                <w:rFonts w:ascii="Times New Roman" w:eastAsia="Aptos" w:hAnsi="Times New Roman" w:cs="Times New Roman"/>
                <w:sz w:val="20"/>
                <w:szCs w:val="20"/>
              </w:rPr>
            </w:pPr>
            <w:r w:rsidRPr="004F7035">
              <w:rPr>
                <w:rFonts w:ascii="Times New Roman" w:eastAsia="Aptos" w:hAnsi="Times New Roman" w:cs="Times New Roman"/>
                <w:sz w:val="20"/>
                <w:szCs w:val="20"/>
              </w:rPr>
              <w:t>107</w:t>
            </w:r>
          </w:p>
        </w:tc>
        <w:tc>
          <w:tcPr>
            <w:tcW w:w="1502" w:type="dxa"/>
          </w:tcPr>
          <w:p w14:paraId="6C039DA3" w14:textId="77777777" w:rsidR="00DA6CA8" w:rsidRPr="00CB1D16" w:rsidRDefault="00DA6CA8" w:rsidP="00A4359A">
            <w:pPr>
              <w:spacing w:before="36" w:after="36"/>
              <w:jc w:val="center"/>
              <w:rPr>
                <w:rFonts w:ascii="Times New Roman" w:eastAsia="Aptos" w:hAnsi="Times New Roman" w:cs="Times New Roman"/>
                <w:sz w:val="20"/>
                <w:szCs w:val="20"/>
              </w:rPr>
            </w:pPr>
            <w:r w:rsidRPr="00350ED1">
              <w:rPr>
                <w:rFonts w:ascii="Times New Roman" w:eastAsia="Aptos" w:hAnsi="Times New Roman" w:cs="Times New Roman"/>
                <w:sz w:val="20"/>
                <w:szCs w:val="20"/>
              </w:rPr>
              <w:t>1.25</w:t>
            </w:r>
          </w:p>
        </w:tc>
        <w:tc>
          <w:tcPr>
            <w:tcW w:w="1367" w:type="dxa"/>
          </w:tcPr>
          <w:p w14:paraId="61C35DB0" w14:textId="77777777" w:rsidR="00DA6CA8" w:rsidRPr="00CB1D16" w:rsidRDefault="00DA6CA8" w:rsidP="00A4359A">
            <w:pPr>
              <w:spacing w:before="36" w:after="36"/>
              <w:jc w:val="center"/>
              <w:rPr>
                <w:rFonts w:ascii="Times New Roman" w:eastAsia="Aptos" w:hAnsi="Times New Roman" w:cs="Times New Roman"/>
                <w:sz w:val="20"/>
                <w:szCs w:val="20"/>
              </w:rPr>
            </w:pPr>
            <w:r w:rsidRPr="00350ED1">
              <w:rPr>
                <w:rFonts w:ascii="Times New Roman" w:eastAsia="Aptos" w:hAnsi="Times New Roman" w:cs="Times New Roman"/>
                <w:sz w:val="20"/>
                <w:szCs w:val="20"/>
              </w:rPr>
              <w:t>3.05</w:t>
            </w:r>
          </w:p>
        </w:tc>
        <w:tc>
          <w:tcPr>
            <w:tcW w:w="1501" w:type="dxa"/>
          </w:tcPr>
          <w:p w14:paraId="1EEE234C" w14:textId="77777777" w:rsidR="00DA6CA8" w:rsidRPr="00CB1D16" w:rsidRDefault="00DA6CA8" w:rsidP="00A4359A">
            <w:pPr>
              <w:spacing w:before="36" w:after="36"/>
              <w:jc w:val="center"/>
              <w:rPr>
                <w:rFonts w:ascii="Times New Roman" w:eastAsia="Aptos" w:hAnsi="Times New Roman" w:cs="Times New Roman"/>
                <w:sz w:val="20"/>
                <w:szCs w:val="20"/>
              </w:rPr>
            </w:pPr>
            <w:r w:rsidRPr="00350ED1">
              <w:rPr>
                <w:rFonts w:ascii="Times New Roman" w:eastAsia="Aptos" w:hAnsi="Times New Roman" w:cs="Times New Roman"/>
                <w:sz w:val="20"/>
                <w:szCs w:val="20"/>
              </w:rPr>
              <w:t>1.60</w:t>
            </w:r>
            <w:r>
              <w:rPr>
                <w:rFonts w:ascii="Times New Roman" w:eastAsia="Aptos" w:hAnsi="Times New Roman" w:cs="Times New Roman"/>
                <w:sz w:val="20"/>
                <w:szCs w:val="20"/>
              </w:rPr>
              <w:t>**</w:t>
            </w:r>
          </w:p>
        </w:tc>
      </w:tr>
      <w:tr w:rsidR="00DA6CA8" w:rsidRPr="00CB1D16" w14:paraId="55AFE810" w14:textId="77777777" w:rsidTr="001C436A">
        <w:tc>
          <w:tcPr>
            <w:tcW w:w="1271" w:type="dxa"/>
          </w:tcPr>
          <w:p w14:paraId="3F9A2AAB" w14:textId="77777777" w:rsidR="00DA6CA8" w:rsidRPr="00CB1D16" w:rsidRDefault="00DA6CA8" w:rsidP="00A4359A">
            <w:pPr>
              <w:spacing w:before="36" w:after="36"/>
              <w:rPr>
                <w:rFonts w:ascii="Times New Roman" w:eastAsia="Aptos" w:hAnsi="Times New Roman" w:cs="Times New Roman"/>
                <w:sz w:val="20"/>
                <w:szCs w:val="20"/>
              </w:rPr>
            </w:pPr>
            <w:r>
              <w:rPr>
                <w:rFonts w:ascii="Times New Roman" w:eastAsia="Aptos" w:hAnsi="Times New Roman" w:cs="Times New Roman"/>
                <w:sz w:val="20"/>
                <w:szCs w:val="20"/>
              </w:rPr>
              <w:t>TOTAL</w:t>
            </w:r>
          </w:p>
        </w:tc>
        <w:tc>
          <w:tcPr>
            <w:tcW w:w="778" w:type="dxa"/>
          </w:tcPr>
          <w:p w14:paraId="1863B97D" w14:textId="77777777" w:rsidR="00DA6CA8" w:rsidRPr="004F7035" w:rsidRDefault="00DA6CA8" w:rsidP="00A4359A">
            <w:pPr>
              <w:spacing w:before="36" w:after="36"/>
              <w:jc w:val="center"/>
              <w:rPr>
                <w:rFonts w:ascii="Times New Roman" w:eastAsia="Aptos" w:hAnsi="Times New Roman" w:cs="Times New Roman"/>
                <w:sz w:val="20"/>
                <w:szCs w:val="20"/>
              </w:rPr>
            </w:pPr>
            <w:r w:rsidRPr="004F7035">
              <w:rPr>
                <w:rFonts w:ascii="Times New Roman" w:eastAsia="Aptos" w:hAnsi="Times New Roman" w:cs="Times New Roman"/>
                <w:sz w:val="20"/>
                <w:szCs w:val="20"/>
              </w:rPr>
              <w:t>P/T</w:t>
            </w:r>
          </w:p>
        </w:tc>
        <w:tc>
          <w:tcPr>
            <w:tcW w:w="1366" w:type="dxa"/>
          </w:tcPr>
          <w:p w14:paraId="44CFC24F" w14:textId="77777777" w:rsidR="00DA6CA8" w:rsidRPr="004F7035" w:rsidRDefault="00DA6CA8" w:rsidP="00A4359A">
            <w:pPr>
              <w:spacing w:before="36" w:after="36"/>
              <w:jc w:val="center"/>
              <w:rPr>
                <w:rFonts w:ascii="Times New Roman" w:eastAsia="Aptos" w:hAnsi="Times New Roman" w:cs="Times New Roman"/>
                <w:sz w:val="20"/>
                <w:szCs w:val="20"/>
              </w:rPr>
            </w:pPr>
            <w:r w:rsidRPr="004F7035">
              <w:rPr>
                <w:rFonts w:ascii="Times New Roman" w:eastAsia="Aptos" w:hAnsi="Times New Roman" w:cs="Times New Roman"/>
                <w:sz w:val="20"/>
                <w:szCs w:val="20"/>
              </w:rPr>
              <w:t>0</w:t>
            </w:r>
          </w:p>
        </w:tc>
        <w:tc>
          <w:tcPr>
            <w:tcW w:w="1231" w:type="dxa"/>
          </w:tcPr>
          <w:p w14:paraId="715E18A1" w14:textId="77777777" w:rsidR="00DA6CA8" w:rsidRPr="004F7035" w:rsidRDefault="00DA6CA8" w:rsidP="00A4359A">
            <w:pPr>
              <w:spacing w:before="36" w:after="36"/>
              <w:jc w:val="center"/>
              <w:rPr>
                <w:rFonts w:ascii="Times New Roman" w:eastAsia="Aptos" w:hAnsi="Times New Roman" w:cs="Times New Roman"/>
                <w:sz w:val="20"/>
                <w:szCs w:val="20"/>
              </w:rPr>
            </w:pPr>
            <w:r w:rsidRPr="004F7035">
              <w:rPr>
                <w:rFonts w:ascii="Times New Roman" w:eastAsia="Aptos" w:hAnsi="Times New Roman" w:cs="Times New Roman"/>
                <w:sz w:val="20"/>
                <w:szCs w:val="20"/>
              </w:rPr>
              <w:t>0</w:t>
            </w:r>
          </w:p>
        </w:tc>
        <w:tc>
          <w:tcPr>
            <w:tcW w:w="1502" w:type="dxa"/>
          </w:tcPr>
          <w:p w14:paraId="41E3C0B7" w14:textId="450E08A1" w:rsidR="00DA6CA8" w:rsidRPr="00CB1D16" w:rsidRDefault="00DA6CA8" w:rsidP="00A4359A">
            <w:pPr>
              <w:spacing w:before="36" w:after="36"/>
              <w:jc w:val="center"/>
              <w:rPr>
                <w:rFonts w:ascii="Times New Roman" w:eastAsia="Aptos" w:hAnsi="Times New Roman" w:cs="Times New Roman"/>
                <w:sz w:val="20"/>
                <w:szCs w:val="20"/>
              </w:rPr>
            </w:pPr>
            <w:r>
              <w:rPr>
                <w:rFonts w:ascii="Times New Roman" w:eastAsia="Aptos" w:hAnsi="Times New Roman" w:cs="Times New Roman"/>
                <w:sz w:val="20"/>
                <w:szCs w:val="20"/>
              </w:rPr>
              <w:t>0</w:t>
            </w:r>
            <w:r w:rsidR="001C436A">
              <w:rPr>
                <w:rFonts w:ascii="Times New Roman" w:eastAsia="Aptos" w:hAnsi="Times New Roman" w:cs="Times New Roman"/>
                <w:sz w:val="20"/>
                <w:szCs w:val="20"/>
              </w:rPr>
              <w:t>.00</w:t>
            </w:r>
          </w:p>
        </w:tc>
        <w:tc>
          <w:tcPr>
            <w:tcW w:w="1367" w:type="dxa"/>
          </w:tcPr>
          <w:p w14:paraId="5964F96E" w14:textId="1DE28BDE" w:rsidR="00DA6CA8" w:rsidRPr="00CB1D16" w:rsidRDefault="00DA6CA8" w:rsidP="00A4359A">
            <w:pPr>
              <w:spacing w:before="36" w:after="36"/>
              <w:jc w:val="center"/>
              <w:rPr>
                <w:rFonts w:ascii="Times New Roman" w:eastAsia="Aptos" w:hAnsi="Times New Roman" w:cs="Times New Roman"/>
                <w:sz w:val="20"/>
                <w:szCs w:val="20"/>
              </w:rPr>
            </w:pPr>
            <w:r>
              <w:rPr>
                <w:rFonts w:ascii="Times New Roman" w:eastAsia="Aptos" w:hAnsi="Times New Roman" w:cs="Times New Roman"/>
                <w:sz w:val="20"/>
                <w:szCs w:val="20"/>
              </w:rPr>
              <w:t>0</w:t>
            </w:r>
            <w:r w:rsidR="001C436A">
              <w:rPr>
                <w:rFonts w:ascii="Times New Roman" w:eastAsia="Aptos" w:hAnsi="Times New Roman" w:cs="Times New Roman"/>
                <w:sz w:val="20"/>
                <w:szCs w:val="20"/>
              </w:rPr>
              <w:t>.00</w:t>
            </w:r>
          </w:p>
        </w:tc>
        <w:tc>
          <w:tcPr>
            <w:tcW w:w="1501" w:type="dxa"/>
          </w:tcPr>
          <w:p w14:paraId="11C1DFB5" w14:textId="28EA5332" w:rsidR="00DA6CA8" w:rsidRPr="00CB1D16" w:rsidRDefault="00DA6CA8" w:rsidP="00A4359A">
            <w:pPr>
              <w:spacing w:before="36" w:after="36"/>
              <w:jc w:val="center"/>
              <w:rPr>
                <w:rFonts w:ascii="Times New Roman" w:eastAsia="Aptos" w:hAnsi="Times New Roman" w:cs="Times New Roman"/>
                <w:sz w:val="20"/>
                <w:szCs w:val="20"/>
              </w:rPr>
            </w:pPr>
            <w:r>
              <w:rPr>
                <w:rFonts w:ascii="Times New Roman" w:eastAsia="Aptos" w:hAnsi="Times New Roman" w:cs="Times New Roman"/>
                <w:sz w:val="20"/>
                <w:szCs w:val="20"/>
              </w:rPr>
              <w:t>0</w:t>
            </w:r>
            <w:r w:rsidR="001C436A">
              <w:rPr>
                <w:rFonts w:ascii="Times New Roman" w:eastAsia="Aptos" w:hAnsi="Times New Roman" w:cs="Times New Roman"/>
                <w:sz w:val="20"/>
                <w:szCs w:val="20"/>
              </w:rPr>
              <w:t>.00</w:t>
            </w:r>
          </w:p>
        </w:tc>
      </w:tr>
      <w:tr w:rsidR="001C53BE" w:rsidRPr="00CB1D16" w14:paraId="01849A28" w14:textId="77777777" w:rsidTr="001C436A">
        <w:tc>
          <w:tcPr>
            <w:tcW w:w="1271" w:type="dxa"/>
          </w:tcPr>
          <w:p w14:paraId="58668853" w14:textId="77777777" w:rsidR="001C53BE" w:rsidRPr="00CB1D16" w:rsidRDefault="001C53BE" w:rsidP="001C53BE">
            <w:pPr>
              <w:spacing w:before="36" w:after="36"/>
              <w:rPr>
                <w:rFonts w:ascii="Times New Roman" w:eastAsia="Aptos" w:hAnsi="Times New Roman" w:cs="Times New Roman"/>
                <w:sz w:val="20"/>
                <w:szCs w:val="20"/>
              </w:rPr>
            </w:pPr>
            <w:r>
              <w:rPr>
                <w:rFonts w:ascii="Times New Roman" w:eastAsia="Aptos" w:hAnsi="Times New Roman" w:cs="Times New Roman"/>
                <w:sz w:val="20"/>
                <w:szCs w:val="20"/>
              </w:rPr>
              <w:t>TOTAL</w:t>
            </w:r>
          </w:p>
        </w:tc>
        <w:tc>
          <w:tcPr>
            <w:tcW w:w="778" w:type="dxa"/>
          </w:tcPr>
          <w:p w14:paraId="7088C22C" w14:textId="77777777" w:rsidR="001C53BE" w:rsidRPr="004F7035" w:rsidRDefault="001C53BE" w:rsidP="001C53BE">
            <w:pPr>
              <w:spacing w:before="36" w:after="36"/>
              <w:jc w:val="center"/>
              <w:rPr>
                <w:rFonts w:ascii="Times New Roman" w:eastAsia="Aptos" w:hAnsi="Times New Roman" w:cs="Times New Roman"/>
                <w:sz w:val="20"/>
                <w:szCs w:val="20"/>
              </w:rPr>
            </w:pPr>
            <w:r w:rsidRPr="004F7035">
              <w:rPr>
                <w:rFonts w:ascii="Times New Roman" w:eastAsia="Aptos" w:hAnsi="Times New Roman" w:cs="Times New Roman"/>
                <w:sz w:val="20"/>
                <w:szCs w:val="20"/>
              </w:rPr>
              <w:t>O/A</w:t>
            </w:r>
          </w:p>
        </w:tc>
        <w:tc>
          <w:tcPr>
            <w:tcW w:w="1366" w:type="dxa"/>
          </w:tcPr>
          <w:p w14:paraId="498E1303" w14:textId="08BA385F" w:rsidR="001C53BE" w:rsidRPr="004F7035" w:rsidRDefault="001C53BE" w:rsidP="001C53BE">
            <w:pPr>
              <w:spacing w:before="36" w:after="36"/>
              <w:jc w:val="center"/>
              <w:rPr>
                <w:rFonts w:ascii="Times New Roman" w:eastAsia="Aptos" w:hAnsi="Times New Roman" w:cs="Times New Roman"/>
                <w:sz w:val="20"/>
                <w:szCs w:val="20"/>
              </w:rPr>
            </w:pPr>
            <w:r>
              <w:rPr>
                <w:rFonts w:ascii="Times New Roman" w:eastAsia="Aptos" w:hAnsi="Times New Roman" w:cs="Times New Roman"/>
                <w:sz w:val="20"/>
                <w:szCs w:val="20"/>
              </w:rPr>
              <w:t>253</w:t>
            </w:r>
          </w:p>
        </w:tc>
        <w:tc>
          <w:tcPr>
            <w:tcW w:w="1231" w:type="dxa"/>
          </w:tcPr>
          <w:p w14:paraId="6A7C2BD6" w14:textId="6925CED3" w:rsidR="001C53BE" w:rsidRPr="004F7035" w:rsidRDefault="001C53BE" w:rsidP="001C53BE">
            <w:pPr>
              <w:spacing w:before="36" w:after="36"/>
              <w:jc w:val="center"/>
              <w:rPr>
                <w:rFonts w:ascii="Times New Roman" w:eastAsia="Aptos" w:hAnsi="Times New Roman" w:cs="Times New Roman"/>
                <w:sz w:val="20"/>
                <w:szCs w:val="20"/>
              </w:rPr>
            </w:pPr>
            <w:r>
              <w:rPr>
                <w:rFonts w:ascii="Times New Roman" w:eastAsia="Aptos" w:hAnsi="Times New Roman" w:cs="Times New Roman"/>
                <w:sz w:val="20"/>
                <w:szCs w:val="20"/>
              </w:rPr>
              <w:t>500</w:t>
            </w:r>
          </w:p>
        </w:tc>
        <w:tc>
          <w:tcPr>
            <w:tcW w:w="1502" w:type="dxa"/>
          </w:tcPr>
          <w:p w14:paraId="38AA911A" w14:textId="5F522B7D" w:rsidR="001C53BE" w:rsidRPr="00CB1D16" w:rsidRDefault="001C53BE" w:rsidP="001C53BE">
            <w:pPr>
              <w:spacing w:before="36" w:after="36"/>
              <w:jc w:val="center"/>
              <w:rPr>
                <w:rFonts w:ascii="Times New Roman" w:eastAsia="Aptos" w:hAnsi="Times New Roman" w:cs="Times New Roman"/>
                <w:sz w:val="20"/>
                <w:szCs w:val="20"/>
              </w:rPr>
            </w:pPr>
            <w:r w:rsidRPr="00350ED1">
              <w:rPr>
                <w:rFonts w:ascii="Times New Roman" w:eastAsia="Aptos" w:hAnsi="Times New Roman" w:cs="Times New Roman"/>
                <w:sz w:val="20"/>
                <w:szCs w:val="20"/>
              </w:rPr>
              <w:t>6.88</w:t>
            </w:r>
          </w:p>
        </w:tc>
        <w:tc>
          <w:tcPr>
            <w:tcW w:w="1367" w:type="dxa"/>
          </w:tcPr>
          <w:p w14:paraId="028D5C8E" w14:textId="3F76E450" w:rsidR="001C53BE" w:rsidRPr="00CB1D16" w:rsidRDefault="001C53BE" w:rsidP="001C53BE">
            <w:pPr>
              <w:spacing w:before="36" w:after="36"/>
              <w:jc w:val="center"/>
              <w:rPr>
                <w:rFonts w:ascii="Times New Roman" w:eastAsia="Aptos" w:hAnsi="Times New Roman" w:cs="Times New Roman"/>
                <w:sz w:val="20"/>
                <w:szCs w:val="20"/>
              </w:rPr>
            </w:pPr>
            <w:r w:rsidRPr="00350ED1">
              <w:rPr>
                <w:rFonts w:ascii="Times New Roman" w:eastAsia="Aptos" w:hAnsi="Times New Roman" w:cs="Times New Roman"/>
                <w:sz w:val="20"/>
                <w:szCs w:val="20"/>
              </w:rPr>
              <w:t>14.28</w:t>
            </w:r>
          </w:p>
        </w:tc>
        <w:tc>
          <w:tcPr>
            <w:tcW w:w="1501" w:type="dxa"/>
          </w:tcPr>
          <w:p w14:paraId="0424595B" w14:textId="557A8CE2" w:rsidR="001C53BE" w:rsidRPr="00CB1D16" w:rsidRDefault="001C53BE" w:rsidP="00423ACC">
            <w:pPr>
              <w:spacing w:before="36" w:after="36"/>
              <w:jc w:val="center"/>
              <w:rPr>
                <w:rFonts w:ascii="Times New Roman" w:eastAsia="Aptos" w:hAnsi="Times New Roman" w:cs="Times New Roman"/>
                <w:sz w:val="20"/>
                <w:szCs w:val="20"/>
              </w:rPr>
            </w:pPr>
            <w:r w:rsidRPr="00350ED1">
              <w:rPr>
                <w:rFonts w:ascii="Times New Roman" w:eastAsia="Aptos" w:hAnsi="Times New Roman" w:cs="Times New Roman"/>
                <w:sz w:val="20"/>
                <w:szCs w:val="20"/>
              </w:rPr>
              <w:t>2.12</w:t>
            </w:r>
            <w:r>
              <w:rPr>
                <w:rFonts w:ascii="Times New Roman" w:eastAsia="Aptos" w:hAnsi="Times New Roman" w:cs="Times New Roman"/>
                <w:sz w:val="20"/>
                <w:szCs w:val="20"/>
              </w:rPr>
              <w:t>**</w:t>
            </w:r>
          </w:p>
        </w:tc>
      </w:tr>
      <w:tr w:rsidR="00DA6CA8" w:rsidRPr="00CB1D16" w14:paraId="5F857513" w14:textId="77777777" w:rsidTr="001C436A">
        <w:tc>
          <w:tcPr>
            <w:tcW w:w="1271" w:type="dxa"/>
            <w:shd w:val="clear" w:color="auto" w:fill="E7E6E6" w:themeFill="background2"/>
          </w:tcPr>
          <w:p w14:paraId="571AAD70" w14:textId="77777777" w:rsidR="00DA6CA8" w:rsidRDefault="00DA6CA8" w:rsidP="00A4359A">
            <w:pPr>
              <w:spacing w:before="36" w:after="36"/>
              <w:rPr>
                <w:rFonts w:ascii="Times New Roman" w:eastAsia="Aptos" w:hAnsi="Times New Roman" w:cs="Times New Roman"/>
                <w:sz w:val="20"/>
                <w:szCs w:val="20"/>
              </w:rPr>
            </w:pPr>
            <w:r>
              <w:rPr>
                <w:rFonts w:ascii="Times New Roman" w:eastAsia="Aptos" w:hAnsi="Times New Roman" w:cs="Times New Roman"/>
                <w:sz w:val="20"/>
                <w:szCs w:val="20"/>
              </w:rPr>
              <w:t>TOTAL</w:t>
            </w:r>
          </w:p>
        </w:tc>
        <w:tc>
          <w:tcPr>
            <w:tcW w:w="778" w:type="dxa"/>
            <w:shd w:val="clear" w:color="auto" w:fill="E7E6E6" w:themeFill="background2"/>
          </w:tcPr>
          <w:p w14:paraId="357C861F" w14:textId="77777777" w:rsidR="00DA6CA8" w:rsidRPr="004F7035" w:rsidRDefault="00DA6CA8" w:rsidP="00A4359A">
            <w:pPr>
              <w:spacing w:before="36" w:after="36"/>
              <w:jc w:val="center"/>
              <w:rPr>
                <w:rFonts w:ascii="Times New Roman" w:eastAsia="Aptos" w:hAnsi="Times New Roman" w:cs="Times New Roman"/>
                <w:sz w:val="20"/>
                <w:szCs w:val="20"/>
              </w:rPr>
            </w:pPr>
            <w:r w:rsidRPr="004F7035">
              <w:rPr>
                <w:rFonts w:ascii="Times New Roman" w:eastAsia="Aptos" w:hAnsi="Times New Roman" w:cs="Times New Roman"/>
                <w:sz w:val="20"/>
                <w:szCs w:val="20"/>
              </w:rPr>
              <w:t>ALL</w:t>
            </w:r>
          </w:p>
        </w:tc>
        <w:tc>
          <w:tcPr>
            <w:tcW w:w="1366" w:type="dxa"/>
            <w:shd w:val="clear" w:color="auto" w:fill="E7E6E6" w:themeFill="background2"/>
          </w:tcPr>
          <w:p w14:paraId="053228E9" w14:textId="77777777" w:rsidR="00DA6CA8" w:rsidRPr="004F7035" w:rsidRDefault="00DA6CA8" w:rsidP="00A4359A">
            <w:pPr>
              <w:spacing w:before="36" w:after="36"/>
              <w:jc w:val="center"/>
              <w:rPr>
                <w:rFonts w:ascii="Times New Roman" w:eastAsia="Aptos" w:hAnsi="Times New Roman" w:cs="Times New Roman"/>
                <w:sz w:val="20"/>
                <w:szCs w:val="20"/>
              </w:rPr>
            </w:pPr>
            <w:r w:rsidRPr="004F7035">
              <w:rPr>
                <w:rFonts w:ascii="Times New Roman" w:eastAsia="Aptos" w:hAnsi="Times New Roman" w:cs="Times New Roman"/>
                <w:sz w:val="20"/>
                <w:szCs w:val="20"/>
              </w:rPr>
              <w:t>253</w:t>
            </w:r>
          </w:p>
        </w:tc>
        <w:tc>
          <w:tcPr>
            <w:tcW w:w="1231" w:type="dxa"/>
            <w:shd w:val="clear" w:color="auto" w:fill="E7E6E6" w:themeFill="background2"/>
          </w:tcPr>
          <w:p w14:paraId="7058175B" w14:textId="77777777" w:rsidR="00DA6CA8" w:rsidRPr="004F7035" w:rsidRDefault="00DA6CA8" w:rsidP="00A4359A">
            <w:pPr>
              <w:spacing w:before="36" w:after="36"/>
              <w:jc w:val="center"/>
              <w:rPr>
                <w:rFonts w:ascii="Times New Roman" w:eastAsia="Aptos" w:hAnsi="Times New Roman" w:cs="Times New Roman"/>
                <w:sz w:val="20"/>
                <w:szCs w:val="20"/>
              </w:rPr>
            </w:pPr>
            <w:r w:rsidRPr="004F7035">
              <w:rPr>
                <w:rFonts w:ascii="Times New Roman" w:eastAsia="Aptos" w:hAnsi="Times New Roman" w:cs="Times New Roman"/>
                <w:sz w:val="20"/>
                <w:szCs w:val="20"/>
              </w:rPr>
              <w:t>500</w:t>
            </w:r>
          </w:p>
        </w:tc>
        <w:tc>
          <w:tcPr>
            <w:tcW w:w="1502" w:type="dxa"/>
            <w:shd w:val="clear" w:color="auto" w:fill="E7E6E6" w:themeFill="background2"/>
          </w:tcPr>
          <w:p w14:paraId="7E84FE68" w14:textId="77777777" w:rsidR="00DA6CA8" w:rsidRPr="00CB1D16" w:rsidRDefault="00DA6CA8" w:rsidP="00A4359A">
            <w:pPr>
              <w:spacing w:before="36" w:after="36"/>
              <w:jc w:val="center"/>
              <w:rPr>
                <w:rFonts w:ascii="Times New Roman" w:eastAsia="Aptos" w:hAnsi="Times New Roman" w:cs="Times New Roman"/>
                <w:sz w:val="20"/>
                <w:szCs w:val="20"/>
              </w:rPr>
            </w:pPr>
            <w:r w:rsidRPr="00350ED1">
              <w:rPr>
                <w:rFonts w:ascii="Times New Roman" w:eastAsia="Aptos" w:hAnsi="Times New Roman" w:cs="Times New Roman"/>
                <w:sz w:val="20"/>
                <w:szCs w:val="20"/>
              </w:rPr>
              <w:t>6.88</w:t>
            </w:r>
          </w:p>
        </w:tc>
        <w:tc>
          <w:tcPr>
            <w:tcW w:w="1367" w:type="dxa"/>
            <w:shd w:val="clear" w:color="auto" w:fill="E7E6E6" w:themeFill="background2"/>
          </w:tcPr>
          <w:p w14:paraId="4F20E1D4" w14:textId="77777777" w:rsidR="00DA6CA8" w:rsidRPr="00CB1D16" w:rsidRDefault="00DA6CA8" w:rsidP="00A4359A">
            <w:pPr>
              <w:spacing w:before="36" w:after="36"/>
              <w:jc w:val="center"/>
              <w:rPr>
                <w:rFonts w:ascii="Times New Roman" w:eastAsia="Aptos" w:hAnsi="Times New Roman" w:cs="Times New Roman"/>
                <w:sz w:val="20"/>
                <w:szCs w:val="20"/>
              </w:rPr>
            </w:pPr>
            <w:r w:rsidRPr="00350ED1">
              <w:rPr>
                <w:rFonts w:ascii="Times New Roman" w:eastAsia="Aptos" w:hAnsi="Times New Roman" w:cs="Times New Roman"/>
                <w:sz w:val="20"/>
                <w:szCs w:val="20"/>
              </w:rPr>
              <w:t>14.28</w:t>
            </w:r>
          </w:p>
        </w:tc>
        <w:tc>
          <w:tcPr>
            <w:tcW w:w="1501" w:type="dxa"/>
            <w:shd w:val="clear" w:color="auto" w:fill="E7E6E6" w:themeFill="background2"/>
          </w:tcPr>
          <w:p w14:paraId="3B845A35" w14:textId="597B8D92" w:rsidR="00DA6CA8" w:rsidRPr="00CB1D16" w:rsidRDefault="00DA6CA8" w:rsidP="00423ACC">
            <w:pPr>
              <w:spacing w:before="36" w:after="36"/>
              <w:jc w:val="center"/>
              <w:rPr>
                <w:rFonts w:ascii="Times New Roman" w:eastAsia="Aptos" w:hAnsi="Times New Roman" w:cs="Times New Roman"/>
                <w:sz w:val="20"/>
                <w:szCs w:val="20"/>
              </w:rPr>
            </w:pPr>
            <w:r w:rsidRPr="00350ED1">
              <w:rPr>
                <w:rFonts w:ascii="Times New Roman" w:eastAsia="Aptos" w:hAnsi="Times New Roman" w:cs="Times New Roman"/>
                <w:sz w:val="20"/>
                <w:szCs w:val="20"/>
              </w:rPr>
              <w:t>2.12</w:t>
            </w:r>
            <w:r>
              <w:rPr>
                <w:rFonts w:ascii="Times New Roman" w:eastAsia="Aptos" w:hAnsi="Times New Roman" w:cs="Times New Roman"/>
                <w:sz w:val="20"/>
                <w:szCs w:val="20"/>
              </w:rPr>
              <w:t>**</w:t>
            </w:r>
          </w:p>
        </w:tc>
      </w:tr>
    </w:tbl>
    <w:tbl>
      <w:tblPr>
        <w:tblpPr w:leftFromText="180" w:rightFromText="180" w:vertAnchor="text" w:tblpX="-17" w:tblpY="25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DA6CA8" w:rsidRPr="009D59FC" w14:paraId="18783A6B" w14:textId="77777777" w:rsidTr="00A4359A">
        <w:trPr>
          <w:trHeight w:val="558"/>
        </w:trPr>
        <w:tc>
          <w:tcPr>
            <w:tcW w:w="9209" w:type="dxa"/>
          </w:tcPr>
          <w:p w14:paraId="1DE9413B" w14:textId="77777777" w:rsidR="00DA6CA8" w:rsidRPr="006549EE" w:rsidRDefault="00DA6CA8" w:rsidP="00A4359A">
            <w:pPr>
              <w:suppressAutoHyphens/>
              <w:autoSpaceDN w:val="0"/>
              <w:ind w:firstLine="0"/>
              <w:textAlignment w:val="baseline"/>
              <w:rPr>
                <w:rFonts w:ascii="Times New Roman" w:eastAsia="Calibri" w:hAnsi="Times New Roman" w:cs="Times New Roman"/>
                <w:sz w:val="20"/>
                <w:szCs w:val="20"/>
                <w:highlight w:val="yellow"/>
              </w:rPr>
            </w:pPr>
            <w:r w:rsidRPr="006549EE">
              <w:rPr>
                <w:rFonts w:ascii="Times New Roman" w:eastAsia="Calibri" w:hAnsi="Times New Roman" w:cs="Times New Roman"/>
                <w:sz w:val="20"/>
                <w:szCs w:val="20"/>
              </w:rPr>
              <w:t>Table 5 presents external facing environmental disclosure (at society level) categories under ENVMG, CC and ECO. Descriptions of the variables are similar to Table 3.  *, **, *** indicate significance level at 10%, 5%, 1% respectively</w:t>
            </w:r>
            <w:r w:rsidRPr="009D59FC">
              <w:rPr>
                <w:rFonts w:ascii="Times New Roman" w:eastAsia="Calibri" w:hAnsi="Times New Roman" w:cs="Times New Roman"/>
                <w:sz w:val="20"/>
                <w:szCs w:val="20"/>
              </w:rPr>
              <w:t xml:space="preserve">   </w:t>
            </w:r>
          </w:p>
        </w:tc>
      </w:tr>
    </w:tbl>
    <w:p w14:paraId="38AF6E77" w14:textId="77777777" w:rsidR="00CB1D16" w:rsidRPr="00CB1D16" w:rsidRDefault="00CB1D16"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3D2D99D5" w14:textId="77777777" w:rsidR="00CB1D16" w:rsidRPr="00CB1D16" w:rsidRDefault="00CB1D16" w:rsidP="00CB1D16">
      <w:pPr>
        <w:spacing w:after="0" w:line="240" w:lineRule="auto"/>
        <w:ind w:firstLine="0"/>
        <w:jc w:val="left"/>
        <w:rPr>
          <w:rFonts w:ascii="Times New Roman" w:eastAsia="Times New Roman" w:hAnsi="Times New Roman" w:cs="Times New Roman"/>
          <w:kern w:val="0"/>
          <w:sz w:val="24"/>
          <w:szCs w:val="24"/>
          <w:lang w:eastAsia="en-GB"/>
          <w14:ligatures w14:val="none"/>
        </w:rPr>
      </w:pPr>
    </w:p>
    <w:p w14:paraId="1973489D" w14:textId="77777777" w:rsidR="00CB1D16" w:rsidRPr="00CB1D16" w:rsidRDefault="00CB1D16" w:rsidP="00CB1D16">
      <w:pPr>
        <w:spacing w:after="0" w:line="240" w:lineRule="auto"/>
        <w:ind w:firstLine="0"/>
        <w:jc w:val="left"/>
        <w:rPr>
          <w:rFonts w:ascii="Times New Roman" w:eastAsia="Times New Roman" w:hAnsi="Times New Roman" w:cs="Times New Roman"/>
          <w:kern w:val="0"/>
          <w:sz w:val="24"/>
          <w:szCs w:val="24"/>
          <w:lang w:eastAsia="en-GB"/>
          <w14:ligatures w14:val="none"/>
        </w:rPr>
      </w:pPr>
    </w:p>
    <w:p w14:paraId="76B56667" w14:textId="77777777" w:rsidR="00CB1D16" w:rsidRPr="00CB1D16" w:rsidRDefault="00CB1D16" w:rsidP="00CB1D16">
      <w:pPr>
        <w:spacing w:after="0" w:line="240" w:lineRule="auto"/>
        <w:ind w:firstLine="0"/>
        <w:jc w:val="left"/>
        <w:rPr>
          <w:rFonts w:ascii="Times New Roman" w:eastAsia="Times New Roman" w:hAnsi="Times New Roman" w:cs="Times New Roman"/>
          <w:kern w:val="0"/>
          <w:sz w:val="24"/>
          <w:szCs w:val="24"/>
          <w:lang w:eastAsia="en-GB"/>
          <w14:ligatures w14:val="none"/>
        </w:rPr>
      </w:pPr>
    </w:p>
    <w:p w14:paraId="3595491C" w14:textId="77777777" w:rsidR="004F7035" w:rsidRDefault="004F7035" w:rsidP="00CB1D16">
      <w:pPr>
        <w:spacing w:after="0" w:line="240" w:lineRule="auto"/>
        <w:ind w:firstLine="0"/>
        <w:jc w:val="left"/>
        <w:rPr>
          <w:rFonts w:ascii="Times New Roman" w:eastAsia="Times New Roman" w:hAnsi="Times New Roman" w:cs="Times New Roman"/>
          <w:kern w:val="0"/>
          <w:sz w:val="24"/>
          <w:szCs w:val="24"/>
          <w:lang w:eastAsia="en-GB"/>
          <w14:ligatures w14:val="none"/>
        </w:rPr>
      </w:pPr>
    </w:p>
    <w:p w14:paraId="375B9AB0" w14:textId="77777777" w:rsidR="004F7035" w:rsidRDefault="004F7035" w:rsidP="00CB1D16">
      <w:pPr>
        <w:spacing w:after="0" w:line="240" w:lineRule="auto"/>
        <w:ind w:firstLine="0"/>
        <w:jc w:val="left"/>
        <w:rPr>
          <w:rFonts w:ascii="Times New Roman" w:eastAsia="Times New Roman" w:hAnsi="Times New Roman" w:cs="Times New Roman"/>
          <w:kern w:val="0"/>
          <w:sz w:val="24"/>
          <w:szCs w:val="24"/>
          <w:lang w:eastAsia="en-GB"/>
          <w14:ligatures w14:val="none"/>
        </w:rPr>
      </w:pPr>
    </w:p>
    <w:p w14:paraId="450BCAAB" w14:textId="77777777" w:rsidR="004F7035" w:rsidRDefault="004F7035" w:rsidP="00CB1D16">
      <w:pPr>
        <w:spacing w:after="0" w:line="240" w:lineRule="auto"/>
        <w:ind w:firstLine="0"/>
        <w:jc w:val="left"/>
        <w:rPr>
          <w:rFonts w:ascii="Times New Roman" w:eastAsia="Times New Roman" w:hAnsi="Times New Roman" w:cs="Times New Roman"/>
          <w:kern w:val="0"/>
          <w:sz w:val="24"/>
          <w:szCs w:val="24"/>
          <w:lang w:eastAsia="en-GB"/>
          <w14:ligatures w14:val="none"/>
        </w:rPr>
      </w:pPr>
    </w:p>
    <w:p w14:paraId="4E54603D" w14:textId="77777777" w:rsidR="004F7035" w:rsidRDefault="004F7035" w:rsidP="00CB1D16">
      <w:pPr>
        <w:spacing w:after="0" w:line="240" w:lineRule="auto"/>
        <w:ind w:firstLine="0"/>
        <w:jc w:val="left"/>
        <w:rPr>
          <w:rFonts w:ascii="Times New Roman" w:eastAsia="Times New Roman" w:hAnsi="Times New Roman" w:cs="Times New Roman"/>
          <w:kern w:val="0"/>
          <w:sz w:val="24"/>
          <w:szCs w:val="24"/>
          <w:lang w:eastAsia="en-GB"/>
          <w14:ligatures w14:val="none"/>
        </w:rPr>
      </w:pPr>
    </w:p>
    <w:p w14:paraId="1FCF43D5" w14:textId="77777777" w:rsidR="004F7035" w:rsidRDefault="004F7035" w:rsidP="00CB1D16">
      <w:pPr>
        <w:spacing w:after="0" w:line="240" w:lineRule="auto"/>
        <w:ind w:firstLine="0"/>
        <w:jc w:val="left"/>
        <w:rPr>
          <w:rFonts w:ascii="Times New Roman" w:eastAsia="Times New Roman" w:hAnsi="Times New Roman" w:cs="Times New Roman"/>
          <w:kern w:val="0"/>
          <w:sz w:val="24"/>
          <w:szCs w:val="24"/>
          <w:lang w:eastAsia="en-GB"/>
          <w14:ligatures w14:val="none"/>
        </w:rPr>
      </w:pPr>
    </w:p>
    <w:p w14:paraId="15881E8B" w14:textId="77777777" w:rsidR="004F7035" w:rsidRDefault="004F7035" w:rsidP="00CB1D16">
      <w:pPr>
        <w:spacing w:after="0" w:line="240" w:lineRule="auto"/>
        <w:ind w:firstLine="0"/>
        <w:jc w:val="left"/>
        <w:rPr>
          <w:rFonts w:ascii="Times New Roman" w:eastAsia="Times New Roman" w:hAnsi="Times New Roman" w:cs="Times New Roman"/>
          <w:kern w:val="0"/>
          <w:sz w:val="24"/>
          <w:szCs w:val="24"/>
          <w:lang w:eastAsia="en-GB"/>
          <w14:ligatures w14:val="none"/>
        </w:rPr>
      </w:pPr>
    </w:p>
    <w:p w14:paraId="39F6A98B" w14:textId="77777777" w:rsidR="004F7035" w:rsidRDefault="004F7035" w:rsidP="00CB1D16">
      <w:pPr>
        <w:spacing w:after="0" w:line="240" w:lineRule="auto"/>
        <w:ind w:firstLine="0"/>
        <w:jc w:val="left"/>
        <w:rPr>
          <w:rFonts w:ascii="Times New Roman" w:eastAsia="Times New Roman" w:hAnsi="Times New Roman" w:cs="Times New Roman"/>
          <w:kern w:val="0"/>
          <w:sz w:val="24"/>
          <w:szCs w:val="24"/>
          <w:lang w:eastAsia="en-GB"/>
          <w14:ligatures w14:val="none"/>
        </w:rPr>
      </w:pPr>
    </w:p>
    <w:p w14:paraId="2707850B" w14:textId="77777777" w:rsidR="004F7035" w:rsidRDefault="004F7035" w:rsidP="00CB1D16">
      <w:pPr>
        <w:spacing w:after="0" w:line="240" w:lineRule="auto"/>
        <w:ind w:firstLine="0"/>
        <w:jc w:val="left"/>
        <w:rPr>
          <w:rFonts w:ascii="Times New Roman" w:eastAsia="Times New Roman" w:hAnsi="Times New Roman" w:cs="Times New Roman"/>
          <w:kern w:val="0"/>
          <w:sz w:val="24"/>
          <w:szCs w:val="24"/>
          <w:lang w:eastAsia="en-GB"/>
          <w14:ligatures w14:val="none"/>
        </w:rPr>
      </w:pPr>
    </w:p>
    <w:p w14:paraId="7E7E2BCC" w14:textId="77777777" w:rsidR="004F7035" w:rsidRDefault="004F7035" w:rsidP="00CB1D16">
      <w:pPr>
        <w:spacing w:after="0" w:line="240" w:lineRule="auto"/>
        <w:ind w:firstLine="0"/>
        <w:jc w:val="left"/>
        <w:rPr>
          <w:rFonts w:ascii="Times New Roman" w:eastAsia="Times New Roman" w:hAnsi="Times New Roman" w:cs="Times New Roman"/>
          <w:kern w:val="0"/>
          <w:sz w:val="24"/>
          <w:szCs w:val="24"/>
          <w:lang w:eastAsia="en-GB"/>
          <w14:ligatures w14:val="none"/>
        </w:rPr>
      </w:pPr>
    </w:p>
    <w:p w14:paraId="7C64E772" w14:textId="77777777" w:rsidR="004F7035" w:rsidRDefault="004F7035" w:rsidP="00CB1D16">
      <w:pPr>
        <w:spacing w:after="0" w:line="240" w:lineRule="auto"/>
        <w:ind w:firstLine="0"/>
        <w:jc w:val="left"/>
        <w:rPr>
          <w:rFonts w:ascii="Times New Roman" w:eastAsia="Times New Roman" w:hAnsi="Times New Roman" w:cs="Times New Roman"/>
          <w:kern w:val="0"/>
          <w:sz w:val="24"/>
          <w:szCs w:val="24"/>
          <w:lang w:eastAsia="en-GB"/>
          <w14:ligatures w14:val="none"/>
        </w:rPr>
      </w:pPr>
    </w:p>
    <w:p w14:paraId="6E05E9CD" w14:textId="77777777" w:rsidR="004F7035" w:rsidRDefault="004F7035" w:rsidP="00CB1D16">
      <w:pPr>
        <w:spacing w:after="0" w:line="240" w:lineRule="auto"/>
        <w:ind w:firstLine="0"/>
        <w:jc w:val="left"/>
        <w:rPr>
          <w:rFonts w:ascii="Times New Roman" w:eastAsia="Times New Roman" w:hAnsi="Times New Roman" w:cs="Times New Roman"/>
          <w:kern w:val="0"/>
          <w:sz w:val="24"/>
          <w:szCs w:val="24"/>
          <w:lang w:eastAsia="en-GB"/>
          <w14:ligatures w14:val="none"/>
        </w:rPr>
      </w:pPr>
    </w:p>
    <w:p w14:paraId="0D74AE02" w14:textId="77777777" w:rsidR="004F7035" w:rsidRDefault="004F7035" w:rsidP="00CB1D16">
      <w:pPr>
        <w:spacing w:after="0" w:line="240" w:lineRule="auto"/>
        <w:ind w:firstLine="0"/>
        <w:jc w:val="left"/>
        <w:rPr>
          <w:rFonts w:ascii="Times New Roman" w:eastAsia="Times New Roman" w:hAnsi="Times New Roman" w:cs="Times New Roman"/>
          <w:kern w:val="0"/>
          <w:sz w:val="24"/>
          <w:szCs w:val="24"/>
          <w:lang w:eastAsia="en-GB"/>
          <w14:ligatures w14:val="none"/>
        </w:rPr>
      </w:pPr>
    </w:p>
    <w:p w14:paraId="337A8874" w14:textId="77777777" w:rsidR="00DA6CA8" w:rsidRDefault="00DA6CA8" w:rsidP="00CB1D16">
      <w:pPr>
        <w:spacing w:after="0" w:line="240" w:lineRule="auto"/>
        <w:ind w:firstLine="0"/>
        <w:jc w:val="left"/>
        <w:rPr>
          <w:rFonts w:ascii="Times New Roman" w:eastAsia="Times New Roman" w:hAnsi="Times New Roman" w:cs="Times New Roman"/>
          <w:kern w:val="0"/>
          <w:sz w:val="24"/>
          <w:szCs w:val="24"/>
          <w:lang w:eastAsia="en-GB"/>
          <w14:ligatures w14:val="none"/>
        </w:rPr>
      </w:pPr>
    </w:p>
    <w:p w14:paraId="49310103" w14:textId="77777777" w:rsidR="00DA6CA8" w:rsidRPr="00CB1D16" w:rsidRDefault="00DA6CA8" w:rsidP="00CB1D16">
      <w:pPr>
        <w:spacing w:after="0" w:line="240" w:lineRule="auto"/>
        <w:ind w:firstLine="0"/>
        <w:jc w:val="left"/>
        <w:rPr>
          <w:rFonts w:ascii="Times New Roman" w:eastAsia="Times New Roman" w:hAnsi="Times New Roman" w:cs="Times New Roman"/>
          <w:kern w:val="0"/>
          <w:sz w:val="24"/>
          <w:szCs w:val="24"/>
          <w:lang w:eastAsia="en-GB"/>
          <w14:ligatures w14:val="none"/>
        </w:rPr>
      </w:pPr>
    </w:p>
    <w:p w14:paraId="0B37E5E3" w14:textId="77777777" w:rsidR="00CB1D16" w:rsidRPr="00CB1D16" w:rsidRDefault="00CB1D16" w:rsidP="00CB1D16">
      <w:pPr>
        <w:spacing w:before="100" w:beforeAutospacing="1" w:after="100" w:afterAutospacing="1" w:line="240" w:lineRule="auto"/>
        <w:ind w:firstLine="0"/>
        <w:jc w:val="left"/>
        <w:rPr>
          <w:rFonts w:ascii="Times New Roman" w:eastAsia="Times New Roman" w:hAnsi="Times New Roman" w:cs="Times New Roman"/>
          <w:kern w:val="0"/>
          <w:sz w:val="24"/>
          <w:szCs w:val="24"/>
          <w:lang w:eastAsia="en-GB"/>
          <w14:ligatures w14:val="none"/>
        </w:rPr>
      </w:pPr>
      <w:r w:rsidRPr="00CB1D16">
        <w:rPr>
          <w:rFonts w:ascii="Times New Roman" w:eastAsia="Times New Roman" w:hAnsi="Times New Roman" w:cs="Times New Roman"/>
          <w:b/>
          <w:bCs/>
          <w:kern w:val="0"/>
          <w:sz w:val="24"/>
          <w:szCs w:val="24"/>
          <w:lang w:eastAsia="en-GB"/>
          <w14:ligatures w14:val="none"/>
        </w:rPr>
        <w:lastRenderedPageBreak/>
        <w:t>Table 6(a)</w:t>
      </w:r>
      <w:r w:rsidRPr="00CB1D16">
        <w:rPr>
          <w:rFonts w:ascii="Times New Roman" w:eastAsia="Times New Roman" w:hAnsi="Times New Roman" w:cs="Times New Roman"/>
          <w:kern w:val="0"/>
          <w:sz w:val="24"/>
          <w:szCs w:val="24"/>
          <w:lang w:eastAsia="en-GB"/>
          <w14:ligatures w14:val="none"/>
        </w:rPr>
        <w:br/>
      </w:r>
      <w:r w:rsidRPr="00CB1D16">
        <w:rPr>
          <w:rFonts w:ascii="Times New Roman" w:eastAsia="Times New Roman" w:hAnsi="Times New Roman" w:cs="Times New Roman"/>
          <w:b/>
          <w:bCs/>
          <w:kern w:val="0"/>
          <w:sz w:val="24"/>
          <w:szCs w:val="24"/>
          <w:lang w:eastAsia="en-GB"/>
          <w14:ligatures w14:val="none"/>
        </w:rPr>
        <w:t>Internal vs. External Facing Environmental Disclosure (2023)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695"/>
        <w:gridCol w:w="1492"/>
        <w:gridCol w:w="1443"/>
        <w:gridCol w:w="1598"/>
        <w:gridCol w:w="1550"/>
        <w:gridCol w:w="1182"/>
      </w:tblGrid>
      <w:tr w:rsidR="00CB1D16" w:rsidRPr="00CB1D16" w14:paraId="33509CEE" w14:textId="77777777" w:rsidTr="00906E1D">
        <w:trPr>
          <w:tblHeader/>
          <w:tblCellSpacing w:w="15" w:type="dxa"/>
        </w:trPr>
        <w:tc>
          <w:tcPr>
            <w:tcW w:w="0" w:type="auto"/>
            <w:tcBorders>
              <w:top w:val="single" w:sz="4" w:space="0" w:color="auto"/>
              <w:bottom w:val="single" w:sz="4" w:space="0" w:color="auto"/>
            </w:tcBorders>
            <w:vAlign w:val="center"/>
            <w:hideMark/>
          </w:tcPr>
          <w:p w14:paraId="7A7AEC02" w14:textId="77777777" w:rsidR="00CB1D16" w:rsidRPr="00CB1D16" w:rsidRDefault="00CB1D16" w:rsidP="00CB1D16">
            <w:pPr>
              <w:spacing w:after="0" w:line="240" w:lineRule="auto"/>
              <w:ind w:firstLine="0"/>
              <w:jc w:val="center"/>
              <w:rPr>
                <w:rFonts w:ascii="Times New Roman" w:eastAsia="Times New Roman" w:hAnsi="Times New Roman" w:cs="Times New Roman"/>
                <w:b/>
                <w:bCs/>
                <w:kern w:val="0"/>
                <w:lang w:eastAsia="en-GB"/>
                <w14:ligatures w14:val="none"/>
              </w:rPr>
            </w:pPr>
            <w:r w:rsidRPr="00CB1D16">
              <w:rPr>
                <w:rFonts w:ascii="Times New Roman" w:eastAsia="Times New Roman" w:hAnsi="Times New Roman" w:cs="Times New Roman"/>
                <w:b/>
                <w:bCs/>
                <w:kern w:val="0"/>
                <w:lang w:eastAsia="en-GB"/>
                <w14:ligatures w14:val="none"/>
              </w:rPr>
              <w:t>Category</w:t>
            </w:r>
          </w:p>
        </w:tc>
        <w:tc>
          <w:tcPr>
            <w:tcW w:w="0" w:type="auto"/>
            <w:tcBorders>
              <w:top w:val="single" w:sz="4" w:space="0" w:color="auto"/>
              <w:bottom w:val="single" w:sz="4" w:space="0" w:color="auto"/>
            </w:tcBorders>
            <w:vAlign w:val="center"/>
            <w:hideMark/>
          </w:tcPr>
          <w:p w14:paraId="58BD11EB" w14:textId="77777777" w:rsidR="00CB1D16" w:rsidRPr="00CB1D16" w:rsidRDefault="00CB1D16" w:rsidP="00CB1D16">
            <w:pPr>
              <w:spacing w:after="0" w:line="240" w:lineRule="auto"/>
              <w:ind w:firstLine="0"/>
              <w:jc w:val="center"/>
              <w:rPr>
                <w:rFonts w:ascii="Times New Roman" w:eastAsia="Times New Roman" w:hAnsi="Times New Roman" w:cs="Times New Roman"/>
                <w:b/>
                <w:bCs/>
                <w:kern w:val="0"/>
                <w:lang w:eastAsia="en-GB"/>
                <w14:ligatures w14:val="none"/>
              </w:rPr>
            </w:pPr>
            <w:r w:rsidRPr="00CB1D16">
              <w:rPr>
                <w:rFonts w:ascii="Times New Roman" w:eastAsia="Times New Roman" w:hAnsi="Times New Roman" w:cs="Times New Roman"/>
                <w:b/>
                <w:bCs/>
                <w:kern w:val="0"/>
                <w:lang w:eastAsia="en-GB"/>
                <w14:ligatures w14:val="none"/>
              </w:rPr>
              <w:t>Metric</w:t>
            </w:r>
          </w:p>
        </w:tc>
        <w:tc>
          <w:tcPr>
            <w:tcW w:w="0" w:type="auto"/>
            <w:tcBorders>
              <w:top w:val="single" w:sz="4" w:space="0" w:color="auto"/>
              <w:bottom w:val="single" w:sz="4" w:space="0" w:color="auto"/>
            </w:tcBorders>
            <w:vAlign w:val="center"/>
            <w:hideMark/>
          </w:tcPr>
          <w:p w14:paraId="686554B0" w14:textId="77777777" w:rsidR="00CB1D16" w:rsidRPr="00CB1D16" w:rsidRDefault="00CB1D16" w:rsidP="00CB1D16">
            <w:pPr>
              <w:spacing w:after="0" w:line="240" w:lineRule="auto"/>
              <w:ind w:firstLine="0"/>
              <w:jc w:val="center"/>
              <w:rPr>
                <w:rFonts w:ascii="Times New Roman" w:eastAsia="Times New Roman" w:hAnsi="Times New Roman" w:cs="Times New Roman"/>
                <w:b/>
                <w:bCs/>
                <w:kern w:val="0"/>
                <w:lang w:eastAsia="en-GB"/>
                <w14:ligatures w14:val="none"/>
              </w:rPr>
            </w:pPr>
            <w:r w:rsidRPr="00CB1D16">
              <w:rPr>
                <w:rFonts w:ascii="Times New Roman" w:eastAsia="Times New Roman" w:hAnsi="Times New Roman" w:cs="Times New Roman"/>
                <w:b/>
                <w:bCs/>
                <w:kern w:val="0"/>
                <w:lang w:eastAsia="en-GB"/>
                <w14:ligatures w14:val="none"/>
              </w:rPr>
              <w:t>External (Sum)</w:t>
            </w:r>
          </w:p>
        </w:tc>
        <w:tc>
          <w:tcPr>
            <w:tcW w:w="0" w:type="auto"/>
            <w:tcBorders>
              <w:top w:val="single" w:sz="4" w:space="0" w:color="auto"/>
              <w:bottom w:val="single" w:sz="4" w:space="0" w:color="auto"/>
            </w:tcBorders>
            <w:vAlign w:val="center"/>
            <w:hideMark/>
          </w:tcPr>
          <w:p w14:paraId="126EC87F" w14:textId="77777777" w:rsidR="00CB1D16" w:rsidRPr="00CB1D16" w:rsidRDefault="00CB1D16" w:rsidP="00CB1D16">
            <w:pPr>
              <w:spacing w:after="0" w:line="240" w:lineRule="auto"/>
              <w:ind w:firstLine="0"/>
              <w:jc w:val="center"/>
              <w:rPr>
                <w:rFonts w:ascii="Times New Roman" w:eastAsia="Times New Roman" w:hAnsi="Times New Roman" w:cs="Times New Roman"/>
                <w:b/>
                <w:bCs/>
                <w:kern w:val="0"/>
                <w:lang w:eastAsia="en-GB"/>
                <w14:ligatures w14:val="none"/>
              </w:rPr>
            </w:pPr>
            <w:r w:rsidRPr="00CB1D16">
              <w:rPr>
                <w:rFonts w:ascii="Times New Roman" w:eastAsia="Times New Roman" w:hAnsi="Times New Roman" w:cs="Times New Roman"/>
                <w:b/>
                <w:bCs/>
                <w:kern w:val="0"/>
                <w:lang w:eastAsia="en-GB"/>
                <w14:ligatures w14:val="none"/>
              </w:rPr>
              <w:t>Internal (Sum)</w:t>
            </w:r>
          </w:p>
        </w:tc>
        <w:tc>
          <w:tcPr>
            <w:tcW w:w="0" w:type="auto"/>
            <w:tcBorders>
              <w:top w:val="single" w:sz="4" w:space="0" w:color="auto"/>
              <w:bottom w:val="single" w:sz="4" w:space="0" w:color="auto"/>
            </w:tcBorders>
            <w:vAlign w:val="center"/>
            <w:hideMark/>
          </w:tcPr>
          <w:p w14:paraId="3F0E5A79" w14:textId="77777777" w:rsidR="00CB1D16" w:rsidRPr="00CB1D16" w:rsidRDefault="00CB1D16" w:rsidP="00CB1D16">
            <w:pPr>
              <w:spacing w:after="0" w:line="240" w:lineRule="auto"/>
              <w:ind w:firstLine="0"/>
              <w:jc w:val="center"/>
              <w:rPr>
                <w:rFonts w:ascii="Times New Roman" w:eastAsia="Times New Roman" w:hAnsi="Times New Roman" w:cs="Times New Roman"/>
                <w:b/>
                <w:bCs/>
                <w:kern w:val="0"/>
                <w:lang w:eastAsia="en-GB"/>
                <w14:ligatures w14:val="none"/>
              </w:rPr>
            </w:pPr>
            <w:r w:rsidRPr="00CB1D16">
              <w:rPr>
                <w:rFonts w:ascii="Times New Roman" w:eastAsia="Times New Roman" w:hAnsi="Times New Roman" w:cs="Times New Roman"/>
                <w:b/>
                <w:bCs/>
                <w:kern w:val="0"/>
                <w:lang w:eastAsia="en-GB"/>
                <w14:ligatures w14:val="none"/>
              </w:rPr>
              <w:t>External (Mean)</w:t>
            </w:r>
          </w:p>
        </w:tc>
        <w:tc>
          <w:tcPr>
            <w:tcW w:w="0" w:type="auto"/>
            <w:tcBorders>
              <w:top w:val="single" w:sz="4" w:space="0" w:color="auto"/>
              <w:bottom w:val="single" w:sz="4" w:space="0" w:color="auto"/>
            </w:tcBorders>
            <w:vAlign w:val="center"/>
            <w:hideMark/>
          </w:tcPr>
          <w:p w14:paraId="24B19F7D" w14:textId="77777777" w:rsidR="00CB1D16" w:rsidRPr="00CB1D16" w:rsidRDefault="00CB1D16" w:rsidP="00CB1D16">
            <w:pPr>
              <w:spacing w:after="0" w:line="240" w:lineRule="auto"/>
              <w:ind w:firstLine="0"/>
              <w:jc w:val="center"/>
              <w:rPr>
                <w:rFonts w:ascii="Times New Roman" w:eastAsia="Times New Roman" w:hAnsi="Times New Roman" w:cs="Times New Roman"/>
                <w:b/>
                <w:bCs/>
                <w:kern w:val="0"/>
                <w:lang w:eastAsia="en-GB"/>
                <w14:ligatures w14:val="none"/>
              </w:rPr>
            </w:pPr>
            <w:r w:rsidRPr="00CB1D16">
              <w:rPr>
                <w:rFonts w:ascii="Times New Roman" w:eastAsia="Times New Roman" w:hAnsi="Times New Roman" w:cs="Times New Roman"/>
                <w:b/>
                <w:bCs/>
                <w:kern w:val="0"/>
                <w:lang w:eastAsia="en-GB"/>
                <w14:ligatures w14:val="none"/>
              </w:rPr>
              <w:t>Internal (Mean)</w:t>
            </w:r>
          </w:p>
        </w:tc>
        <w:tc>
          <w:tcPr>
            <w:tcW w:w="0" w:type="auto"/>
            <w:tcBorders>
              <w:top w:val="single" w:sz="4" w:space="0" w:color="auto"/>
              <w:bottom w:val="single" w:sz="4" w:space="0" w:color="auto"/>
            </w:tcBorders>
            <w:vAlign w:val="center"/>
            <w:hideMark/>
          </w:tcPr>
          <w:p w14:paraId="4D40357B" w14:textId="3C0D9011" w:rsidR="00CB1D16" w:rsidRPr="00CB1D16" w:rsidRDefault="00CB1D16" w:rsidP="00CB1D16">
            <w:pPr>
              <w:spacing w:after="0" w:line="240" w:lineRule="auto"/>
              <w:ind w:firstLine="0"/>
              <w:jc w:val="center"/>
              <w:rPr>
                <w:rFonts w:ascii="Times New Roman" w:eastAsia="Times New Roman" w:hAnsi="Times New Roman" w:cs="Times New Roman"/>
                <w:b/>
                <w:bCs/>
                <w:kern w:val="0"/>
                <w:lang w:eastAsia="en-GB"/>
                <w14:ligatures w14:val="none"/>
              </w:rPr>
            </w:pPr>
            <w:r w:rsidRPr="00CB1D16">
              <w:rPr>
                <w:rFonts w:ascii="Times New Roman" w:eastAsia="Times New Roman" w:hAnsi="Times New Roman" w:cs="Times New Roman"/>
                <w:b/>
                <w:bCs/>
                <w:kern w:val="0"/>
                <w:lang w:eastAsia="en-GB"/>
                <w14:ligatures w14:val="none"/>
              </w:rPr>
              <w:t>T-test</w:t>
            </w:r>
            <w:r w:rsidR="004F7035">
              <w:rPr>
                <w:rFonts w:ascii="Times New Roman" w:eastAsia="Times New Roman" w:hAnsi="Times New Roman" w:cs="Times New Roman"/>
                <w:b/>
                <w:bCs/>
                <w:kern w:val="0"/>
                <w:lang w:eastAsia="en-GB"/>
                <w14:ligatures w14:val="none"/>
              </w:rPr>
              <w:t xml:space="preserve"> </w:t>
            </w:r>
            <w:r w:rsidRPr="00CB1D16">
              <w:rPr>
                <w:rFonts w:ascii="Times New Roman" w:eastAsia="Times New Roman" w:hAnsi="Times New Roman" w:cs="Times New Roman"/>
                <w:b/>
                <w:bCs/>
                <w:kern w:val="0"/>
                <w:lang w:eastAsia="en-GB"/>
                <w14:ligatures w14:val="none"/>
              </w:rPr>
              <w:t>(Diff)</w:t>
            </w:r>
          </w:p>
        </w:tc>
      </w:tr>
      <w:tr w:rsidR="00CB1D16" w:rsidRPr="00CB1D16" w14:paraId="574CCF56" w14:textId="77777777" w:rsidTr="00906E1D">
        <w:trPr>
          <w:tblCellSpacing w:w="15" w:type="dxa"/>
        </w:trPr>
        <w:tc>
          <w:tcPr>
            <w:tcW w:w="0" w:type="auto"/>
            <w:vAlign w:val="center"/>
            <w:hideMark/>
          </w:tcPr>
          <w:p w14:paraId="36A129DB"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r w:rsidRPr="00CB1D16">
              <w:rPr>
                <w:rFonts w:ascii="Times New Roman" w:eastAsia="Times New Roman" w:hAnsi="Times New Roman" w:cs="Times New Roman"/>
                <w:b/>
                <w:bCs/>
                <w:kern w:val="0"/>
                <w:lang w:eastAsia="en-GB"/>
                <w14:ligatures w14:val="none"/>
              </w:rPr>
              <w:t>ENVMGT</w:t>
            </w:r>
          </w:p>
        </w:tc>
        <w:tc>
          <w:tcPr>
            <w:tcW w:w="0" w:type="auto"/>
            <w:vAlign w:val="center"/>
            <w:hideMark/>
          </w:tcPr>
          <w:p w14:paraId="5FCF96C4"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r w:rsidRPr="00CB1D16">
              <w:rPr>
                <w:rFonts w:ascii="Times New Roman" w:eastAsia="Times New Roman" w:hAnsi="Times New Roman" w:cs="Times New Roman"/>
                <w:kern w:val="0"/>
                <w:lang w:eastAsia="en-GB"/>
                <w14:ligatures w14:val="none"/>
              </w:rPr>
              <w:t>NUM</w:t>
            </w:r>
          </w:p>
        </w:tc>
        <w:tc>
          <w:tcPr>
            <w:tcW w:w="0" w:type="auto"/>
            <w:vAlign w:val="center"/>
            <w:hideMark/>
          </w:tcPr>
          <w:p w14:paraId="39D7BFBC" w14:textId="46676AFB"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17</w:t>
            </w:r>
          </w:p>
        </w:tc>
        <w:tc>
          <w:tcPr>
            <w:tcW w:w="0" w:type="auto"/>
            <w:vAlign w:val="center"/>
            <w:hideMark/>
          </w:tcPr>
          <w:p w14:paraId="24E363AB" w14:textId="33F9AEF2"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127</w:t>
            </w:r>
          </w:p>
        </w:tc>
        <w:tc>
          <w:tcPr>
            <w:tcW w:w="0" w:type="auto"/>
            <w:vAlign w:val="center"/>
            <w:hideMark/>
          </w:tcPr>
          <w:p w14:paraId="42735ED4" w14:textId="71388A9A"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0.48</w:t>
            </w:r>
          </w:p>
        </w:tc>
        <w:tc>
          <w:tcPr>
            <w:tcW w:w="0" w:type="auto"/>
            <w:vAlign w:val="center"/>
            <w:hideMark/>
          </w:tcPr>
          <w:p w14:paraId="5F09BE56" w14:textId="397E59FA"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3.63</w:t>
            </w:r>
          </w:p>
        </w:tc>
        <w:tc>
          <w:tcPr>
            <w:tcW w:w="0" w:type="auto"/>
            <w:vAlign w:val="center"/>
            <w:hideMark/>
          </w:tcPr>
          <w:p w14:paraId="13D7C27C" w14:textId="50ABC10D"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4.27***</w:t>
            </w:r>
          </w:p>
        </w:tc>
      </w:tr>
      <w:tr w:rsidR="00CB1D16" w:rsidRPr="00CB1D16" w14:paraId="40B6817F" w14:textId="77777777" w:rsidTr="00906E1D">
        <w:trPr>
          <w:tblCellSpacing w:w="15" w:type="dxa"/>
        </w:trPr>
        <w:tc>
          <w:tcPr>
            <w:tcW w:w="0" w:type="auto"/>
            <w:vAlign w:val="center"/>
            <w:hideMark/>
          </w:tcPr>
          <w:p w14:paraId="38BAEA3D"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p>
        </w:tc>
        <w:tc>
          <w:tcPr>
            <w:tcW w:w="0" w:type="auto"/>
            <w:vAlign w:val="center"/>
            <w:hideMark/>
          </w:tcPr>
          <w:p w14:paraId="75B8F163"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r w:rsidRPr="00CB1D16">
              <w:rPr>
                <w:rFonts w:ascii="Times New Roman" w:eastAsia="Times New Roman" w:hAnsi="Times New Roman" w:cs="Times New Roman"/>
                <w:kern w:val="0"/>
                <w:lang w:eastAsia="en-GB"/>
                <w14:ligatures w14:val="none"/>
              </w:rPr>
              <w:t>NAR</w:t>
            </w:r>
          </w:p>
        </w:tc>
        <w:tc>
          <w:tcPr>
            <w:tcW w:w="0" w:type="auto"/>
            <w:vAlign w:val="center"/>
            <w:hideMark/>
          </w:tcPr>
          <w:p w14:paraId="53114AE4" w14:textId="0E55DAE7"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97</w:t>
            </w:r>
          </w:p>
        </w:tc>
        <w:tc>
          <w:tcPr>
            <w:tcW w:w="0" w:type="auto"/>
            <w:vAlign w:val="center"/>
            <w:hideMark/>
          </w:tcPr>
          <w:p w14:paraId="5972E445" w14:textId="69D8A11F"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767</w:t>
            </w:r>
          </w:p>
        </w:tc>
        <w:tc>
          <w:tcPr>
            <w:tcW w:w="0" w:type="auto"/>
            <w:vAlign w:val="center"/>
            <w:hideMark/>
          </w:tcPr>
          <w:p w14:paraId="27AC03EF" w14:textId="2E2F8CC7"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2.77</w:t>
            </w:r>
          </w:p>
        </w:tc>
        <w:tc>
          <w:tcPr>
            <w:tcW w:w="0" w:type="auto"/>
            <w:vAlign w:val="center"/>
            <w:hideMark/>
          </w:tcPr>
          <w:p w14:paraId="0D1FABA3" w14:textId="0AE2CA7A"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21.97</w:t>
            </w:r>
          </w:p>
        </w:tc>
        <w:tc>
          <w:tcPr>
            <w:tcW w:w="0" w:type="auto"/>
            <w:vAlign w:val="center"/>
            <w:hideMark/>
          </w:tcPr>
          <w:p w14:paraId="13084E74" w14:textId="4458D40A"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5.48***</w:t>
            </w:r>
          </w:p>
        </w:tc>
      </w:tr>
      <w:tr w:rsidR="00CB1D16" w:rsidRPr="00CB1D16" w14:paraId="530899DA" w14:textId="77777777" w:rsidTr="00906E1D">
        <w:trPr>
          <w:tblCellSpacing w:w="15" w:type="dxa"/>
        </w:trPr>
        <w:tc>
          <w:tcPr>
            <w:tcW w:w="0" w:type="auto"/>
            <w:vAlign w:val="center"/>
            <w:hideMark/>
          </w:tcPr>
          <w:p w14:paraId="3492B84F"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p>
        </w:tc>
        <w:tc>
          <w:tcPr>
            <w:tcW w:w="0" w:type="auto"/>
            <w:vAlign w:val="center"/>
            <w:hideMark/>
          </w:tcPr>
          <w:p w14:paraId="7BB57A00"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r w:rsidRPr="00CB1D16">
              <w:rPr>
                <w:rFonts w:ascii="Times New Roman" w:eastAsia="Times New Roman" w:hAnsi="Times New Roman" w:cs="Times New Roman"/>
                <w:kern w:val="0"/>
                <w:lang w:eastAsia="en-GB"/>
                <w14:ligatures w14:val="none"/>
              </w:rPr>
              <w:t>P/T</w:t>
            </w:r>
          </w:p>
        </w:tc>
        <w:tc>
          <w:tcPr>
            <w:tcW w:w="0" w:type="auto"/>
            <w:vAlign w:val="center"/>
            <w:hideMark/>
          </w:tcPr>
          <w:p w14:paraId="7C1640E4" w14:textId="6D5E7685"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0</w:t>
            </w:r>
          </w:p>
        </w:tc>
        <w:tc>
          <w:tcPr>
            <w:tcW w:w="0" w:type="auto"/>
            <w:vAlign w:val="center"/>
            <w:hideMark/>
          </w:tcPr>
          <w:p w14:paraId="7CC4646F" w14:textId="21191E9B"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65</w:t>
            </w:r>
          </w:p>
        </w:tc>
        <w:tc>
          <w:tcPr>
            <w:tcW w:w="0" w:type="auto"/>
            <w:vAlign w:val="center"/>
            <w:hideMark/>
          </w:tcPr>
          <w:p w14:paraId="154DEF09" w14:textId="69A1C17E"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0.00</w:t>
            </w:r>
          </w:p>
        </w:tc>
        <w:tc>
          <w:tcPr>
            <w:tcW w:w="0" w:type="auto"/>
            <w:vAlign w:val="center"/>
            <w:hideMark/>
          </w:tcPr>
          <w:p w14:paraId="69D7F7B8" w14:textId="345DBB2F"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1.86</w:t>
            </w:r>
          </w:p>
        </w:tc>
        <w:tc>
          <w:tcPr>
            <w:tcW w:w="0" w:type="auto"/>
            <w:vAlign w:val="center"/>
            <w:hideMark/>
          </w:tcPr>
          <w:p w14:paraId="1D474AAD" w14:textId="1ECB4A98"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8.86***</w:t>
            </w:r>
          </w:p>
        </w:tc>
      </w:tr>
      <w:tr w:rsidR="00CB1D16" w:rsidRPr="00CB1D16" w14:paraId="22BB5DD3" w14:textId="77777777" w:rsidTr="00906E1D">
        <w:trPr>
          <w:tblCellSpacing w:w="15" w:type="dxa"/>
        </w:trPr>
        <w:tc>
          <w:tcPr>
            <w:tcW w:w="0" w:type="auto"/>
            <w:vAlign w:val="center"/>
            <w:hideMark/>
          </w:tcPr>
          <w:p w14:paraId="0C031338"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p>
        </w:tc>
        <w:tc>
          <w:tcPr>
            <w:tcW w:w="0" w:type="auto"/>
            <w:vAlign w:val="center"/>
            <w:hideMark/>
          </w:tcPr>
          <w:p w14:paraId="6D0508B5"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r w:rsidRPr="00CB1D16">
              <w:rPr>
                <w:rFonts w:ascii="Times New Roman" w:eastAsia="Times New Roman" w:hAnsi="Times New Roman" w:cs="Times New Roman"/>
                <w:kern w:val="0"/>
                <w:lang w:eastAsia="en-GB"/>
                <w14:ligatures w14:val="none"/>
              </w:rPr>
              <w:t>OA</w:t>
            </w:r>
          </w:p>
        </w:tc>
        <w:tc>
          <w:tcPr>
            <w:tcW w:w="0" w:type="auto"/>
            <w:vAlign w:val="center"/>
            <w:hideMark/>
          </w:tcPr>
          <w:p w14:paraId="752BFEE3" w14:textId="49266957"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97</w:t>
            </w:r>
          </w:p>
        </w:tc>
        <w:tc>
          <w:tcPr>
            <w:tcW w:w="0" w:type="auto"/>
            <w:vAlign w:val="center"/>
            <w:hideMark/>
          </w:tcPr>
          <w:p w14:paraId="33DE437A" w14:textId="2E3DD3E6"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702</w:t>
            </w:r>
          </w:p>
        </w:tc>
        <w:tc>
          <w:tcPr>
            <w:tcW w:w="0" w:type="auto"/>
            <w:vAlign w:val="center"/>
            <w:hideMark/>
          </w:tcPr>
          <w:p w14:paraId="70CF6048" w14:textId="3A23BABC"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2.77</w:t>
            </w:r>
          </w:p>
        </w:tc>
        <w:tc>
          <w:tcPr>
            <w:tcW w:w="0" w:type="auto"/>
            <w:vAlign w:val="center"/>
            <w:hideMark/>
          </w:tcPr>
          <w:p w14:paraId="5EAD9680" w14:textId="2B121A09"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20.05</w:t>
            </w:r>
          </w:p>
        </w:tc>
        <w:tc>
          <w:tcPr>
            <w:tcW w:w="0" w:type="auto"/>
            <w:vAlign w:val="center"/>
            <w:hideMark/>
          </w:tcPr>
          <w:p w14:paraId="44739F84" w14:textId="77F95D37"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5.05***</w:t>
            </w:r>
          </w:p>
        </w:tc>
      </w:tr>
      <w:tr w:rsidR="00CB1D16" w:rsidRPr="00CB1D16" w14:paraId="170A5ECA" w14:textId="77777777" w:rsidTr="00906E1D">
        <w:trPr>
          <w:tblCellSpacing w:w="15" w:type="dxa"/>
        </w:trPr>
        <w:tc>
          <w:tcPr>
            <w:tcW w:w="0" w:type="auto"/>
            <w:vAlign w:val="center"/>
            <w:hideMark/>
          </w:tcPr>
          <w:p w14:paraId="090B3D73"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r w:rsidRPr="00CB1D16">
              <w:rPr>
                <w:rFonts w:ascii="Times New Roman" w:eastAsia="Times New Roman" w:hAnsi="Times New Roman" w:cs="Times New Roman"/>
                <w:b/>
                <w:bCs/>
                <w:kern w:val="0"/>
                <w:lang w:eastAsia="en-GB"/>
                <w14:ligatures w14:val="none"/>
              </w:rPr>
              <w:t>CC</w:t>
            </w:r>
          </w:p>
        </w:tc>
        <w:tc>
          <w:tcPr>
            <w:tcW w:w="0" w:type="auto"/>
            <w:vAlign w:val="center"/>
            <w:hideMark/>
          </w:tcPr>
          <w:p w14:paraId="0F41176F"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r w:rsidRPr="00CB1D16">
              <w:rPr>
                <w:rFonts w:ascii="Times New Roman" w:eastAsia="Times New Roman" w:hAnsi="Times New Roman" w:cs="Times New Roman"/>
                <w:kern w:val="0"/>
                <w:lang w:eastAsia="en-GB"/>
                <w14:ligatures w14:val="none"/>
              </w:rPr>
              <w:t>NUM</w:t>
            </w:r>
          </w:p>
        </w:tc>
        <w:tc>
          <w:tcPr>
            <w:tcW w:w="0" w:type="auto"/>
            <w:vAlign w:val="center"/>
            <w:hideMark/>
          </w:tcPr>
          <w:p w14:paraId="4F2CA8B5" w14:textId="3AD0F69C"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35</w:t>
            </w:r>
          </w:p>
        </w:tc>
        <w:tc>
          <w:tcPr>
            <w:tcW w:w="0" w:type="auto"/>
            <w:vAlign w:val="center"/>
            <w:hideMark/>
          </w:tcPr>
          <w:p w14:paraId="7F51081C" w14:textId="19E68273"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236</w:t>
            </w:r>
          </w:p>
        </w:tc>
        <w:tc>
          <w:tcPr>
            <w:tcW w:w="0" w:type="auto"/>
            <w:vAlign w:val="center"/>
            <w:hideMark/>
          </w:tcPr>
          <w:p w14:paraId="62B10AA3" w14:textId="5CD73BA0"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1.00</w:t>
            </w:r>
          </w:p>
        </w:tc>
        <w:tc>
          <w:tcPr>
            <w:tcW w:w="0" w:type="auto"/>
            <w:vAlign w:val="center"/>
            <w:hideMark/>
          </w:tcPr>
          <w:p w14:paraId="3CF201C8" w14:textId="35F489DF"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6.74</w:t>
            </w:r>
          </w:p>
        </w:tc>
        <w:tc>
          <w:tcPr>
            <w:tcW w:w="0" w:type="auto"/>
            <w:vAlign w:val="center"/>
            <w:hideMark/>
          </w:tcPr>
          <w:p w14:paraId="2B3B2515" w14:textId="347A096F"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5.11***</w:t>
            </w:r>
          </w:p>
        </w:tc>
      </w:tr>
      <w:tr w:rsidR="00CB1D16" w:rsidRPr="00CB1D16" w14:paraId="6694E79A" w14:textId="77777777" w:rsidTr="00906E1D">
        <w:trPr>
          <w:tblCellSpacing w:w="15" w:type="dxa"/>
        </w:trPr>
        <w:tc>
          <w:tcPr>
            <w:tcW w:w="0" w:type="auto"/>
            <w:vAlign w:val="center"/>
            <w:hideMark/>
          </w:tcPr>
          <w:p w14:paraId="03E31BCA"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p>
        </w:tc>
        <w:tc>
          <w:tcPr>
            <w:tcW w:w="0" w:type="auto"/>
            <w:vAlign w:val="center"/>
            <w:hideMark/>
          </w:tcPr>
          <w:p w14:paraId="3AADD4E6"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r w:rsidRPr="00CB1D16">
              <w:rPr>
                <w:rFonts w:ascii="Times New Roman" w:eastAsia="Times New Roman" w:hAnsi="Times New Roman" w:cs="Times New Roman"/>
                <w:kern w:val="0"/>
                <w:lang w:eastAsia="en-GB"/>
                <w14:ligatures w14:val="none"/>
              </w:rPr>
              <w:t>NAR</w:t>
            </w:r>
          </w:p>
        </w:tc>
        <w:tc>
          <w:tcPr>
            <w:tcW w:w="0" w:type="auto"/>
            <w:vAlign w:val="center"/>
            <w:hideMark/>
          </w:tcPr>
          <w:p w14:paraId="39CD3E17" w14:textId="42E92DC1"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122</w:t>
            </w:r>
          </w:p>
        </w:tc>
        <w:tc>
          <w:tcPr>
            <w:tcW w:w="0" w:type="auto"/>
            <w:vAlign w:val="center"/>
            <w:hideMark/>
          </w:tcPr>
          <w:p w14:paraId="11D3DD96" w14:textId="6D2EA1A7"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1305</w:t>
            </w:r>
          </w:p>
        </w:tc>
        <w:tc>
          <w:tcPr>
            <w:tcW w:w="0" w:type="auto"/>
            <w:vAlign w:val="center"/>
            <w:hideMark/>
          </w:tcPr>
          <w:p w14:paraId="07E8862F" w14:textId="527EEDF9"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3.48</w:t>
            </w:r>
          </w:p>
        </w:tc>
        <w:tc>
          <w:tcPr>
            <w:tcW w:w="0" w:type="auto"/>
            <w:vAlign w:val="center"/>
            <w:hideMark/>
          </w:tcPr>
          <w:p w14:paraId="7E705F82" w14:textId="2E3D4255"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37.28</w:t>
            </w:r>
          </w:p>
        </w:tc>
        <w:tc>
          <w:tcPr>
            <w:tcW w:w="0" w:type="auto"/>
            <w:vAlign w:val="center"/>
            <w:hideMark/>
          </w:tcPr>
          <w:p w14:paraId="380D0566" w14:textId="48C8A3F1"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4.83***</w:t>
            </w:r>
          </w:p>
        </w:tc>
      </w:tr>
      <w:tr w:rsidR="00CB1D16" w:rsidRPr="00CB1D16" w14:paraId="4047D566" w14:textId="77777777" w:rsidTr="00906E1D">
        <w:trPr>
          <w:tblCellSpacing w:w="15" w:type="dxa"/>
        </w:trPr>
        <w:tc>
          <w:tcPr>
            <w:tcW w:w="0" w:type="auto"/>
            <w:vAlign w:val="center"/>
            <w:hideMark/>
          </w:tcPr>
          <w:p w14:paraId="7985FF12"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p>
        </w:tc>
        <w:tc>
          <w:tcPr>
            <w:tcW w:w="0" w:type="auto"/>
            <w:vAlign w:val="center"/>
            <w:hideMark/>
          </w:tcPr>
          <w:p w14:paraId="2497469C"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r w:rsidRPr="00CB1D16">
              <w:rPr>
                <w:rFonts w:ascii="Times New Roman" w:eastAsia="Times New Roman" w:hAnsi="Times New Roman" w:cs="Times New Roman"/>
                <w:kern w:val="0"/>
                <w:lang w:eastAsia="en-GB"/>
                <w14:ligatures w14:val="none"/>
              </w:rPr>
              <w:t>P/T</w:t>
            </w:r>
          </w:p>
        </w:tc>
        <w:tc>
          <w:tcPr>
            <w:tcW w:w="0" w:type="auto"/>
            <w:vAlign w:val="center"/>
            <w:hideMark/>
          </w:tcPr>
          <w:p w14:paraId="5A7C85E5" w14:textId="467EA8E4"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0</w:t>
            </w:r>
          </w:p>
        </w:tc>
        <w:tc>
          <w:tcPr>
            <w:tcW w:w="0" w:type="auto"/>
            <w:vAlign w:val="center"/>
            <w:hideMark/>
          </w:tcPr>
          <w:p w14:paraId="76297702" w14:textId="35260FB3"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72</w:t>
            </w:r>
          </w:p>
        </w:tc>
        <w:tc>
          <w:tcPr>
            <w:tcW w:w="0" w:type="auto"/>
            <w:vAlign w:val="center"/>
            <w:hideMark/>
          </w:tcPr>
          <w:p w14:paraId="2FC7793F" w14:textId="61F5E4C2"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0.00</w:t>
            </w:r>
          </w:p>
        </w:tc>
        <w:tc>
          <w:tcPr>
            <w:tcW w:w="0" w:type="auto"/>
            <w:vAlign w:val="center"/>
            <w:hideMark/>
          </w:tcPr>
          <w:p w14:paraId="1283208F" w14:textId="15025155"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2.05</w:t>
            </w:r>
          </w:p>
        </w:tc>
        <w:tc>
          <w:tcPr>
            <w:tcW w:w="0" w:type="auto"/>
            <w:vAlign w:val="center"/>
            <w:hideMark/>
          </w:tcPr>
          <w:p w14:paraId="4B84CA0B" w14:textId="7898CFB6"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6.48***</w:t>
            </w:r>
          </w:p>
        </w:tc>
      </w:tr>
      <w:tr w:rsidR="00CB1D16" w:rsidRPr="00CB1D16" w14:paraId="22F55993" w14:textId="77777777" w:rsidTr="00906E1D">
        <w:trPr>
          <w:tblCellSpacing w:w="15" w:type="dxa"/>
        </w:trPr>
        <w:tc>
          <w:tcPr>
            <w:tcW w:w="0" w:type="auto"/>
            <w:vAlign w:val="center"/>
            <w:hideMark/>
          </w:tcPr>
          <w:p w14:paraId="1ED275E2"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p>
        </w:tc>
        <w:tc>
          <w:tcPr>
            <w:tcW w:w="0" w:type="auto"/>
            <w:vAlign w:val="center"/>
            <w:hideMark/>
          </w:tcPr>
          <w:p w14:paraId="0B01320D"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r w:rsidRPr="00CB1D16">
              <w:rPr>
                <w:rFonts w:ascii="Times New Roman" w:eastAsia="Times New Roman" w:hAnsi="Times New Roman" w:cs="Times New Roman"/>
                <w:kern w:val="0"/>
                <w:lang w:eastAsia="en-GB"/>
                <w14:ligatures w14:val="none"/>
              </w:rPr>
              <w:t>OA</w:t>
            </w:r>
          </w:p>
        </w:tc>
        <w:tc>
          <w:tcPr>
            <w:tcW w:w="0" w:type="auto"/>
            <w:vAlign w:val="center"/>
            <w:hideMark/>
          </w:tcPr>
          <w:p w14:paraId="47E9D31F" w14:textId="02A274F7"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122</w:t>
            </w:r>
          </w:p>
        </w:tc>
        <w:tc>
          <w:tcPr>
            <w:tcW w:w="0" w:type="auto"/>
            <w:vAlign w:val="center"/>
            <w:hideMark/>
          </w:tcPr>
          <w:p w14:paraId="70552127" w14:textId="1B26B050"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1233</w:t>
            </w:r>
          </w:p>
        </w:tc>
        <w:tc>
          <w:tcPr>
            <w:tcW w:w="0" w:type="auto"/>
            <w:vAlign w:val="center"/>
            <w:hideMark/>
          </w:tcPr>
          <w:p w14:paraId="0CE5CDA8" w14:textId="7C911A68"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3.48</w:t>
            </w:r>
          </w:p>
        </w:tc>
        <w:tc>
          <w:tcPr>
            <w:tcW w:w="0" w:type="auto"/>
            <w:vAlign w:val="center"/>
            <w:hideMark/>
          </w:tcPr>
          <w:p w14:paraId="670F5C81" w14:textId="32C9A09F"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35.22</w:t>
            </w:r>
          </w:p>
        </w:tc>
        <w:tc>
          <w:tcPr>
            <w:tcW w:w="0" w:type="auto"/>
            <w:vAlign w:val="center"/>
            <w:hideMark/>
          </w:tcPr>
          <w:p w14:paraId="535C9CB9" w14:textId="4CC63837"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4.69***</w:t>
            </w:r>
          </w:p>
        </w:tc>
      </w:tr>
      <w:tr w:rsidR="00CB1D16" w:rsidRPr="00CB1D16" w14:paraId="671B4F67" w14:textId="77777777" w:rsidTr="00906E1D">
        <w:trPr>
          <w:tblCellSpacing w:w="15" w:type="dxa"/>
        </w:trPr>
        <w:tc>
          <w:tcPr>
            <w:tcW w:w="0" w:type="auto"/>
            <w:vAlign w:val="center"/>
            <w:hideMark/>
          </w:tcPr>
          <w:p w14:paraId="397A1340"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r w:rsidRPr="00CB1D16">
              <w:rPr>
                <w:rFonts w:ascii="Times New Roman" w:eastAsia="Times New Roman" w:hAnsi="Times New Roman" w:cs="Times New Roman"/>
                <w:b/>
                <w:bCs/>
                <w:kern w:val="0"/>
                <w:lang w:eastAsia="en-GB"/>
                <w14:ligatures w14:val="none"/>
              </w:rPr>
              <w:t>ECO</w:t>
            </w:r>
          </w:p>
        </w:tc>
        <w:tc>
          <w:tcPr>
            <w:tcW w:w="0" w:type="auto"/>
            <w:vAlign w:val="center"/>
            <w:hideMark/>
          </w:tcPr>
          <w:p w14:paraId="1B415698"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r w:rsidRPr="00CB1D16">
              <w:rPr>
                <w:rFonts w:ascii="Times New Roman" w:eastAsia="Times New Roman" w:hAnsi="Times New Roman" w:cs="Times New Roman"/>
                <w:kern w:val="0"/>
                <w:lang w:eastAsia="en-GB"/>
                <w14:ligatures w14:val="none"/>
              </w:rPr>
              <w:t>NUM</w:t>
            </w:r>
          </w:p>
        </w:tc>
        <w:tc>
          <w:tcPr>
            <w:tcW w:w="0" w:type="auto"/>
            <w:vAlign w:val="center"/>
            <w:hideMark/>
          </w:tcPr>
          <w:p w14:paraId="34A3BE9D" w14:textId="43516227"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55</w:t>
            </w:r>
          </w:p>
        </w:tc>
        <w:tc>
          <w:tcPr>
            <w:tcW w:w="0" w:type="auto"/>
            <w:vAlign w:val="center"/>
            <w:hideMark/>
          </w:tcPr>
          <w:p w14:paraId="08D46C1F" w14:textId="1B75A123"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42</w:t>
            </w:r>
          </w:p>
        </w:tc>
        <w:tc>
          <w:tcPr>
            <w:tcW w:w="0" w:type="auto"/>
            <w:vAlign w:val="center"/>
            <w:hideMark/>
          </w:tcPr>
          <w:p w14:paraId="5844A7FE" w14:textId="207B068F"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1.57</w:t>
            </w:r>
          </w:p>
        </w:tc>
        <w:tc>
          <w:tcPr>
            <w:tcW w:w="0" w:type="auto"/>
            <w:vAlign w:val="center"/>
            <w:hideMark/>
          </w:tcPr>
          <w:p w14:paraId="5CEDA718" w14:textId="6B9457D1"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1.20</w:t>
            </w:r>
          </w:p>
        </w:tc>
        <w:tc>
          <w:tcPr>
            <w:tcW w:w="0" w:type="auto"/>
            <w:vAlign w:val="center"/>
            <w:hideMark/>
          </w:tcPr>
          <w:p w14:paraId="24302C2C" w14:textId="7DE7B6BC"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0.46</w:t>
            </w:r>
          </w:p>
        </w:tc>
      </w:tr>
      <w:tr w:rsidR="00CB1D16" w:rsidRPr="00CB1D16" w14:paraId="0647BC69" w14:textId="77777777" w:rsidTr="00906E1D">
        <w:trPr>
          <w:tblCellSpacing w:w="15" w:type="dxa"/>
        </w:trPr>
        <w:tc>
          <w:tcPr>
            <w:tcW w:w="0" w:type="auto"/>
            <w:vAlign w:val="center"/>
            <w:hideMark/>
          </w:tcPr>
          <w:p w14:paraId="1DC1FDD5"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p>
        </w:tc>
        <w:tc>
          <w:tcPr>
            <w:tcW w:w="0" w:type="auto"/>
            <w:vAlign w:val="center"/>
            <w:hideMark/>
          </w:tcPr>
          <w:p w14:paraId="36339EEF"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r w:rsidRPr="00CB1D16">
              <w:rPr>
                <w:rFonts w:ascii="Times New Roman" w:eastAsia="Times New Roman" w:hAnsi="Times New Roman" w:cs="Times New Roman"/>
                <w:kern w:val="0"/>
                <w:lang w:eastAsia="en-GB"/>
                <w14:ligatures w14:val="none"/>
              </w:rPr>
              <w:t>NAR</w:t>
            </w:r>
          </w:p>
        </w:tc>
        <w:tc>
          <w:tcPr>
            <w:tcW w:w="0" w:type="auto"/>
            <w:vAlign w:val="center"/>
            <w:hideMark/>
          </w:tcPr>
          <w:p w14:paraId="75650665" w14:textId="148B81CF"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174</w:t>
            </w:r>
          </w:p>
        </w:tc>
        <w:tc>
          <w:tcPr>
            <w:tcW w:w="0" w:type="auto"/>
            <w:vAlign w:val="center"/>
            <w:hideMark/>
          </w:tcPr>
          <w:p w14:paraId="3FB34D26" w14:textId="797FB2F1"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818</w:t>
            </w:r>
          </w:p>
        </w:tc>
        <w:tc>
          <w:tcPr>
            <w:tcW w:w="0" w:type="auto"/>
            <w:vAlign w:val="center"/>
            <w:hideMark/>
          </w:tcPr>
          <w:p w14:paraId="5CA37967" w14:textId="45365C52"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4.97</w:t>
            </w:r>
          </w:p>
        </w:tc>
        <w:tc>
          <w:tcPr>
            <w:tcW w:w="0" w:type="auto"/>
            <w:vAlign w:val="center"/>
            <w:hideMark/>
          </w:tcPr>
          <w:p w14:paraId="06755304" w14:textId="33AA8854"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23.37</w:t>
            </w:r>
          </w:p>
        </w:tc>
        <w:tc>
          <w:tcPr>
            <w:tcW w:w="0" w:type="auto"/>
            <w:vAlign w:val="center"/>
            <w:hideMark/>
          </w:tcPr>
          <w:p w14:paraId="5DFE77D3" w14:textId="456D01E2"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2.30**</w:t>
            </w:r>
          </w:p>
        </w:tc>
      </w:tr>
      <w:tr w:rsidR="00CB1D16" w:rsidRPr="00CB1D16" w14:paraId="5C91C89B" w14:textId="77777777" w:rsidTr="00906E1D">
        <w:trPr>
          <w:tblCellSpacing w:w="15" w:type="dxa"/>
        </w:trPr>
        <w:tc>
          <w:tcPr>
            <w:tcW w:w="0" w:type="auto"/>
            <w:vAlign w:val="center"/>
            <w:hideMark/>
          </w:tcPr>
          <w:p w14:paraId="0913CB0F"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p>
        </w:tc>
        <w:tc>
          <w:tcPr>
            <w:tcW w:w="0" w:type="auto"/>
            <w:vAlign w:val="center"/>
            <w:hideMark/>
          </w:tcPr>
          <w:p w14:paraId="5761B9CB"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r w:rsidRPr="00CB1D16">
              <w:rPr>
                <w:rFonts w:ascii="Times New Roman" w:eastAsia="Times New Roman" w:hAnsi="Times New Roman" w:cs="Times New Roman"/>
                <w:kern w:val="0"/>
                <w:lang w:eastAsia="en-GB"/>
                <w14:ligatures w14:val="none"/>
              </w:rPr>
              <w:t>P/T</w:t>
            </w:r>
          </w:p>
        </w:tc>
        <w:tc>
          <w:tcPr>
            <w:tcW w:w="0" w:type="auto"/>
            <w:vAlign w:val="center"/>
            <w:hideMark/>
          </w:tcPr>
          <w:p w14:paraId="5B217530" w14:textId="17219374"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0</w:t>
            </w:r>
          </w:p>
        </w:tc>
        <w:tc>
          <w:tcPr>
            <w:tcW w:w="0" w:type="auto"/>
            <w:vAlign w:val="center"/>
            <w:hideMark/>
          </w:tcPr>
          <w:p w14:paraId="2D99A77A" w14:textId="7F5C22E5"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42</w:t>
            </w:r>
          </w:p>
        </w:tc>
        <w:tc>
          <w:tcPr>
            <w:tcW w:w="0" w:type="auto"/>
            <w:vAlign w:val="center"/>
            <w:hideMark/>
          </w:tcPr>
          <w:p w14:paraId="7ABAC284" w14:textId="22633FD8"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0.00</w:t>
            </w:r>
          </w:p>
        </w:tc>
        <w:tc>
          <w:tcPr>
            <w:tcW w:w="0" w:type="auto"/>
            <w:vAlign w:val="center"/>
            <w:hideMark/>
          </w:tcPr>
          <w:p w14:paraId="69C541EE" w14:textId="55F95ED4"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1.20</w:t>
            </w:r>
          </w:p>
        </w:tc>
        <w:tc>
          <w:tcPr>
            <w:tcW w:w="0" w:type="auto"/>
            <w:vAlign w:val="center"/>
            <w:hideMark/>
          </w:tcPr>
          <w:p w14:paraId="4F7F2A97" w14:textId="7865A49A"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4.89***</w:t>
            </w:r>
          </w:p>
        </w:tc>
      </w:tr>
      <w:tr w:rsidR="00CB1D16" w:rsidRPr="00CB1D16" w14:paraId="6D16063E" w14:textId="77777777" w:rsidTr="00906E1D">
        <w:trPr>
          <w:tblCellSpacing w:w="15" w:type="dxa"/>
        </w:trPr>
        <w:tc>
          <w:tcPr>
            <w:tcW w:w="0" w:type="auto"/>
            <w:tcBorders>
              <w:bottom w:val="single" w:sz="4" w:space="0" w:color="auto"/>
            </w:tcBorders>
            <w:vAlign w:val="center"/>
            <w:hideMark/>
          </w:tcPr>
          <w:p w14:paraId="5FC9D5C5"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p>
        </w:tc>
        <w:tc>
          <w:tcPr>
            <w:tcW w:w="0" w:type="auto"/>
            <w:tcBorders>
              <w:bottom w:val="single" w:sz="4" w:space="0" w:color="auto"/>
            </w:tcBorders>
            <w:vAlign w:val="center"/>
            <w:hideMark/>
          </w:tcPr>
          <w:p w14:paraId="5D1AE33F" w14:textId="77777777" w:rsidR="00CB1D16" w:rsidRPr="00CB1D16" w:rsidRDefault="00CB1D16" w:rsidP="00CB1D16">
            <w:pPr>
              <w:spacing w:after="0" w:line="240" w:lineRule="auto"/>
              <w:ind w:firstLine="0"/>
              <w:jc w:val="left"/>
              <w:rPr>
                <w:rFonts w:ascii="Times New Roman" w:eastAsia="Times New Roman" w:hAnsi="Times New Roman" w:cs="Times New Roman"/>
                <w:kern w:val="0"/>
                <w:lang w:eastAsia="en-GB"/>
                <w14:ligatures w14:val="none"/>
              </w:rPr>
            </w:pPr>
            <w:r w:rsidRPr="00CB1D16">
              <w:rPr>
                <w:rFonts w:ascii="Times New Roman" w:eastAsia="Times New Roman" w:hAnsi="Times New Roman" w:cs="Times New Roman"/>
                <w:kern w:val="0"/>
                <w:lang w:eastAsia="en-GB"/>
                <w14:ligatures w14:val="none"/>
              </w:rPr>
              <w:t>OA</w:t>
            </w:r>
          </w:p>
        </w:tc>
        <w:tc>
          <w:tcPr>
            <w:tcW w:w="0" w:type="auto"/>
            <w:tcBorders>
              <w:bottom w:val="single" w:sz="4" w:space="0" w:color="auto"/>
            </w:tcBorders>
            <w:vAlign w:val="center"/>
            <w:hideMark/>
          </w:tcPr>
          <w:p w14:paraId="6B8CCB50" w14:textId="4BC97F74"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174</w:t>
            </w:r>
          </w:p>
        </w:tc>
        <w:tc>
          <w:tcPr>
            <w:tcW w:w="0" w:type="auto"/>
            <w:tcBorders>
              <w:bottom w:val="single" w:sz="4" w:space="0" w:color="auto"/>
            </w:tcBorders>
            <w:vAlign w:val="center"/>
            <w:hideMark/>
          </w:tcPr>
          <w:p w14:paraId="1360BDB1" w14:textId="165ABA48"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776</w:t>
            </w:r>
          </w:p>
        </w:tc>
        <w:tc>
          <w:tcPr>
            <w:tcW w:w="0" w:type="auto"/>
            <w:tcBorders>
              <w:bottom w:val="single" w:sz="4" w:space="0" w:color="auto"/>
            </w:tcBorders>
            <w:vAlign w:val="center"/>
            <w:hideMark/>
          </w:tcPr>
          <w:p w14:paraId="0159EC12" w14:textId="49C8409A"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4.97</w:t>
            </w:r>
          </w:p>
        </w:tc>
        <w:tc>
          <w:tcPr>
            <w:tcW w:w="0" w:type="auto"/>
            <w:tcBorders>
              <w:bottom w:val="single" w:sz="4" w:space="0" w:color="auto"/>
            </w:tcBorders>
            <w:vAlign w:val="center"/>
            <w:hideMark/>
          </w:tcPr>
          <w:p w14:paraId="71C22DED" w14:textId="1D82E20C"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22.11</w:t>
            </w:r>
          </w:p>
        </w:tc>
        <w:tc>
          <w:tcPr>
            <w:tcW w:w="0" w:type="auto"/>
            <w:tcBorders>
              <w:bottom w:val="single" w:sz="4" w:space="0" w:color="auto"/>
            </w:tcBorders>
            <w:vAlign w:val="center"/>
            <w:hideMark/>
          </w:tcPr>
          <w:p w14:paraId="4168D090" w14:textId="04A376C1" w:rsidR="00CB1D16" w:rsidRPr="00CB1D16" w:rsidRDefault="004F7035" w:rsidP="00CB1D16">
            <w:pPr>
              <w:spacing w:after="0" w:line="240" w:lineRule="auto"/>
              <w:ind w:firstLine="0"/>
              <w:jc w:val="left"/>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00CB1D16" w:rsidRPr="00CB1D16">
              <w:rPr>
                <w:rFonts w:ascii="Times New Roman" w:eastAsia="Times New Roman" w:hAnsi="Times New Roman" w:cs="Times New Roman"/>
                <w:kern w:val="0"/>
                <w:lang w:eastAsia="en-GB"/>
                <w14:ligatures w14:val="none"/>
              </w:rPr>
              <w:t>2.16**</w:t>
            </w:r>
          </w:p>
        </w:tc>
      </w:tr>
    </w:tbl>
    <w:p w14:paraId="00FA61E0" w14:textId="77777777" w:rsidR="00CB1D16" w:rsidRPr="00CB1D16" w:rsidRDefault="00CB1D16" w:rsidP="00CB1D16">
      <w:pPr>
        <w:spacing w:before="100" w:beforeAutospacing="1" w:after="100" w:afterAutospacing="1" w:line="240" w:lineRule="auto"/>
        <w:ind w:firstLine="0"/>
        <w:jc w:val="left"/>
        <w:rPr>
          <w:rFonts w:ascii="Times New Roman" w:eastAsia="Times New Roman" w:hAnsi="Times New Roman" w:cs="Times New Roman"/>
          <w:kern w:val="0"/>
          <w:sz w:val="24"/>
          <w:szCs w:val="24"/>
          <w:lang w:eastAsia="en-GB"/>
          <w14:ligatures w14:val="none"/>
        </w:rPr>
      </w:pPr>
      <w:r w:rsidRPr="00CB1D16">
        <w:rPr>
          <w:rFonts w:ascii="Times New Roman" w:eastAsia="Times New Roman" w:hAnsi="Times New Roman" w:cs="Times New Roman"/>
          <w:b/>
          <w:bCs/>
          <w:kern w:val="0"/>
          <w:sz w:val="24"/>
          <w:szCs w:val="24"/>
          <w:lang w:eastAsia="en-GB"/>
          <w14:ligatures w14:val="none"/>
        </w:rPr>
        <w:t>Notes:</w:t>
      </w:r>
    </w:p>
    <w:p w14:paraId="208990D7" w14:textId="77777777" w:rsidR="00CB1D16" w:rsidRPr="00CB1D16" w:rsidRDefault="00CB1D16" w:rsidP="00CB1D16">
      <w:pPr>
        <w:numPr>
          <w:ilvl w:val="0"/>
          <w:numId w:val="45"/>
        </w:numPr>
        <w:spacing w:before="100" w:beforeAutospacing="1" w:after="100" w:afterAutospacing="1" w:line="276" w:lineRule="auto"/>
        <w:jc w:val="left"/>
        <w:rPr>
          <w:rFonts w:ascii="Times New Roman" w:eastAsia="Times New Roman" w:hAnsi="Times New Roman" w:cs="Times New Roman"/>
          <w:kern w:val="0"/>
          <w:sz w:val="24"/>
          <w:szCs w:val="24"/>
          <w:lang w:eastAsia="en-GB"/>
          <w14:ligatures w14:val="none"/>
        </w:rPr>
      </w:pPr>
      <w:r w:rsidRPr="00CB1D16">
        <w:rPr>
          <w:rFonts w:ascii="Times New Roman" w:eastAsia="Times New Roman" w:hAnsi="Times New Roman" w:cs="Times New Roman"/>
          <w:kern w:val="0"/>
          <w:sz w:val="24"/>
          <w:szCs w:val="24"/>
          <w:lang w:eastAsia="en-GB"/>
          <w14:ligatures w14:val="none"/>
        </w:rPr>
        <w:t>ENVMGT = Environmental Management</w:t>
      </w:r>
    </w:p>
    <w:p w14:paraId="58864001" w14:textId="77777777" w:rsidR="00CB1D16" w:rsidRPr="00CB1D16" w:rsidRDefault="00CB1D16" w:rsidP="00CB1D16">
      <w:pPr>
        <w:numPr>
          <w:ilvl w:val="0"/>
          <w:numId w:val="45"/>
        </w:numPr>
        <w:spacing w:before="100" w:beforeAutospacing="1" w:after="100" w:afterAutospacing="1" w:line="276" w:lineRule="auto"/>
        <w:jc w:val="left"/>
        <w:rPr>
          <w:rFonts w:ascii="Times New Roman" w:eastAsia="Times New Roman" w:hAnsi="Times New Roman" w:cs="Times New Roman"/>
          <w:kern w:val="0"/>
          <w:sz w:val="24"/>
          <w:szCs w:val="24"/>
          <w:lang w:eastAsia="en-GB"/>
          <w14:ligatures w14:val="none"/>
        </w:rPr>
      </w:pPr>
      <w:r w:rsidRPr="00CB1D16">
        <w:rPr>
          <w:rFonts w:ascii="Times New Roman" w:eastAsia="Times New Roman" w:hAnsi="Times New Roman" w:cs="Times New Roman"/>
          <w:kern w:val="0"/>
          <w:sz w:val="24"/>
          <w:szCs w:val="24"/>
          <w:lang w:eastAsia="en-GB"/>
          <w14:ligatures w14:val="none"/>
        </w:rPr>
        <w:t>CC = Climate Change</w:t>
      </w:r>
    </w:p>
    <w:p w14:paraId="315238AC" w14:textId="15EEB379" w:rsidR="00CB1D16" w:rsidRPr="00CB1D16" w:rsidRDefault="00CB1D16" w:rsidP="00CB1D16">
      <w:pPr>
        <w:numPr>
          <w:ilvl w:val="0"/>
          <w:numId w:val="45"/>
        </w:numPr>
        <w:spacing w:before="100" w:beforeAutospacing="1" w:after="100" w:afterAutospacing="1" w:line="276" w:lineRule="auto"/>
        <w:jc w:val="left"/>
        <w:rPr>
          <w:rFonts w:ascii="Times New Roman" w:eastAsia="Times New Roman" w:hAnsi="Times New Roman" w:cs="Times New Roman"/>
          <w:kern w:val="0"/>
          <w:sz w:val="24"/>
          <w:szCs w:val="24"/>
          <w:lang w:eastAsia="en-GB"/>
          <w14:ligatures w14:val="none"/>
        </w:rPr>
      </w:pPr>
      <w:r w:rsidRPr="00CB1D16">
        <w:rPr>
          <w:rFonts w:ascii="Times New Roman" w:eastAsia="Times New Roman" w:hAnsi="Times New Roman" w:cs="Times New Roman"/>
          <w:kern w:val="0"/>
          <w:sz w:val="24"/>
          <w:szCs w:val="24"/>
          <w:lang w:eastAsia="en-GB"/>
          <w14:ligatures w14:val="none"/>
        </w:rPr>
        <w:t>ECO = Eco</w:t>
      </w:r>
      <w:r w:rsidR="006C3227">
        <w:rPr>
          <w:rFonts w:ascii="Times New Roman" w:eastAsia="Times New Roman" w:hAnsi="Times New Roman" w:cs="Times New Roman"/>
          <w:kern w:val="0"/>
          <w:sz w:val="24"/>
          <w:szCs w:val="24"/>
          <w:lang w:eastAsia="en-GB"/>
          <w14:ligatures w14:val="none"/>
        </w:rPr>
        <w:t xml:space="preserve">systems </w:t>
      </w:r>
    </w:p>
    <w:p w14:paraId="3A54F999" w14:textId="3100FF45" w:rsidR="00CB1D16" w:rsidRPr="00CB1D16" w:rsidRDefault="00CB1D16" w:rsidP="00CB1D16">
      <w:pPr>
        <w:numPr>
          <w:ilvl w:val="0"/>
          <w:numId w:val="45"/>
        </w:numPr>
        <w:spacing w:before="100" w:beforeAutospacing="1" w:after="100" w:afterAutospacing="1" w:line="276" w:lineRule="auto"/>
        <w:jc w:val="left"/>
        <w:rPr>
          <w:rFonts w:ascii="Times New Roman" w:eastAsia="Times New Roman" w:hAnsi="Times New Roman" w:cs="Times New Roman"/>
          <w:kern w:val="0"/>
          <w:sz w:val="24"/>
          <w:szCs w:val="24"/>
          <w:lang w:eastAsia="en-GB"/>
          <w14:ligatures w14:val="none"/>
        </w:rPr>
      </w:pPr>
      <w:r w:rsidRPr="00CB1D16">
        <w:rPr>
          <w:rFonts w:ascii="Times New Roman" w:eastAsia="Times New Roman" w:hAnsi="Times New Roman" w:cs="Times New Roman"/>
          <w:kern w:val="0"/>
          <w:sz w:val="24"/>
          <w:szCs w:val="24"/>
          <w:lang w:eastAsia="en-GB"/>
          <w14:ligatures w14:val="none"/>
        </w:rPr>
        <w:t>NUM = Num</w:t>
      </w:r>
      <w:r w:rsidR="006C3227">
        <w:rPr>
          <w:rFonts w:ascii="Times New Roman" w:eastAsia="Times New Roman" w:hAnsi="Times New Roman" w:cs="Times New Roman"/>
          <w:kern w:val="0"/>
          <w:sz w:val="24"/>
          <w:szCs w:val="24"/>
          <w:lang w:eastAsia="en-GB"/>
          <w14:ligatures w14:val="none"/>
        </w:rPr>
        <w:t>erical disclosures</w:t>
      </w:r>
    </w:p>
    <w:p w14:paraId="68F837A0" w14:textId="77777777" w:rsidR="00CB1D16" w:rsidRPr="00CB1D16" w:rsidRDefault="00CB1D16" w:rsidP="00CB1D16">
      <w:pPr>
        <w:numPr>
          <w:ilvl w:val="0"/>
          <w:numId w:val="45"/>
        </w:numPr>
        <w:spacing w:before="100" w:beforeAutospacing="1" w:after="100" w:afterAutospacing="1" w:line="276" w:lineRule="auto"/>
        <w:jc w:val="left"/>
        <w:rPr>
          <w:rFonts w:ascii="Times New Roman" w:eastAsia="Times New Roman" w:hAnsi="Times New Roman" w:cs="Times New Roman"/>
          <w:kern w:val="0"/>
          <w:sz w:val="24"/>
          <w:szCs w:val="24"/>
          <w:lang w:eastAsia="en-GB"/>
          <w14:ligatures w14:val="none"/>
        </w:rPr>
      </w:pPr>
      <w:r w:rsidRPr="00CB1D16">
        <w:rPr>
          <w:rFonts w:ascii="Times New Roman" w:eastAsia="Times New Roman" w:hAnsi="Times New Roman" w:cs="Times New Roman"/>
          <w:kern w:val="0"/>
          <w:sz w:val="24"/>
          <w:szCs w:val="24"/>
          <w:lang w:eastAsia="en-GB"/>
          <w14:ligatures w14:val="none"/>
        </w:rPr>
        <w:t>NAR = Narrative Disclosures</w:t>
      </w:r>
    </w:p>
    <w:p w14:paraId="157AD530" w14:textId="77777777" w:rsidR="00CB1D16" w:rsidRPr="00CB1D16" w:rsidRDefault="00CB1D16" w:rsidP="00CB1D16">
      <w:pPr>
        <w:numPr>
          <w:ilvl w:val="0"/>
          <w:numId w:val="45"/>
        </w:numPr>
        <w:spacing w:before="100" w:beforeAutospacing="1" w:after="100" w:afterAutospacing="1" w:line="276" w:lineRule="auto"/>
        <w:jc w:val="left"/>
        <w:rPr>
          <w:rFonts w:ascii="Times New Roman" w:eastAsia="Times New Roman" w:hAnsi="Times New Roman" w:cs="Times New Roman"/>
          <w:kern w:val="0"/>
          <w:sz w:val="24"/>
          <w:szCs w:val="24"/>
          <w:lang w:eastAsia="en-GB"/>
          <w14:ligatures w14:val="none"/>
        </w:rPr>
      </w:pPr>
      <w:r w:rsidRPr="00CB1D16">
        <w:rPr>
          <w:rFonts w:ascii="Times New Roman" w:eastAsia="Times New Roman" w:hAnsi="Times New Roman" w:cs="Times New Roman"/>
          <w:kern w:val="0"/>
          <w:sz w:val="24"/>
          <w:szCs w:val="24"/>
          <w:lang w:eastAsia="en-GB"/>
          <w14:ligatures w14:val="none"/>
        </w:rPr>
        <w:t>P/T = Policy/Target Disclosures</w:t>
      </w:r>
    </w:p>
    <w:p w14:paraId="245140AC" w14:textId="53161877" w:rsidR="00CB1D16" w:rsidRPr="00CB1D16" w:rsidRDefault="00CB1D16" w:rsidP="00CB1D16">
      <w:pPr>
        <w:numPr>
          <w:ilvl w:val="0"/>
          <w:numId w:val="45"/>
        </w:numPr>
        <w:spacing w:before="100" w:beforeAutospacing="1" w:after="100" w:afterAutospacing="1" w:line="276" w:lineRule="auto"/>
        <w:jc w:val="left"/>
        <w:rPr>
          <w:rFonts w:ascii="Times New Roman" w:eastAsia="Times New Roman" w:hAnsi="Times New Roman" w:cs="Times New Roman"/>
          <w:kern w:val="0"/>
          <w:sz w:val="24"/>
          <w:szCs w:val="24"/>
          <w:lang w:eastAsia="en-GB"/>
          <w14:ligatures w14:val="none"/>
        </w:rPr>
      </w:pPr>
      <w:r w:rsidRPr="00CB1D16">
        <w:rPr>
          <w:rFonts w:ascii="Times New Roman" w:eastAsia="Times New Roman" w:hAnsi="Times New Roman" w:cs="Times New Roman"/>
          <w:kern w:val="0"/>
          <w:sz w:val="24"/>
          <w:szCs w:val="24"/>
          <w:lang w:eastAsia="en-GB"/>
          <w14:ligatures w14:val="none"/>
        </w:rPr>
        <w:t>OA = O</w:t>
      </w:r>
      <w:r w:rsidR="006C3227">
        <w:rPr>
          <w:rFonts w:ascii="Times New Roman" w:eastAsia="Times New Roman" w:hAnsi="Times New Roman" w:cs="Times New Roman"/>
          <w:kern w:val="0"/>
          <w:sz w:val="24"/>
          <w:szCs w:val="24"/>
          <w:lang w:eastAsia="en-GB"/>
          <w14:ligatures w14:val="none"/>
        </w:rPr>
        <w:t>perational activities</w:t>
      </w:r>
    </w:p>
    <w:p w14:paraId="5C2ABCBB" w14:textId="77777777" w:rsidR="00CB1D16" w:rsidRPr="00CB1D16" w:rsidRDefault="00CB1D16" w:rsidP="00CB1D16">
      <w:pPr>
        <w:numPr>
          <w:ilvl w:val="0"/>
          <w:numId w:val="45"/>
        </w:numPr>
        <w:spacing w:before="100" w:beforeAutospacing="1" w:after="100" w:afterAutospacing="1" w:line="276" w:lineRule="auto"/>
        <w:jc w:val="left"/>
        <w:rPr>
          <w:rFonts w:ascii="Times New Roman" w:eastAsia="Times New Roman" w:hAnsi="Times New Roman" w:cs="Times New Roman"/>
          <w:kern w:val="0"/>
          <w:sz w:val="24"/>
          <w:szCs w:val="24"/>
          <w:lang w:eastAsia="en-GB"/>
          <w14:ligatures w14:val="none"/>
        </w:rPr>
      </w:pPr>
      <w:r w:rsidRPr="00CB1D16">
        <w:rPr>
          <w:rFonts w:ascii="Times New Roman" w:eastAsia="Times New Roman" w:hAnsi="Times New Roman" w:cs="Times New Roman"/>
          <w:kern w:val="0"/>
          <w:sz w:val="24"/>
          <w:szCs w:val="24"/>
          <w:lang w:eastAsia="en-GB"/>
          <w14:ligatures w14:val="none"/>
        </w:rPr>
        <w:t>T-test significance levels: *</w:t>
      </w:r>
      <w:r w:rsidRPr="00CB1D16">
        <w:rPr>
          <w:rFonts w:ascii="Times New Roman" w:eastAsia="Times New Roman" w:hAnsi="Times New Roman" w:cs="Times New Roman"/>
          <w:b/>
          <w:bCs/>
          <w:kern w:val="0"/>
          <w:sz w:val="24"/>
          <w:szCs w:val="24"/>
          <w:lang w:eastAsia="en-GB"/>
          <w14:ligatures w14:val="none"/>
        </w:rPr>
        <w:t>p &lt; .01</w:t>
      </w:r>
      <w:r w:rsidRPr="00CB1D16">
        <w:rPr>
          <w:rFonts w:ascii="Times New Roman" w:eastAsia="Times New Roman" w:hAnsi="Times New Roman" w:cs="Times New Roman"/>
          <w:kern w:val="0"/>
          <w:sz w:val="24"/>
          <w:szCs w:val="24"/>
          <w:lang w:eastAsia="en-GB"/>
          <w14:ligatures w14:val="none"/>
        </w:rPr>
        <w:t xml:space="preserve">, </w:t>
      </w:r>
      <w:r w:rsidRPr="00CB1D16">
        <w:rPr>
          <w:rFonts w:ascii="Times New Roman" w:eastAsia="Times New Roman" w:hAnsi="Times New Roman" w:cs="Times New Roman"/>
          <w:b/>
          <w:bCs/>
          <w:kern w:val="0"/>
          <w:sz w:val="24"/>
          <w:szCs w:val="24"/>
          <w:lang w:eastAsia="en-GB"/>
          <w14:ligatures w14:val="none"/>
        </w:rPr>
        <w:t>p &lt; .05</w:t>
      </w:r>
      <w:r w:rsidRPr="00CB1D16">
        <w:rPr>
          <w:rFonts w:ascii="Times New Roman" w:eastAsia="Times New Roman" w:hAnsi="Times New Roman" w:cs="Times New Roman"/>
          <w:kern w:val="0"/>
          <w:sz w:val="24"/>
          <w:szCs w:val="24"/>
          <w:lang w:eastAsia="en-GB"/>
          <w14:ligatures w14:val="none"/>
        </w:rPr>
        <w:t xml:space="preserve">, </w:t>
      </w:r>
      <w:r w:rsidRPr="00CB1D16">
        <w:rPr>
          <w:rFonts w:ascii="Times New Roman" w:eastAsia="Times New Roman" w:hAnsi="Times New Roman" w:cs="Times New Roman"/>
          <w:i/>
          <w:iCs/>
          <w:kern w:val="0"/>
          <w:sz w:val="24"/>
          <w:szCs w:val="24"/>
          <w:lang w:eastAsia="en-GB"/>
          <w14:ligatures w14:val="none"/>
        </w:rPr>
        <w:t>p &lt; .1</w:t>
      </w:r>
    </w:p>
    <w:p w14:paraId="5AD0C74E" w14:textId="77777777" w:rsidR="004358B2" w:rsidRDefault="004358B2"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7BBFABF6" w14:textId="77777777" w:rsidR="0025134A" w:rsidRDefault="0025134A"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23823683" w14:textId="77777777" w:rsidR="0025134A" w:rsidRDefault="0025134A"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1138C853" w14:textId="77777777" w:rsidR="0025134A" w:rsidRDefault="0025134A"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5AC38DFB" w14:textId="77777777" w:rsidR="0025134A" w:rsidRDefault="0025134A"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541C34E5" w14:textId="77777777" w:rsidR="0025134A" w:rsidRPr="00CB1D16" w:rsidRDefault="0025134A"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422974D7"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433DE27C"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38A086AC"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274B92A7"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287C2ED6"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6362FBEB" w14:textId="44034FDC" w:rsidR="00156AD8" w:rsidRPr="009853E9" w:rsidRDefault="00CB1D16" w:rsidP="00CB1D16">
      <w:pPr>
        <w:spacing w:before="180" w:after="180" w:line="240" w:lineRule="auto"/>
        <w:ind w:firstLine="0"/>
        <w:jc w:val="left"/>
        <w:rPr>
          <w:rFonts w:ascii="Times New Roman" w:eastAsia="Aptos" w:hAnsi="Times New Roman" w:cs="Times New Roman"/>
          <w:b/>
          <w:bCs/>
          <w:color w:val="000000" w:themeColor="text1"/>
          <w:kern w:val="0"/>
          <w:sz w:val="24"/>
          <w:szCs w:val="24"/>
          <w:lang w:val="en-US"/>
          <w14:ligatures w14:val="none"/>
        </w:rPr>
      </w:pPr>
      <w:r w:rsidRPr="009853E9">
        <w:rPr>
          <w:rFonts w:ascii="Times New Roman" w:eastAsia="Aptos" w:hAnsi="Times New Roman" w:cs="Times New Roman"/>
          <w:b/>
          <w:bCs/>
          <w:color w:val="000000" w:themeColor="text1"/>
          <w:kern w:val="0"/>
          <w:sz w:val="24"/>
          <w:szCs w:val="24"/>
          <w:lang w:val="en-US"/>
          <w14:ligatures w14:val="none"/>
        </w:rPr>
        <w:lastRenderedPageBreak/>
        <w:t xml:space="preserve">Table 6(b). </w:t>
      </w:r>
      <w:r w:rsidR="00447C1A" w:rsidRPr="009853E9">
        <w:rPr>
          <w:rFonts w:ascii="Times New Roman" w:eastAsia="Aptos" w:hAnsi="Times New Roman" w:cs="Times New Roman"/>
          <w:b/>
          <w:bCs/>
          <w:color w:val="000000" w:themeColor="text1"/>
          <w:kern w:val="0"/>
          <w:sz w:val="24"/>
          <w:szCs w:val="24"/>
          <w:lang w:val="en-US"/>
          <w14:ligatures w14:val="none"/>
        </w:rPr>
        <w:t>Internally vs externally facing disclosures TOTAL mean difference.</w:t>
      </w:r>
    </w:p>
    <w:tbl>
      <w:tblPr>
        <w:tblStyle w:val="Table"/>
        <w:tblW w:w="7390" w:type="dxa"/>
        <w:tblLook w:val="0020" w:firstRow="1" w:lastRow="0" w:firstColumn="0" w:lastColumn="0" w:noHBand="0" w:noVBand="0"/>
      </w:tblPr>
      <w:tblGrid>
        <w:gridCol w:w="2655"/>
        <w:gridCol w:w="1693"/>
        <w:gridCol w:w="1680"/>
        <w:gridCol w:w="1139"/>
        <w:gridCol w:w="223"/>
      </w:tblGrid>
      <w:tr w:rsidR="006E5C89" w:rsidRPr="006C3227" w14:paraId="2889EA48" w14:textId="77777777" w:rsidTr="00906E1D">
        <w:trPr>
          <w:cnfStyle w:val="100000000000" w:firstRow="1" w:lastRow="0" w:firstColumn="0" w:lastColumn="0" w:oddVBand="0" w:evenVBand="0" w:oddHBand="0" w:evenHBand="0" w:firstRowFirstColumn="0" w:firstRowLastColumn="0" w:lastRowFirstColumn="0" w:lastRowLastColumn="0"/>
          <w:trHeight w:val="515"/>
          <w:tblHeader/>
        </w:trPr>
        <w:tc>
          <w:tcPr>
            <w:tcW w:w="0" w:type="auto"/>
            <w:tcBorders>
              <w:top w:val="single" w:sz="4" w:space="0" w:color="auto"/>
              <w:bottom w:val="single" w:sz="2" w:space="0" w:color="auto"/>
            </w:tcBorders>
          </w:tcPr>
          <w:p w14:paraId="3D4949E2" w14:textId="77777777" w:rsidR="00CB1D16" w:rsidRPr="00963D2F" w:rsidRDefault="00CB1D16" w:rsidP="00CB1D16">
            <w:pPr>
              <w:spacing w:before="36" w:after="36"/>
              <w:rPr>
                <w:rFonts w:ascii="Times New Roman" w:eastAsia="Aptos" w:hAnsi="Times New Roman" w:cs="Times New Roman"/>
              </w:rPr>
            </w:pPr>
            <w:r w:rsidRPr="00963D2F">
              <w:rPr>
                <w:rFonts w:ascii="Times New Roman" w:eastAsia="Aptos" w:hAnsi="Times New Roman" w:cs="Times New Roman"/>
              </w:rPr>
              <w:t>Variable</w:t>
            </w:r>
          </w:p>
        </w:tc>
        <w:tc>
          <w:tcPr>
            <w:tcW w:w="0" w:type="auto"/>
            <w:tcBorders>
              <w:top w:val="single" w:sz="4" w:space="0" w:color="auto"/>
              <w:bottom w:val="single" w:sz="2" w:space="0" w:color="auto"/>
            </w:tcBorders>
          </w:tcPr>
          <w:p w14:paraId="3FA44230" w14:textId="4AF3F9A7" w:rsidR="00CB1D16" w:rsidRPr="00963D2F" w:rsidRDefault="00753B6F" w:rsidP="00CB1D16">
            <w:pPr>
              <w:spacing w:before="36" w:after="36"/>
              <w:rPr>
                <w:rFonts w:ascii="Times New Roman" w:eastAsia="Aptos" w:hAnsi="Times New Roman" w:cs="Times New Roman"/>
              </w:rPr>
            </w:pPr>
            <w:r w:rsidRPr="00963D2F">
              <w:rPr>
                <w:rFonts w:ascii="Times New Roman" w:eastAsia="Aptos" w:hAnsi="Times New Roman" w:cs="Times New Roman"/>
              </w:rPr>
              <w:t>External facing</w:t>
            </w:r>
          </w:p>
        </w:tc>
        <w:tc>
          <w:tcPr>
            <w:tcW w:w="0" w:type="auto"/>
            <w:tcBorders>
              <w:top w:val="single" w:sz="4" w:space="0" w:color="auto"/>
              <w:bottom w:val="single" w:sz="2" w:space="0" w:color="auto"/>
            </w:tcBorders>
          </w:tcPr>
          <w:p w14:paraId="1B8BF22C" w14:textId="076BA93A" w:rsidR="00CB1D16" w:rsidRPr="00963D2F" w:rsidRDefault="00753B6F" w:rsidP="00CB1D16">
            <w:pPr>
              <w:spacing w:before="36" w:after="36"/>
              <w:rPr>
                <w:rFonts w:ascii="Times New Roman" w:eastAsia="Aptos" w:hAnsi="Times New Roman" w:cs="Times New Roman"/>
              </w:rPr>
            </w:pPr>
            <w:r w:rsidRPr="00963D2F">
              <w:rPr>
                <w:rFonts w:ascii="Times New Roman" w:eastAsia="Aptos" w:hAnsi="Times New Roman" w:cs="Times New Roman"/>
              </w:rPr>
              <w:t>Internal Facing</w:t>
            </w:r>
          </w:p>
        </w:tc>
        <w:tc>
          <w:tcPr>
            <w:tcW w:w="0" w:type="auto"/>
            <w:tcBorders>
              <w:top w:val="single" w:sz="4" w:space="0" w:color="auto"/>
              <w:bottom w:val="single" w:sz="2" w:space="0" w:color="auto"/>
            </w:tcBorders>
          </w:tcPr>
          <w:p w14:paraId="62D64771" w14:textId="0DF07613" w:rsidR="00CB1D16" w:rsidRPr="00963D2F" w:rsidRDefault="006E5C89" w:rsidP="00CB1D16">
            <w:pPr>
              <w:spacing w:before="36" w:after="36"/>
              <w:rPr>
                <w:rFonts w:ascii="Times New Roman" w:eastAsia="Aptos" w:hAnsi="Times New Roman" w:cs="Times New Roman"/>
              </w:rPr>
            </w:pPr>
            <w:r>
              <w:rPr>
                <w:rFonts w:ascii="Times New Roman" w:eastAsia="Aptos" w:hAnsi="Times New Roman" w:cs="Times New Roman"/>
              </w:rPr>
              <w:t>t-Statistic</w:t>
            </w:r>
          </w:p>
        </w:tc>
        <w:tc>
          <w:tcPr>
            <w:tcW w:w="0" w:type="auto"/>
            <w:tcBorders>
              <w:top w:val="single" w:sz="4" w:space="0" w:color="auto"/>
              <w:bottom w:val="single" w:sz="2" w:space="0" w:color="auto"/>
            </w:tcBorders>
          </w:tcPr>
          <w:p w14:paraId="517FA280" w14:textId="68D3D72B" w:rsidR="00CB1D16" w:rsidRPr="00963D2F" w:rsidRDefault="00963D2F" w:rsidP="00CB1D16">
            <w:pPr>
              <w:spacing w:before="36" w:after="36"/>
              <w:rPr>
                <w:rFonts w:ascii="Times New Roman" w:eastAsia="Aptos" w:hAnsi="Times New Roman" w:cs="Times New Roman"/>
              </w:rPr>
            </w:pPr>
            <w:r w:rsidRPr="00963D2F">
              <w:rPr>
                <w:rFonts w:ascii="Times New Roman" w:eastAsia="Aptos" w:hAnsi="Times New Roman" w:cs="Times New Roman"/>
              </w:rPr>
              <w:t xml:space="preserve"> </w:t>
            </w:r>
            <w:r w:rsidR="006424FD">
              <w:rPr>
                <w:rFonts w:ascii="Times New Roman" w:eastAsia="Aptos" w:hAnsi="Times New Roman" w:cs="Times New Roman"/>
              </w:rPr>
              <w:t xml:space="preserve">       </w:t>
            </w:r>
          </w:p>
        </w:tc>
      </w:tr>
      <w:tr w:rsidR="006E5C89" w:rsidRPr="006C3227" w14:paraId="0AFB631E" w14:textId="77777777" w:rsidTr="00906E1D">
        <w:trPr>
          <w:trHeight w:val="501"/>
        </w:trPr>
        <w:tc>
          <w:tcPr>
            <w:tcW w:w="0" w:type="auto"/>
            <w:tcBorders>
              <w:top w:val="single" w:sz="2" w:space="0" w:color="auto"/>
            </w:tcBorders>
          </w:tcPr>
          <w:p w14:paraId="4DEDA791" w14:textId="77777777" w:rsidR="00CB1D16" w:rsidRPr="00963D2F" w:rsidRDefault="00CB1D16" w:rsidP="00CB1D16">
            <w:pPr>
              <w:spacing w:before="36" w:after="36"/>
              <w:rPr>
                <w:rFonts w:ascii="Times New Roman" w:eastAsia="Aptos" w:hAnsi="Times New Roman" w:cs="Times New Roman"/>
              </w:rPr>
            </w:pPr>
            <w:r w:rsidRPr="00963D2F">
              <w:rPr>
                <w:rFonts w:ascii="Times New Roman" w:eastAsia="Aptos" w:hAnsi="Times New Roman" w:cs="Times New Roman"/>
              </w:rPr>
              <w:t>Narrative words</w:t>
            </w:r>
          </w:p>
        </w:tc>
        <w:tc>
          <w:tcPr>
            <w:tcW w:w="0" w:type="auto"/>
            <w:tcBorders>
              <w:top w:val="single" w:sz="2" w:space="0" w:color="auto"/>
            </w:tcBorders>
          </w:tcPr>
          <w:p w14:paraId="31425698" w14:textId="42AEEF6D" w:rsidR="00CB1D16" w:rsidRPr="00963D2F" w:rsidRDefault="00753B6F" w:rsidP="00CB1D16">
            <w:pPr>
              <w:spacing w:before="36" w:after="36"/>
              <w:rPr>
                <w:rFonts w:ascii="Times New Roman" w:eastAsia="Aptos" w:hAnsi="Times New Roman" w:cs="Times New Roman"/>
              </w:rPr>
            </w:pPr>
            <w:r w:rsidRPr="00963D2F">
              <w:rPr>
                <w:rFonts w:ascii="Times New Roman" w:eastAsia="Aptos" w:hAnsi="Times New Roman" w:cs="Times New Roman"/>
              </w:rPr>
              <w:t xml:space="preserve">   393</w:t>
            </w:r>
          </w:p>
        </w:tc>
        <w:tc>
          <w:tcPr>
            <w:tcW w:w="0" w:type="auto"/>
            <w:tcBorders>
              <w:top w:val="single" w:sz="2" w:space="0" w:color="auto"/>
            </w:tcBorders>
          </w:tcPr>
          <w:p w14:paraId="5900D4CB" w14:textId="3A71CB32" w:rsidR="00CB1D16" w:rsidRPr="00963D2F" w:rsidRDefault="00753B6F" w:rsidP="00CB1D16">
            <w:pPr>
              <w:spacing w:before="36" w:after="36"/>
              <w:rPr>
                <w:rFonts w:ascii="Times New Roman" w:eastAsia="Aptos" w:hAnsi="Times New Roman" w:cs="Times New Roman"/>
              </w:rPr>
            </w:pPr>
            <w:r w:rsidRPr="00963D2F">
              <w:rPr>
                <w:rFonts w:ascii="Times New Roman" w:eastAsia="Aptos" w:hAnsi="Times New Roman" w:cs="Times New Roman"/>
              </w:rPr>
              <w:t>2890</w:t>
            </w:r>
          </w:p>
        </w:tc>
        <w:tc>
          <w:tcPr>
            <w:tcW w:w="0" w:type="auto"/>
            <w:tcBorders>
              <w:top w:val="single" w:sz="2" w:space="0" w:color="auto"/>
            </w:tcBorders>
          </w:tcPr>
          <w:p w14:paraId="0FF045D8" w14:textId="6C966074" w:rsidR="00CB1D16" w:rsidRPr="00963D2F" w:rsidRDefault="006E5C89" w:rsidP="00CB1D16">
            <w:pPr>
              <w:spacing w:before="36" w:after="36"/>
              <w:rPr>
                <w:rFonts w:ascii="Times New Roman" w:eastAsia="Aptos" w:hAnsi="Times New Roman" w:cs="Times New Roman"/>
              </w:rPr>
            </w:pPr>
            <w:r>
              <w:rPr>
                <w:rFonts w:ascii="Times New Roman" w:eastAsia="Aptos" w:hAnsi="Times New Roman" w:cs="Times New Roman"/>
              </w:rPr>
              <w:t>4.29***</w:t>
            </w:r>
          </w:p>
        </w:tc>
        <w:tc>
          <w:tcPr>
            <w:tcW w:w="0" w:type="auto"/>
            <w:tcBorders>
              <w:top w:val="single" w:sz="2" w:space="0" w:color="auto"/>
            </w:tcBorders>
          </w:tcPr>
          <w:p w14:paraId="0FB417A2" w14:textId="16A08A28" w:rsidR="00CB1D16" w:rsidRPr="00963D2F" w:rsidRDefault="00963D2F" w:rsidP="00CB1D16">
            <w:pPr>
              <w:spacing w:before="36" w:after="36"/>
              <w:rPr>
                <w:rFonts w:ascii="Times New Roman" w:eastAsia="Aptos" w:hAnsi="Times New Roman" w:cs="Times New Roman"/>
              </w:rPr>
            </w:pPr>
            <w:r w:rsidRPr="00963D2F">
              <w:rPr>
                <w:rFonts w:ascii="Times New Roman" w:eastAsia="Aptos" w:hAnsi="Times New Roman" w:cs="Times New Roman"/>
              </w:rPr>
              <w:t xml:space="preserve"> </w:t>
            </w:r>
          </w:p>
        </w:tc>
      </w:tr>
      <w:tr w:rsidR="006E5C89" w:rsidRPr="006C3227" w14:paraId="2F40B9DF" w14:textId="77777777" w:rsidTr="00906E1D">
        <w:trPr>
          <w:trHeight w:val="515"/>
        </w:trPr>
        <w:tc>
          <w:tcPr>
            <w:tcW w:w="0" w:type="auto"/>
          </w:tcPr>
          <w:p w14:paraId="69163164" w14:textId="77777777" w:rsidR="00CB1D16" w:rsidRPr="00963D2F" w:rsidRDefault="00CB1D16" w:rsidP="00CB1D16">
            <w:pPr>
              <w:spacing w:before="36" w:after="36"/>
              <w:rPr>
                <w:rFonts w:ascii="Times New Roman" w:eastAsia="Aptos" w:hAnsi="Times New Roman" w:cs="Times New Roman"/>
              </w:rPr>
            </w:pPr>
            <w:r w:rsidRPr="00963D2F">
              <w:rPr>
                <w:rFonts w:ascii="Times New Roman" w:eastAsia="Aptos" w:hAnsi="Times New Roman" w:cs="Times New Roman"/>
              </w:rPr>
              <w:t>Numerical disclosures</w:t>
            </w:r>
          </w:p>
        </w:tc>
        <w:tc>
          <w:tcPr>
            <w:tcW w:w="0" w:type="auto"/>
          </w:tcPr>
          <w:p w14:paraId="1371ABB6" w14:textId="6F68A057" w:rsidR="00CB1D16" w:rsidRPr="00963D2F" w:rsidRDefault="00753B6F" w:rsidP="00CB1D16">
            <w:pPr>
              <w:spacing w:before="36" w:after="36"/>
              <w:rPr>
                <w:rFonts w:ascii="Times New Roman" w:eastAsia="Aptos" w:hAnsi="Times New Roman" w:cs="Times New Roman"/>
              </w:rPr>
            </w:pPr>
            <w:r w:rsidRPr="00963D2F">
              <w:rPr>
                <w:rFonts w:ascii="Times New Roman" w:eastAsia="Aptos" w:hAnsi="Times New Roman" w:cs="Times New Roman"/>
              </w:rPr>
              <w:t xml:space="preserve"> </w:t>
            </w:r>
            <w:r w:rsidR="00963D2F">
              <w:rPr>
                <w:rFonts w:ascii="Times New Roman" w:eastAsia="Aptos" w:hAnsi="Times New Roman" w:cs="Times New Roman"/>
              </w:rPr>
              <w:t xml:space="preserve"> </w:t>
            </w:r>
            <w:r w:rsidRPr="00963D2F">
              <w:rPr>
                <w:rFonts w:ascii="Times New Roman" w:eastAsia="Aptos" w:hAnsi="Times New Roman" w:cs="Times New Roman"/>
              </w:rPr>
              <w:t xml:space="preserve"> 107</w:t>
            </w:r>
          </w:p>
        </w:tc>
        <w:tc>
          <w:tcPr>
            <w:tcW w:w="0" w:type="auto"/>
          </w:tcPr>
          <w:p w14:paraId="0AD52B8E" w14:textId="780DD2F9" w:rsidR="00CB1D16" w:rsidRPr="00963D2F" w:rsidRDefault="00753B6F" w:rsidP="00CB1D16">
            <w:pPr>
              <w:spacing w:before="36" w:after="36"/>
              <w:rPr>
                <w:rFonts w:ascii="Times New Roman" w:eastAsia="Aptos" w:hAnsi="Times New Roman" w:cs="Times New Roman"/>
              </w:rPr>
            </w:pPr>
            <w:r w:rsidRPr="00963D2F">
              <w:rPr>
                <w:rFonts w:ascii="Times New Roman" w:eastAsia="Aptos" w:hAnsi="Times New Roman" w:cs="Times New Roman"/>
              </w:rPr>
              <w:t xml:space="preserve">  405</w:t>
            </w:r>
            <w:r w:rsidR="006E5C89">
              <w:rPr>
                <w:rFonts w:ascii="Times New Roman" w:eastAsia="Aptos" w:hAnsi="Times New Roman" w:cs="Times New Roman"/>
              </w:rPr>
              <w:t xml:space="preserve">                                        </w:t>
            </w:r>
          </w:p>
        </w:tc>
        <w:tc>
          <w:tcPr>
            <w:tcW w:w="0" w:type="auto"/>
          </w:tcPr>
          <w:p w14:paraId="2EF4902C" w14:textId="7523517C" w:rsidR="00CB1D16" w:rsidRPr="00963D2F" w:rsidRDefault="00963D2F" w:rsidP="00CB1D16">
            <w:pPr>
              <w:spacing w:before="36" w:after="36"/>
              <w:rPr>
                <w:rFonts w:ascii="Times New Roman" w:eastAsia="Aptos" w:hAnsi="Times New Roman" w:cs="Times New Roman"/>
              </w:rPr>
            </w:pPr>
            <w:r w:rsidRPr="00963D2F">
              <w:rPr>
                <w:rFonts w:ascii="Times New Roman" w:eastAsia="Aptos" w:hAnsi="Times New Roman" w:cs="Times New Roman"/>
              </w:rPr>
              <w:t xml:space="preserve"> </w:t>
            </w:r>
            <w:r w:rsidR="00167215">
              <w:rPr>
                <w:rFonts w:ascii="Times New Roman" w:eastAsia="Aptos" w:hAnsi="Times New Roman" w:cs="Times New Roman"/>
              </w:rPr>
              <w:t>4.39***</w:t>
            </w:r>
          </w:p>
        </w:tc>
        <w:tc>
          <w:tcPr>
            <w:tcW w:w="0" w:type="auto"/>
          </w:tcPr>
          <w:p w14:paraId="774BBA8D" w14:textId="68064A89" w:rsidR="00CB1D16" w:rsidRPr="00963D2F" w:rsidRDefault="00CB1D16" w:rsidP="00CB1D16">
            <w:pPr>
              <w:spacing w:before="36" w:after="36"/>
              <w:rPr>
                <w:rFonts w:ascii="Times New Roman" w:eastAsia="Aptos" w:hAnsi="Times New Roman" w:cs="Times New Roman"/>
              </w:rPr>
            </w:pPr>
          </w:p>
        </w:tc>
      </w:tr>
      <w:tr w:rsidR="006E5C89" w:rsidRPr="006C3227" w14:paraId="0FECEE15" w14:textId="77777777" w:rsidTr="00906E1D">
        <w:trPr>
          <w:trHeight w:val="515"/>
        </w:trPr>
        <w:tc>
          <w:tcPr>
            <w:tcW w:w="0" w:type="auto"/>
          </w:tcPr>
          <w:p w14:paraId="61276338" w14:textId="77777777" w:rsidR="00CB1D16" w:rsidRPr="00963D2F" w:rsidRDefault="00CB1D16" w:rsidP="00CB1D16">
            <w:pPr>
              <w:spacing w:before="36" w:after="36"/>
              <w:rPr>
                <w:rFonts w:ascii="Times New Roman" w:eastAsia="Aptos" w:hAnsi="Times New Roman" w:cs="Times New Roman"/>
              </w:rPr>
            </w:pPr>
            <w:r w:rsidRPr="00963D2F">
              <w:rPr>
                <w:rFonts w:ascii="Times New Roman" w:eastAsia="Aptos" w:hAnsi="Times New Roman" w:cs="Times New Roman"/>
              </w:rPr>
              <w:t>Policy/Target disclosures</w:t>
            </w:r>
          </w:p>
        </w:tc>
        <w:tc>
          <w:tcPr>
            <w:tcW w:w="0" w:type="auto"/>
          </w:tcPr>
          <w:p w14:paraId="3F1658ED" w14:textId="1BDC0C83" w:rsidR="00CB1D16" w:rsidRPr="00963D2F" w:rsidRDefault="00753B6F" w:rsidP="00CB1D16">
            <w:pPr>
              <w:spacing w:before="36" w:after="36"/>
              <w:rPr>
                <w:rFonts w:ascii="Times New Roman" w:eastAsia="Aptos" w:hAnsi="Times New Roman" w:cs="Times New Roman"/>
              </w:rPr>
            </w:pPr>
            <w:r w:rsidRPr="00963D2F">
              <w:rPr>
                <w:rFonts w:ascii="Times New Roman" w:eastAsia="Aptos" w:hAnsi="Times New Roman" w:cs="Times New Roman"/>
              </w:rPr>
              <w:t xml:space="preserve">   </w:t>
            </w:r>
            <w:r w:rsidR="00963D2F">
              <w:rPr>
                <w:rFonts w:ascii="Times New Roman" w:eastAsia="Aptos" w:hAnsi="Times New Roman" w:cs="Times New Roman"/>
              </w:rPr>
              <w:t xml:space="preserve"> </w:t>
            </w:r>
            <w:r w:rsidRPr="00963D2F">
              <w:rPr>
                <w:rFonts w:ascii="Times New Roman" w:eastAsia="Aptos" w:hAnsi="Times New Roman" w:cs="Times New Roman"/>
              </w:rPr>
              <w:t>0</w:t>
            </w:r>
          </w:p>
        </w:tc>
        <w:tc>
          <w:tcPr>
            <w:tcW w:w="0" w:type="auto"/>
          </w:tcPr>
          <w:p w14:paraId="575E400E" w14:textId="6A459CF3" w:rsidR="00CB1D16" w:rsidRPr="00963D2F" w:rsidRDefault="00753B6F" w:rsidP="00CB1D16">
            <w:pPr>
              <w:spacing w:before="36" w:after="36"/>
              <w:rPr>
                <w:rFonts w:ascii="Times New Roman" w:eastAsia="Aptos" w:hAnsi="Times New Roman" w:cs="Times New Roman"/>
              </w:rPr>
            </w:pPr>
            <w:r w:rsidRPr="00963D2F">
              <w:rPr>
                <w:rFonts w:ascii="Times New Roman" w:eastAsia="Aptos" w:hAnsi="Times New Roman" w:cs="Times New Roman"/>
              </w:rPr>
              <w:t xml:space="preserve">  179</w:t>
            </w:r>
          </w:p>
        </w:tc>
        <w:tc>
          <w:tcPr>
            <w:tcW w:w="0" w:type="auto"/>
          </w:tcPr>
          <w:p w14:paraId="55CC4F9F" w14:textId="1E0DA69E" w:rsidR="00CB1D16" w:rsidRPr="00963D2F" w:rsidRDefault="00167215" w:rsidP="00CB1D16">
            <w:pPr>
              <w:spacing w:before="36" w:after="36"/>
              <w:rPr>
                <w:rFonts w:ascii="Times New Roman" w:eastAsia="Aptos" w:hAnsi="Times New Roman" w:cs="Times New Roman"/>
              </w:rPr>
            </w:pPr>
            <w:r>
              <w:rPr>
                <w:rFonts w:ascii="Times New Roman" w:eastAsia="Aptos" w:hAnsi="Times New Roman" w:cs="Times New Roman"/>
              </w:rPr>
              <w:t xml:space="preserve"> 7.69***</w:t>
            </w:r>
          </w:p>
        </w:tc>
        <w:tc>
          <w:tcPr>
            <w:tcW w:w="0" w:type="auto"/>
          </w:tcPr>
          <w:p w14:paraId="1A176E3E" w14:textId="0D6E3767" w:rsidR="00CB1D16" w:rsidRPr="00963D2F" w:rsidRDefault="00963D2F" w:rsidP="00CB1D16">
            <w:pPr>
              <w:spacing w:before="36" w:after="36"/>
              <w:rPr>
                <w:rFonts w:ascii="Times New Roman" w:eastAsia="Aptos" w:hAnsi="Times New Roman" w:cs="Times New Roman"/>
              </w:rPr>
            </w:pPr>
            <w:r w:rsidRPr="00963D2F">
              <w:rPr>
                <w:rFonts w:ascii="Times New Roman" w:eastAsia="Aptos" w:hAnsi="Times New Roman" w:cs="Times New Roman"/>
              </w:rPr>
              <w:t xml:space="preserve">   </w:t>
            </w:r>
          </w:p>
        </w:tc>
      </w:tr>
      <w:tr w:rsidR="006E5C89" w:rsidRPr="00CB1D16" w14:paraId="08CF901F" w14:textId="77777777" w:rsidTr="00906E1D">
        <w:trPr>
          <w:trHeight w:val="501"/>
        </w:trPr>
        <w:tc>
          <w:tcPr>
            <w:tcW w:w="0" w:type="auto"/>
            <w:tcBorders>
              <w:bottom w:val="single" w:sz="4" w:space="0" w:color="auto"/>
            </w:tcBorders>
          </w:tcPr>
          <w:p w14:paraId="0F765FE4" w14:textId="77777777" w:rsidR="00CB1D16" w:rsidRPr="00963D2F" w:rsidRDefault="00CB1D16" w:rsidP="00CB1D16">
            <w:pPr>
              <w:spacing w:before="36" w:after="36"/>
              <w:rPr>
                <w:rFonts w:ascii="Times New Roman" w:eastAsia="Aptos" w:hAnsi="Times New Roman" w:cs="Times New Roman"/>
              </w:rPr>
            </w:pPr>
            <w:r w:rsidRPr="00963D2F">
              <w:rPr>
                <w:rFonts w:ascii="Times New Roman" w:eastAsia="Aptos" w:hAnsi="Times New Roman" w:cs="Times New Roman"/>
              </w:rPr>
              <w:t>Operational activities</w:t>
            </w:r>
          </w:p>
        </w:tc>
        <w:tc>
          <w:tcPr>
            <w:tcW w:w="0" w:type="auto"/>
            <w:tcBorders>
              <w:bottom w:val="single" w:sz="4" w:space="0" w:color="auto"/>
            </w:tcBorders>
          </w:tcPr>
          <w:p w14:paraId="4B497383" w14:textId="0848DAA7" w:rsidR="00CB1D16" w:rsidRPr="00963D2F" w:rsidRDefault="00753B6F" w:rsidP="00CB1D16">
            <w:pPr>
              <w:spacing w:before="36" w:after="36"/>
              <w:rPr>
                <w:rFonts w:ascii="Times New Roman" w:eastAsia="Aptos" w:hAnsi="Times New Roman" w:cs="Times New Roman"/>
              </w:rPr>
            </w:pPr>
            <w:r w:rsidRPr="00963D2F">
              <w:rPr>
                <w:rFonts w:ascii="Times New Roman" w:eastAsia="Aptos" w:hAnsi="Times New Roman" w:cs="Times New Roman"/>
              </w:rPr>
              <w:t xml:space="preserve">  </w:t>
            </w:r>
            <w:r w:rsidR="00167215">
              <w:rPr>
                <w:rFonts w:ascii="Times New Roman" w:eastAsia="Aptos" w:hAnsi="Times New Roman" w:cs="Times New Roman"/>
              </w:rPr>
              <w:t xml:space="preserve">  </w:t>
            </w:r>
            <w:r w:rsidRPr="00963D2F">
              <w:rPr>
                <w:rFonts w:ascii="Times New Roman" w:eastAsia="Aptos" w:hAnsi="Times New Roman" w:cs="Times New Roman"/>
              </w:rPr>
              <w:t>393</w:t>
            </w:r>
          </w:p>
        </w:tc>
        <w:tc>
          <w:tcPr>
            <w:tcW w:w="0" w:type="auto"/>
            <w:tcBorders>
              <w:bottom w:val="single" w:sz="4" w:space="0" w:color="auto"/>
            </w:tcBorders>
          </w:tcPr>
          <w:p w14:paraId="5BE13F95" w14:textId="083B695C" w:rsidR="00CB1D16" w:rsidRPr="00963D2F" w:rsidRDefault="00753B6F" w:rsidP="00CB1D16">
            <w:pPr>
              <w:spacing w:before="36" w:after="36"/>
              <w:rPr>
                <w:rFonts w:ascii="Times New Roman" w:eastAsia="Aptos" w:hAnsi="Times New Roman" w:cs="Times New Roman"/>
              </w:rPr>
            </w:pPr>
            <w:r w:rsidRPr="00963D2F">
              <w:rPr>
                <w:rFonts w:ascii="Times New Roman" w:eastAsia="Aptos" w:hAnsi="Times New Roman" w:cs="Times New Roman"/>
              </w:rPr>
              <w:t xml:space="preserve"> 2711</w:t>
            </w:r>
          </w:p>
        </w:tc>
        <w:tc>
          <w:tcPr>
            <w:tcW w:w="0" w:type="auto"/>
            <w:tcBorders>
              <w:bottom w:val="single" w:sz="4" w:space="0" w:color="auto"/>
            </w:tcBorders>
          </w:tcPr>
          <w:p w14:paraId="6B510C8B" w14:textId="465419BA" w:rsidR="00CB1D16" w:rsidRPr="00963D2F" w:rsidRDefault="00167215" w:rsidP="00CB1D16">
            <w:pPr>
              <w:spacing w:before="36" w:after="36"/>
              <w:rPr>
                <w:rFonts w:ascii="Times New Roman" w:eastAsia="Aptos" w:hAnsi="Times New Roman" w:cs="Times New Roman"/>
              </w:rPr>
            </w:pPr>
            <w:r>
              <w:rPr>
                <w:rFonts w:ascii="Times New Roman" w:eastAsia="Aptos" w:hAnsi="Times New Roman" w:cs="Times New Roman"/>
              </w:rPr>
              <w:t xml:space="preserve">  </w:t>
            </w:r>
            <w:r w:rsidR="00C91CE2">
              <w:rPr>
                <w:rFonts w:ascii="Times New Roman" w:eastAsia="Aptos" w:hAnsi="Times New Roman" w:cs="Times New Roman"/>
              </w:rPr>
              <w:t>4.06***</w:t>
            </w:r>
          </w:p>
        </w:tc>
        <w:tc>
          <w:tcPr>
            <w:tcW w:w="0" w:type="auto"/>
            <w:tcBorders>
              <w:bottom w:val="single" w:sz="4" w:space="0" w:color="auto"/>
            </w:tcBorders>
          </w:tcPr>
          <w:p w14:paraId="1F5B3366" w14:textId="46B8E9DC" w:rsidR="00CB1D16" w:rsidRPr="00963D2F" w:rsidRDefault="00963D2F" w:rsidP="00CB1D16">
            <w:pPr>
              <w:spacing w:before="36" w:after="36"/>
              <w:rPr>
                <w:rFonts w:ascii="Times New Roman" w:eastAsia="Aptos" w:hAnsi="Times New Roman" w:cs="Times New Roman"/>
              </w:rPr>
            </w:pPr>
            <w:r w:rsidRPr="00963D2F">
              <w:rPr>
                <w:rFonts w:ascii="Times New Roman" w:eastAsia="Aptos" w:hAnsi="Times New Roman" w:cs="Times New Roman"/>
              </w:rPr>
              <w:t xml:space="preserve"> </w:t>
            </w:r>
          </w:p>
        </w:tc>
      </w:tr>
    </w:tbl>
    <w:p w14:paraId="1DD8B45B" w14:textId="0818BC0A" w:rsidR="00CB1D16" w:rsidRPr="00753B6F" w:rsidRDefault="00753B6F" w:rsidP="00CB1D16">
      <w:pPr>
        <w:spacing w:before="180" w:after="180" w:line="240" w:lineRule="auto"/>
        <w:ind w:firstLine="0"/>
        <w:jc w:val="left"/>
        <w:rPr>
          <w:rFonts w:ascii="Times New Roman" w:eastAsia="Aptos" w:hAnsi="Times New Roman" w:cs="Times New Roman"/>
          <w:kern w:val="0"/>
          <w:sz w:val="24"/>
          <w:szCs w:val="24"/>
          <w:lang w:val="en-US"/>
          <w14:ligatures w14:val="none"/>
        </w:rPr>
      </w:pPr>
      <w:r>
        <w:rPr>
          <w:rFonts w:ascii="Times New Roman" w:eastAsia="Aptos" w:hAnsi="Times New Roman" w:cs="Times New Roman"/>
          <w:b/>
          <w:bCs/>
          <w:kern w:val="0"/>
          <w:sz w:val="24"/>
          <w:szCs w:val="24"/>
          <w:lang w:val="en-US"/>
          <w14:ligatures w14:val="none"/>
        </w:rPr>
        <w:t xml:space="preserve">     Total                           </w:t>
      </w:r>
      <w:r w:rsidR="00963D2F">
        <w:rPr>
          <w:rFonts w:ascii="Times New Roman" w:eastAsia="Aptos" w:hAnsi="Times New Roman" w:cs="Times New Roman"/>
          <w:b/>
          <w:bCs/>
          <w:kern w:val="0"/>
          <w:sz w:val="24"/>
          <w:szCs w:val="24"/>
          <w:lang w:val="en-US"/>
          <w14:ligatures w14:val="none"/>
        </w:rPr>
        <w:t xml:space="preserve">    </w:t>
      </w:r>
      <w:r w:rsidR="00167215">
        <w:rPr>
          <w:rFonts w:ascii="Times New Roman" w:eastAsia="Aptos" w:hAnsi="Times New Roman" w:cs="Times New Roman"/>
          <w:b/>
          <w:bCs/>
          <w:kern w:val="0"/>
          <w:sz w:val="24"/>
          <w:szCs w:val="24"/>
          <w:lang w:val="en-US"/>
          <w14:ligatures w14:val="none"/>
        </w:rPr>
        <w:t xml:space="preserve">    </w:t>
      </w:r>
      <w:r>
        <w:rPr>
          <w:rFonts w:ascii="Times New Roman" w:eastAsia="Aptos" w:hAnsi="Times New Roman" w:cs="Times New Roman"/>
          <w:b/>
          <w:bCs/>
          <w:kern w:val="0"/>
          <w:sz w:val="24"/>
          <w:szCs w:val="24"/>
          <w:lang w:val="en-US"/>
          <w14:ligatures w14:val="none"/>
        </w:rPr>
        <w:t xml:space="preserve"> </w:t>
      </w:r>
      <w:r w:rsidRPr="00753B6F">
        <w:rPr>
          <w:rFonts w:ascii="Times New Roman" w:eastAsia="Aptos" w:hAnsi="Times New Roman" w:cs="Times New Roman"/>
          <w:kern w:val="0"/>
          <w:sz w:val="24"/>
          <w:szCs w:val="24"/>
          <w:lang w:val="en-US"/>
          <w14:ligatures w14:val="none"/>
        </w:rPr>
        <w:t xml:space="preserve">500                  </w:t>
      </w:r>
      <w:r w:rsidR="00167215">
        <w:rPr>
          <w:rFonts w:ascii="Times New Roman" w:eastAsia="Aptos" w:hAnsi="Times New Roman" w:cs="Times New Roman"/>
          <w:kern w:val="0"/>
          <w:sz w:val="24"/>
          <w:szCs w:val="24"/>
          <w:lang w:val="en-US"/>
          <w14:ligatures w14:val="none"/>
        </w:rPr>
        <w:t xml:space="preserve">  </w:t>
      </w:r>
      <w:r w:rsidRPr="00753B6F">
        <w:rPr>
          <w:rFonts w:ascii="Times New Roman" w:eastAsia="Aptos" w:hAnsi="Times New Roman" w:cs="Times New Roman"/>
          <w:kern w:val="0"/>
          <w:sz w:val="24"/>
          <w:szCs w:val="24"/>
          <w:lang w:val="en-US"/>
          <w14:ligatures w14:val="none"/>
        </w:rPr>
        <w:t>3295</w:t>
      </w:r>
      <w:r>
        <w:rPr>
          <w:rFonts w:ascii="Times New Roman" w:eastAsia="Aptos" w:hAnsi="Times New Roman" w:cs="Times New Roman"/>
          <w:kern w:val="0"/>
          <w:sz w:val="24"/>
          <w:szCs w:val="24"/>
          <w:lang w:val="en-US"/>
          <w14:ligatures w14:val="none"/>
        </w:rPr>
        <w:t xml:space="preserve">               </w:t>
      </w:r>
      <w:r w:rsidR="006424FD">
        <w:rPr>
          <w:rFonts w:ascii="Times New Roman" w:eastAsia="Aptos" w:hAnsi="Times New Roman" w:cs="Times New Roman"/>
          <w:kern w:val="0"/>
          <w:sz w:val="24"/>
          <w:szCs w:val="24"/>
          <w:lang w:val="en-US"/>
          <w14:ligatures w14:val="none"/>
        </w:rPr>
        <w:t xml:space="preserve"> </w:t>
      </w:r>
      <w:r w:rsidR="00963D2F">
        <w:rPr>
          <w:rFonts w:ascii="Times New Roman" w:eastAsia="Aptos" w:hAnsi="Times New Roman" w:cs="Times New Roman"/>
          <w:kern w:val="0"/>
          <w:sz w:val="24"/>
          <w:szCs w:val="24"/>
          <w:lang w:val="en-US"/>
          <w14:ligatures w14:val="none"/>
        </w:rPr>
        <w:t xml:space="preserve">    </w:t>
      </w:r>
    </w:p>
    <w:p w14:paraId="3A119E91"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11D90603"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18D156D1"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37C3804B"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2581A9EC"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65E81625"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72388772"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0C90FDEE"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53AF0830"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528A231E"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6A769B78"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57F02BCD"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6530F5F8"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4FB12D5F"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6B8DACBF"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01DE2698"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0E028D74"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0423F43A"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6315DF00" w14:textId="77777777" w:rsidR="00156AD8" w:rsidRDefault="00156AD8"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0829094B" w14:textId="77777777" w:rsidR="006C3227" w:rsidRDefault="006C3227"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6C2F622D" w14:textId="77777777" w:rsidR="006C3227" w:rsidRDefault="006C3227"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1076ACEC" w14:textId="77777777" w:rsidR="001C436A" w:rsidRPr="00CB1D16" w:rsidRDefault="001C436A" w:rsidP="00CB1D16">
      <w:pPr>
        <w:spacing w:before="180" w:after="180" w:line="240" w:lineRule="auto"/>
        <w:ind w:firstLine="0"/>
        <w:jc w:val="left"/>
        <w:rPr>
          <w:rFonts w:ascii="Times New Roman" w:eastAsia="Aptos" w:hAnsi="Times New Roman" w:cs="Times New Roman"/>
          <w:b/>
          <w:bCs/>
          <w:kern w:val="0"/>
          <w:sz w:val="24"/>
          <w:szCs w:val="24"/>
          <w:lang w:val="en-US"/>
          <w14:ligatures w14:val="none"/>
        </w:rPr>
      </w:pPr>
    </w:p>
    <w:p w14:paraId="6AD66AA4" w14:textId="77777777" w:rsidR="00CB1D16" w:rsidRPr="009853E9" w:rsidRDefault="00CB1D16" w:rsidP="00CB1D16">
      <w:pPr>
        <w:widowControl w:val="0"/>
        <w:autoSpaceDE w:val="0"/>
        <w:autoSpaceDN w:val="0"/>
        <w:adjustRightInd w:val="0"/>
        <w:spacing w:after="0" w:line="240" w:lineRule="auto"/>
        <w:ind w:firstLine="0"/>
        <w:jc w:val="center"/>
        <w:rPr>
          <w:rFonts w:ascii="Times New Roman" w:eastAsia="Times New Roman" w:hAnsi="Times New Roman" w:cs="Times New Roman"/>
          <w:b/>
          <w:bCs/>
          <w:kern w:val="0"/>
          <w:sz w:val="24"/>
          <w:szCs w:val="24"/>
          <w:lang w:val="en-US" w:eastAsia="ja-JP"/>
        </w:rPr>
      </w:pPr>
      <w:r w:rsidRPr="009853E9">
        <w:rPr>
          <w:rFonts w:ascii="Times New Roman" w:eastAsia="Times New Roman" w:hAnsi="Times New Roman" w:cs="Times New Roman"/>
          <w:b/>
          <w:bCs/>
          <w:kern w:val="0"/>
          <w:sz w:val="24"/>
          <w:szCs w:val="24"/>
          <w:lang w:val="en-US" w:eastAsia="ja-JP"/>
        </w:rPr>
        <w:lastRenderedPageBreak/>
        <w:t>Table 7: Pairwise correlations Matrix</w:t>
      </w:r>
    </w:p>
    <w:p w14:paraId="3EC60AFE"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bl>
      <w:tblPr>
        <w:tblW w:w="11808" w:type="dxa"/>
        <w:tblLayout w:type="fixed"/>
        <w:tblLook w:val="0000" w:firstRow="0" w:lastRow="0" w:firstColumn="0" w:lastColumn="0" w:noHBand="0" w:noVBand="0"/>
      </w:tblPr>
      <w:tblGrid>
        <w:gridCol w:w="1843"/>
        <w:gridCol w:w="465"/>
        <w:gridCol w:w="244"/>
        <w:gridCol w:w="709"/>
        <w:gridCol w:w="708"/>
        <w:gridCol w:w="567"/>
        <w:gridCol w:w="567"/>
        <w:gridCol w:w="284"/>
        <w:gridCol w:w="207"/>
        <w:gridCol w:w="236"/>
        <w:gridCol w:w="124"/>
        <w:gridCol w:w="112"/>
        <w:gridCol w:w="738"/>
        <w:gridCol w:w="426"/>
        <w:gridCol w:w="283"/>
        <w:gridCol w:w="709"/>
        <w:gridCol w:w="1843"/>
        <w:gridCol w:w="1507"/>
        <w:gridCol w:w="236"/>
      </w:tblGrid>
      <w:tr w:rsidR="00CB1D16" w:rsidRPr="00CB1D16" w14:paraId="07F4FB2A" w14:textId="77777777" w:rsidTr="00906E1D">
        <w:trPr>
          <w:gridAfter w:val="2"/>
          <w:wAfter w:w="1743" w:type="dxa"/>
        </w:trPr>
        <w:tc>
          <w:tcPr>
            <w:tcW w:w="2308" w:type="dxa"/>
            <w:gridSpan w:val="2"/>
            <w:tcBorders>
              <w:top w:val="single" w:sz="4" w:space="0" w:color="auto"/>
              <w:left w:val="nil"/>
              <w:bottom w:val="single" w:sz="6" w:space="0" w:color="auto"/>
              <w:right w:val="nil"/>
            </w:tcBorders>
          </w:tcPr>
          <w:p w14:paraId="4EA07E06"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Variables                            1</w:t>
            </w:r>
          </w:p>
        </w:tc>
        <w:tc>
          <w:tcPr>
            <w:tcW w:w="244" w:type="dxa"/>
            <w:tcBorders>
              <w:top w:val="single" w:sz="4" w:space="0" w:color="auto"/>
              <w:left w:val="nil"/>
              <w:bottom w:val="single" w:sz="6" w:space="0" w:color="auto"/>
              <w:right w:val="nil"/>
            </w:tcBorders>
          </w:tcPr>
          <w:p w14:paraId="7E0F9E84" w14:textId="77777777" w:rsidR="00CB1D16" w:rsidRPr="00CB1D16" w:rsidRDefault="00CB1D16" w:rsidP="00CB1D16">
            <w:pPr>
              <w:widowControl w:val="0"/>
              <w:autoSpaceDE w:val="0"/>
              <w:autoSpaceDN w:val="0"/>
              <w:adjustRightInd w:val="0"/>
              <w:spacing w:after="0" w:line="240" w:lineRule="auto"/>
              <w:ind w:right="200" w:firstLine="0"/>
              <w:jc w:val="left"/>
              <w:rPr>
                <w:rFonts w:ascii="Times New Roman" w:eastAsia="Times New Roman" w:hAnsi="Times New Roman" w:cs="Times New Roman"/>
                <w:kern w:val="0"/>
                <w:sz w:val="18"/>
                <w:szCs w:val="18"/>
                <w:lang w:val="en-US" w:eastAsia="ja-JP"/>
              </w:rPr>
            </w:pPr>
          </w:p>
        </w:tc>
        <w:tc>
          <w:tcPr>
            <w:tcW w:w="709" w:type="dxa"/>
            <w:tcBorders>
              <w:top w:val="single" w:sz="4" w:space="0" w:color="auto"/>
              <w:left w:val="nil"/>
              <w:bottom w:val="single" w:sz="6" w:space="0" w:color="auto"/>
              <w:right w:val="nil"/>
            </w:tcBorders>
          </w:tcPr>
          <w:p w14:paraId="38413533" w14:textId="77777777" w:rsidR="00CB1D16" w:rsidRPr="00CB1D16" w:rsidRDefault="00CB1D16" w:rsidP="00CB1D16">
            <w:pPr>
              <w:widowControl w:val="0"/>
              <w:autoSpaceDE w:val="0"/>
              <w:autoSpaceDN w:val="0"/>
              <w:adjustRightInd w:val="0"/>
              <w:spacing w:after="0" w:line="240" w:lineRule="auto"/>
              <w:ind w:left="-170" w:right="2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   2</w:t>
            </w:r>
          </w:p>
        </w:tc>
        <w:tc>
          <w:tcPr>
            <w:tcW w:w="708" w:type="dxa"/>
            <w:tcBorders>
              <w:top w:val="single" w:sz="4" w:space="0" w:color="auto"/>
              <w:left w:val="nil"/>
              <w:bottom w:val="single" w:sz="6" w:space="0" w:color="auto"/>
              <w:right w:val="nil"/>
            </w:tcBorders>
          </w:tcPr>
          <w:p w14:paraId="38A2BA1F" w14:textId="77777777" w:rsidR="00CB1D16" w:rsidRPr="00CB1D16" w:rsidRDefault="00CB1D16" w:rsidP="00CB1D16">
            <w:pPr>
              <w:widowControl w:val="0"/>
              <w:autoSpaceDE w:val="0"/>
              <w:autoSpaceDN w:val="0"/>
              <w:adjustRightInd w:val="0"/>
              <w:spacing w:after="0" w:line="240" w:lineRule="auto"/>
              <w:ind w:right="2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3</w:t>
            </w:r>
          </w:p>
        </w:tc>
        <w:tc>
          <w:tcPr>
            <w:tcW w:w="567" w:type="dxa"/>
            <w:tcBorders>
              <w:top w:val="single" w:sz="4" w:space="0" w:color="auto"/>
              <w:left w:val="nil"/>
              <w:bottom w:val="single" w:sz="6" w:space="0" w:color="auto"/>
              <w:right w:val="nil"/>
            </w:tcBorders>
          </w:tcPr>
          <w:p w14:paraId="55CB13DF" w14:textId="77777777" w:rsidR="00CB1D16" w:rsidRPr="00CB1D16" w:rsidRDefault="00CB1D16" w:rsidP="00CB1D16">
            <w:pPr>
              <w:widowControl w:val="0"/>
              <w:autoSpaceDE w:val="0"/>
              <w:autoSpaceDN w:val="0"/>
              <w:adjustRightInd w:val="0"/>
              <w:spacing w:after="0" w:line="240" w:lineRule="auto"/>
              <w:ind w:right="2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4</w:t>
            </w:r>
          </w:p>
        </w:tc>
        <w:tc>
          <w:tcPr>
            <w:tcW w:w="567" w:type="dxa"/>
            <w:tcBorders>
              <w:top w:val="single" w:sz="4" w:space="0" w:color="auto"/>
              <w:left w:val="nil"/>
              <w:bottom w:val="single" w:sz="6" w:space="0" w:color="auto"/>
              <w:right w:val="nil"/>
            </w:tcBorders>
          </w:tcPr>
          <w:p w14:paraId="6AC63F54" w14:textId="77777777" w:rsidR="00CB1D16" w:rsidRPr="00CB1D16" w:rsidRDefault="00CB1D16" w:rsidP="00CB1D16">
            <w:pPr>
              <w:widowControl w:val="0"/>
              <w:autoSpaceDE w:val="0"/>
              <w:autoSpaceDN w:val="0"/>
              <w:adjustRightInd w:val="0"/>
              <w:spacing w:after="0" w:line="240" w:lineRule="auto"/>
              <w:ind w:right="2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5</w:t>
            </w:r>
          </w:p>
        </w:tc>
        <w:tc>
          <w:tcPr>
            <w:tcW w:w="851" w:type="dxa"/>
            <w:gridSpan w:val="4"/>
            <w:tcBorders>
              <w:top w:val="single" w:sz="4" w:space="0" w:color="auto"/>
              <w:left w:val="nil"/>
              <w:bottom w:val="single" w:sz="6" w:space="0" w:color="auto"/>
              <w:right w:val="nil"/>
            </w:tcBorders>
          </w:tcPr>
          <w:p w14:paraId="52787A3E" w14:textId="77777777" w:rsidR="00CB1D16" w:rsidRPr="00CB1D16" w:rsidRDefault="00CB1D16" w:rsidP="00CB1D16">
            <w:pPr>
              <w:widowControl w:val="0"/>
              <w:autoSpaceDE w:val="0"/>
              <w:autoSpaceDN w:val="0"/>
              <w:adjustRightInd w:val="0"/>
              <w:spacing w:after="0" w:line="240" w:lineRule="auto"/>
              <w:ind w:right="2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6</w:t>
            </w:r>
          </w:p>
        </w:tc>
        <w:tc>
          <w:tcPr>
            <w:tcW w:w="1276" w:type="dxa"/>
            <w:gridSpan w:val="3"/>
            <w:tcBorders>
              <w:top w:val="single" w:sz="4" w:space="0" w:color="auto"/>
              <w:left w:val="nil"/>
              <w:bottom w:val="single" w:sz="6" w:space="0" w:color="auto"/>
              <w:right w:val="nil"/>
            </w:tcBorders>
          </w:tcPr>
          <w:p w14:paraId="72F678C2" w14:textId="77777777" w:rsidR="00CB1D16" w:rsidRPr="00CB1D16" w:rsidRDefault="00CB1D16" w:rsidP="00CB1D16">
            <w:pPr>
              <w:widowControl w:val="0"/>
              <w:autoSpaceDE w:val="0"/>
              <w:autoSpaceDN w:val="0"/>
              <w:adjustRightInd w:val="0"/>
              <w:spacing w:after="0" w:line="240" w:lineRule="auto"/>
              <w:ind w:right="3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7            8</w:t>
            </w:r>
          </w:p>
        </w:tc>
        <w:tc>
          <w:tcPr>
            <w:tcW w:w="283" w:type="dxa"/>
            <w:tcBorders>
              <w:top w:val="single" w:sz="4" w:space="0" w:color="auto"/>
              <w:left w:val="nil"/>
              <w:bottom w:val="single" w:sz="6" w:space="0" w:color="auto"/>
              <w:right w:val="nil"/>
            </w:tcBorders>
          </w:tcPr>
          <w:p w14:paraId="74839B51" w14:textId="77777777" w:rsidR="00CB1D16" w:rsidRPr="00CB1D16" w:rsidRDefault="00CB1D16" w:rsidP="00CB1D16">
            <w:pPr>
              <w:widowControl w:val="0"/>
              <w:autoSpaceDE w:val="0"/>
              <w:autoSpaceDN w:val="0"/>
              <w:adjustRightInd w:val="0"/>
              <w:spacing w:after="0" w:line="240" w:lineRule="auto"/>
              <w:ind w:left="-113" w:right="300" w:firstLine="0"/>
              <w:jc w:val="left"/>
              <w:rPr>
                <w:rFonts w:ascii="Times New Roman" w:eastAsia="Times New Roman" w:hAnsi="Times New Roman" w:cs="Times New Roman"/>
                <w:kern w:val="0"/>
                <w:sz w:val="18"/>
                <w:szCs w:val="18"/>
                <w:lang w:val="en-US" w:eastAsia="ja-JP"/>
              </w:rPr>
            </w:pPr>
          </w:p>
        </w:tc>
        <w:tc>
          <w:tcPr>
            <w:tcW w:w="709" w:type="dxa"/>
            <w:tcBorders>
              <w:top w:val="single" w:sz="4" w:space="0" w:color="auto"/>
              <w:left w:val="nil"/>
              <w:bottom w:val="single" w:sz="6" w:space="0" w:color="auto"/>
              <w:right w:val="nil"/>
            </w:tcBorders>
          </w:tcPr>
          <w:p w14:paraId="77EA618B" w14:textId="77777777" w:rsidR="00CB1D16" w:rsidRPr="00CB1D16" w:rsidRDefault="00CB1D16" w:rsidP="00CB1D16">
            <w:pPr>
              <w:widowControl w:val="0"/>
              <w:autoSpaceDE w:val="0"/>
              <w:autoSpaceDN w:val="0"/>
              <w:adjustRightInd w:val="0"/>
              <w:spacing w:after="0" w:line="240" w:lineRule="auto"/>
              <w:ind w:left="-113" w:right="4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9</w:t>
            </w:r>
          </w:p>
        </w:tc>
        <w:tc>
          <w:tcPr>
            <w:tcW w:w="1843" w:type="dxa"/>
            <w:tcBorders>
              <w:top w:val="single" w:sz="4" w:space="0" w:color="auto"/>
              <w:left w:val="nil"/>
              <w:bottom w:val="single" w:sz="6" w:space="0" w:color="auto"/>
              <w:right w:val="nil"/>
            </w:tcBorders>
          </w:tcPr>
          <w:p w14:paraId="75ACF9B8" w14:textId="77777777" w:rsidR="00CB1D16" w:rsidRPr="00CB1D16" w:rsidRDefault="00CB1D16" w:rsidP="00CB1D16">
            <w:pPr>
              <w:widowControl w:val="0"/>
              <w:autoSpaceDE w:val="0"/>
              <w:autoSpaceDN w:val="0"/>
              <w:adjustRightInd w:val="0"/>
              <w:spacing w:after="0" w:line="240" w:lineRule="auto"/>
              <w:ind w:left="-113" w:right="3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10      11             12</w:t>
            </w:r>
          </w:p>
        </w:tc>
      </w:tr>
      <w:tr w:rsidR="00CB1D16" w:rsidRPr="00CB1D16" w14:paraId="5C0CB168" w14:textId="77777777" w:rsidTr="00906E1D">
        <w:tc>
          <w:tcPr>
            <w:tcW w:w="1843" w:type="dxa"/>
            <w:tcBorders>
              <w:top w:val="nil"/>
              <w:left w:val="nil"/>
              <w:bottom w:val="nil"/>
              <w:right w:val="nil"/>
            </w:tcBorders>
          </w:tcPr>
          <w:p w14:paraId="5C541C59"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Internal facing ENVD</w:t>
            </w:r>
          </w:p>
        </w:tc>
        <w:tc>
          <w:tcPr>
            <w:tcW w:w="709" w:type="dxa"/>
            <w:gridSpan w:val="2"/>
            <w:tcBorders>
              <w:top w:val="nil"/>
              <w:left w:val="nil"/>
              <w:bottom w:val="nil"/>
              <w:right w:val="nil"/>
            </w:tcBorders>
          </w:tcPr>
          <w:p w14:paraId="21D074F9"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1.00</w:t>
            </w:r>
          </w:p>
        </w:tc>
        <w:tc>
          <w:tcPr>
            <w:tcW w:w="709" w:type="dxa"/>
            <w:tcBorders>
              <w:top w:val="nil"/>
              <w:left w:val="nil"/>
              <w:bottom w:val="nil"/>
              <w:right w:val="nil"/>
            </w:tcBorders>
          </w:tcPr>
          <w:p w14:paraId="55244AD9"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708" w:type="dxa"/>
            <w:tcBorders>
              <w:top w:val="nil"/>
              <w:left w:val="nil"/>
              <w:bottom w:val="nil"/>
              <w:right w:val="nil"/>
            </w:tcBorders>
          </w:tcPr>
          <w:p w14:paraId="6C58513A"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625" w:type="dxa"/>
            <w:gridSpan w:val="4"/>
            <w:tcBorders>
              <w:top w:val="nil"/>
              <w:left w:val="nil"/>
              <w:bottom w:val="nil"/>
              <w:right w:val="nil"/>
            </w:tcBorders>
          </w:tcPr>
          <w:p w14:paraId="13311B94"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236" w:type="dxa"/>
            <w:tcBorders>
              <w:top w:val="nil"/>
              <w:left w:val="nil"/>
              <w:bottom w:val="nil"/>
              <w:right w:val="nil"/>
            </w:tcBorders>
          </w:tcPr>
          <w:p w14:paraId="5DFBB9D5"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236" w:type="dxa"/>
            <w:gridSpan w:val="2"/>
            <w:tcBorders>
              <w:top w:val="nil"/>
              <w:left w:val="nil"/>
              <w:bottom w:val="nil"/>
              <w:right w:val="nil"/>
            </w:tcBorders>
          </w:tcPr>
          <w:p w14:paraId="1D14FBA5"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164" w:type="dxa"/>
            <w:gridSpan w:val="2"/>
            <w:tcBorders>
              <w:top w:val="nil"/>
              <w:left w:val="nil"/>
              <w:bottom w:val="nil"/>
              <w:right w:val="nil"/>
            </w:tcBorders>
          </w:tcPr>
          <w:p w14:paraId="4906A58F"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283" w:type="dxa"/>
            <w:tcBorders>
              <w:top w:val="nil"/>
              <w:left w:val="nil"/>
              <w:bottom w:val="nil"/>
              <w:right w:val="nil"/>
            </w:tcBorders>
          </w:tcPr>
          <w:p w14:paraId="1F0A36C4"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709" w:type="dxa"/>
            <w:tcBorders>
              <w:top w:val="nil"/>
              <w:left w:val="nil"/>
              <w:bottom w:val="nil"/>
              <w:right w:val="nil"/>
            </w:tcBorders>
          </w:tcPr>
          <w:p w14:paraId="65E3D28B"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843" w:type="dxa"/>
            <w:tcBorders>
              <w:top w:val="nil"/>
              <w:left w:val="nil"/>
              <w:bottom w:val="nil"/>
              <w:right w:val="nil"/>
            </w:tcBorders>
          </w:tcPr>
          <w:p w14:paraId="70111A6D"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507" w:type="dxa"/>
            <w:tcBorders>
              <w:top w:val="nil"/>
              <w:left w:val="nil"/>
              <w:bottom w:val="nil"/>
              <w:right w:val="nil"/>
            </w:tcBorders>
          </w:tcPr>
          <w:p w14:paraId="5B2FB212"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p>
        </w:tc>
        <w:tc>
          <w:tcPr>
            <w:tcW w:w="236" w:type="dxa"/>
            <w:tcBorders>
              <w:top w:val="nil"/>
              <w:left w:val="nil"/>
              <w:bottom w:val="nil"/>
              <w:right w:val="nil"/>
            </w:tcBorders>
          </w:tcPr>
          <w:p w14:paraId="4FCF3AB9"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p>
        </w:tc>
      </w:tr>
      <w:tr w:rsidR="00CB1D16" w:rsidRPr="00CB1D16" w14:paraId="7773B4E0" w14:textId="77777777" w:rsidTr="00906E1D">
        <w:tc>
          <w:tcPr>
            <w:tcW w:w="1843" w:type="dxa"/>
            <w:tcBorders>
              <w:top w:val="nil"/>
              <w:left w:val="nil"/>
              <w:bottom w:val="nil"/>
              <w:right w:val="nil"/>
            </w:tcBorders>
          </w:tcPr>
          <w:p w14:paraId="6DFED9B1"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External facing ENVD</w:t>
            </w:r>
          </w:p>
        </w:tc>
        <w:tc>
          <w:tcPr>
            <w:tcW w:w="709" w:type="dxa"/>
            <w:gridSpan w:val="2"/>
            <w:tcBorders>
              <w:top w:val="nil"/>
              <w:left w:val="nil"/>
              <w:bottom w:val="nil"/>
              <w:right w:val="nil"/>
            </w:tcBorders>
          </w:tcPr>
          <w:p w14:paraId="64F23F41"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0.80*</w:t>
            </w:r>
          </w:p>
        </w:tc>
        <w:tc>
          <w:tcPr>
            <w:tcW w:w="709" w:type="dxa"/>
            <w:tcBorders>
              <w:top w:val="nil"/>
              <w:left w:val="nil"/>
              <w:bottom w:val="nil"/>
              <w:right w:val="nil"/>
            </w:tcBorders>
          </w:tcPr>
          <w:p w14:paraId="3C718671" w14:textId="77777777" w:rsidR="00CB1D16" w:rsidRPr="00CB1D16" w:rsidRDefault="00CB1D16" w:rsidP="00CB1D16">
            <w:pPr>
              <w:widowControl w:val="0"/>
              <w:autoSpaceDE w:val="0"/>
              <w:autoSpaceDN w:val="0"/>
              <w:adjustRightInd w:val="0"/>
              <w:spacing w:after="0" w:line="240" w:lineRule="auto"/>
              <w:ind w:left="-113"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 xml:space="preserve">  1.00</w:t>
            </w:r>
          </w:p>
        </w:tc>
        <w:tc>
          <w:tcPr>
            <w:tcW w:w="708" w:type="dxa"/>
            <w:tcBorders>
              <w:top w:val="nil"/>
              <w:left w:val="nil"/>
              <w:bottom w:val="nil"/>
              <w:right w:val="nil"/>
            </w:tcBorders>
          </w:tcPr>
          <w:p w14:paraId="6A3F711E"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625" w:type="dxa"/>
            <w:gridSpan w:val="4"/>
            <w:tcBorders>
              <w:top w:val="nil"/>
              <w:left w:val="nil"/>
              <w:bottom w:val="nil"/>
              <w:right w:val="nil"/>
            </w:tcBorders>
          </w:tcPr>
          <w:p w14:paraId="1EE38476"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236" w:type="dxa"/>
            <w:tcBorders>
              <w:top w:val="nil"/>
              <w:left w:val="nil"/>
              <w:bottom w:val="nil"/>
              <w:right w:val="nil"/>
            </w:tcBorders>
          </w:tcPr>
          <w:p w14:paraId="195D6050"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236" w:type="dxa"/>
            <w:gridSpan w:val="2"/>
            <w:tcBorders>
              <w:top w:val="nil"/>
              <w:left w:val="nil"/>
              <w:bottom w:val="nil"/>
              <w:right w:val="nil"/>
            </w:tcBorders>
          </w:tcPr>
          <w:p w14:paraId="2E448E71"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164" w:type="dxa"/>
            <w:gridSpan w:val="2"/>
            <w:tcBorders>
              <w:top w:val="nil"/>
              <w:left w:val="nil"/>
              <w:bottom w:val="nil"/>
              <w:right w:val="nil"/>
            </w:tcBorders>
          </w:tcPr>
          <w:p w14:paraId="1719536E"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283" w:type="dxa"/>
            <w:tcBorders>
              <w:top w:val="nil"/>
              <w:left w:val="nil"/>
              <w:bottom w:val="nil"/>
              <w:right w:val="nil"/>
            </w:tcBorders>
          </w:tcPr>
          <w:p w14:paraId="41A25649"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709" w:type="dxa"/>
            <w:tcBorders>
              <w:top w:val="nil"/>
              <w:left w:val="nil"/>
              <w:bottom w:val="nil"/>
              <w:right w:val="nil"/>
            </w:tcBorders>
          </w:tcPr>
          <w:p w14:paraId="0BD5189F"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843" w:type="dxa"/>
            <w:tcBorders>
              <w:top w:val="nil"/>
              <w:left w:val="nil"/>
              <w:bottom w:val="nil"/>
              <w:right w:val="nil"/>
            </w:tcBorders>
          </w:tcPr>
          <w:p w14:paraId="091E4709"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507" w:type="dxa"/>
            <w:tcBorders>
              <w:top w:val="nil"/>
              <w:left w:val="nil"/>
              <w:bottom w:val="nil"/>
              <w:right w:val="nil"/>
            </w:tcBorders>
          </w:tcPr>
          <w:p w14:paraId="6997CB61"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p>
        </w:tc>
        <w:tc>
          <w:tcPr>
            <w:tcW w:w="236" w:type="dxa"/>
            <w:tcBorders>
              <w:top w:val="nil"/>
              <w:left w:val="nil"/>
              <w:bottom w:val="nil"/>
              <w:right w:val="nil"/>
            </w:tcBorders>
          </w:tcPr>
          <w:p w14:paraId="7F624165"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p>
        </w:tc>
      </w:tr>
      <w:tr w:rsidR="00CB1D16" w:rsidRPr="00CB1D16" w14:paraId="02F0E0F5" w14:textId="77777777" w:rsidTr="00906E1D">
        <w:trPr>
          <w:trHeight w:val="231"/>
        </w:trPr>
        <w:tc>
          <w:tcPr>
            <w:tcW w:w="1843" w:type="dxa"/>
            <w:tcBorders>
              <w:top w:val="nil"/>
              <w:left w:val="nil"/>
              <w:bottom w:val="nil"/>
              <w:right w:val="nil"/>
            </w:tcBorders>
          </w:tcPr>
          <w:p w14:paraId="2CEEF8E0"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WBD</w:t>
            </w:r>
          </w:p>
        </w:tc>
        <w:tc>
          <w:tcPr>
            <w:tcW w:w="709" w:type="dxa"/>
            <w:gridSpan w:val="2"/>
            <w:tcBorders>
              <w:top w:val="nil"/>
              <w:left w:val="nil"/>
              <w:bottom w:val="nil"/>
              <w:right w:val="nil"/>
            </w:tcBorders>
          </w:tcPr>
          <w:p w14:paraId="66CE7AD2"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0.41*</w:t>
            </w:r>
          </w:p>
        </w:tc>
        <w:tc>
          <w:tcPr>
            <w:tcW w:w="709" w:type="dxa"/>
            <w:tcBorders>
              <w:top w:val="nil"/>
              <w:left w:val="nil"/>
              <w:bottom w:val="nil"/>
              <w:right w:val="nil"/>
            </w:tcBorders>
          </w:tcPr>
          <w:p w14:paraId="1A4AB524" w14:textId="77777777" w:rsidR="00CB1D16" w:rsidRPr="00CB1D16" w:rsidRDefault="00CB1D16" w:rsidP="00CB1D16">
            <w:pPr>
              <w:widowControl w:val="0"/>
              <w:autoSpaceDE w:val="0"/>
              <w:autoSpaceDN w:val="0"/>
              <w:adjustRightInd w:val="0"/>
              <w:spacing w:after="0" w:line="240" w:lineRule="auto"/>
              <w:ind w:left="-57"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 xml:space="preserve"> 0.30</w:t>
            </w:r>
          </w:p>
        </w:tc>
        <w:tc>
          <w:tcPr>
            <w:tcW w:w="708" w:type="dxa"/>
            <w:tcBorders>
              <w:top w:val="nil"/>
              <w:left w:val="nil"/>
              <w:bottom w:val="nil"/>
              <w:right w:val="nil"/>
            </w:tcBorders>
          </w:tcPr>
          <w:p w14:paraId="3F13DA4E" w14:textId="77777777" w:rsidR="00CB1D16" w:rsidRPr="00CB1D16" w:rsidRDefault="00CB1D16" w:rsidP="00CB1D16">
            <w:pPr>
              <w:widowControl w:val="0"/>
              <w:autoSpaceDE w:val="0"/>
              <w:autoSpaceDN w:val="0"/>
              <w:adjustRightInd w:val="0"/>
              <w:spacing w:after="0" w:line="240" w:lineRule="auto"/>
              <w:ind w:left="-113"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 xml:space="preserve">  1.00</w:t>
            </w:r>
          </w:p>
        </w:tc>
        <w:tc>
          <w:tcPr>
            <w:tcW w:w="1625" w:type="dxa"/>
            <w:gridSpan w:val="4"/>
            <w:tcBorders>
              <w:top w:val="nil"/>
              <w:left w:val="nil"/>
              <w:bottom w:val="nil"/>
              <w:right w:val="nil"/>
            </w:tcBorders>
          </w:tcPr>
          <w:p w14:paraId="77AAACF6"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236" w:type="dxa"/>
            <w:tcBorders>
              <w:top w:val="nil"/>
              <w:left w:val="nil"/>
              <w:bottom w:val="nil"/>
              <w:right w:val="nil"/>
            </w:tcBorders>
          </w:tcPr>
          <w:p w14:paraId="69BA5645"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236" w:type="dxa"/>
            <w:gridSpan w:val="2"/>
            <w:tcBorders>
              <w:top w:val="nil"/>
              <w:left w:val="nil"/>
              <w:bottom w:val="nil"/>
              <w:right w:val="nil"/>
            </w:tcBorders>
          </w:tcPr>
          <w:p w14:paraId="2C8C8D7A"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164" w:type="dxa"/>
            <w:gridSpan w:val="2"/>
            <w:tcBorders>
              <w:top w:val="nil"/>
              <w:left w:val="nil"/>
              <w:bottom w:val="nil"/>
              <w:right w:val="nil"/>
            </w:tcBorders>
          </w:tcPr>
          <w:p w14:paraId="271C5731"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283" w:type="dxa"/>
            <w:tcBorders>
              <w:top w:val="nil"/>
              <w:left w:val="nil"/>
              <w:bottom w:val="nil"/>
              <w:right w:val="nil"/>
            </w:tcBorders>
          </w:tcPr>
          <w:p w14:paraId="0549AC6D"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709" w:type="dxa"/>
            <w:tcBorders>
              <w:top w:val="nil"/>
              <w:left w:val="nil"/>
              <w:bottom w:val="nil"/>
              <w:right w:val="nil"/>
            </w:tcBorders>
          </w:tcPr>
          <w:p w14:paraId="766878DB"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843" w:type="dxa"/>
            <w:tcBorders>
              <w:top w:val="nil"/>
              <w:left w:val="nil"/>
              <w:bottom w:val="nil"/>
              <w:right w:val="nil"/>
            </w:tcBorders>
          </w:tcPr>
          <w:p w14:paraId="20F170A8"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507" w:type="dxa"/>
            <w:tcBorders>
              <w:top w:val="nil"/>
              <w:left w:val="nil"/>
              <w:bottom w:val="nil"/>
              <w:right w:val="nil"/>
            </w:tcBorders>
          </w:tcPr>
          <w:p w14:paraId="697BA3B0"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p>
        </w:tc>
        <w:tc>
          <w:tcPr>
            <w:tcW w:w="236" w:type="dxa"/>
            <w:tcBorders>
              <w:top w:val="nil"/>
              <w:left w:val="nil"/>
              <w:bottom w:val="nil"/>
              <w:right w:val="nil"/>
            </w:tcBorders>
          </w:tcPr>
          <w:p w14:paraId="47437BCA"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p>
        </w:tc>
      </w:tr>
      <w:tr w:rsidR="00CB1D16" w:rsidRPr="00CB1D16" w14:paraId="072EC2DE" w14:textId="77777777" w:rsidTr="00906E1D">
        <w:tc>
          <w:tcPr>
            <w:tcW w:w="1843" w:type="dxa"/>
            <w:tcBorders>
              <w:top w:val="nil"/>
              <w:left w:val="nil"/>
              <w:bottom w:val="nil"/>
              <w:right w:val="nil"/>
            </w:tcBorders>
          </w:tcPr>
          <w:p w14:paraId="6DF2D20C"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ENVBDC</w:t>
            </w:r>
          </w:p>
        </w:tc>
        <w:tc>
          <w:tcPr>
            <w:tcW w:w="709" w:type="dxa"/>
            <w:gridSpan w:val="2"/>
            <w:tcBorders>
              <w:top w:val="nil"/>
              <w:left w:val="nil"/>
              <w:bottom w:val="nil"/>
              <w:right w:val="nil"/>
            </w:tcBorders>
          </w:tcPr>
          <w:p w14:paraId="1770F54C"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0.57*</w:t>
            </w:r>
          </w:p>
        </w:tc>
        <w:tc>
          <w:tcPr>
            <w:tcW w:w="709" w:type="dxa"/>
            <w:tcBorders>
              <w:top w:val="nil"/>
              <w:left w:val="nil"/>
              <w:bottom w:val="nil"/>
              <w:right w:val="nil"/>
            </w:tcBorders>
          </w:tcPr>
          <w:p w14:paraId="637F3468" w14:textId="77777777" w:rsidR="00CB1D16" w:rsidRPr="00CB1D16" w:rsidRDefault="00CB1D16" w:rsidP="00CB1D16">
            <w:pPr>
              <w:widowControl w:val="0"/>
              <w:autoSpaceDE w:val="0"/>
              <w:autoSpaceDN w:val="0"/>
              <w:adjustRightInd w:val="0"/>
              <w:spacing w:after="0" w:line="240" w:lineRule="auto"/>
              <w:ind w:left="-57"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 xml:space="preserve"> 0.46*</w:t>
            </w:r>
          </w:p>
        </w:tc>
        <w:tc>
          <w:tcPr>
            <w:tcW w:w="708" w:type="dxa"/>
            <w:tcBorders>
              <w:top w:val="nil"/>
              <w:left w:val="nil"/>
              <w:bottom w:val="nil"/>
              <w:right w:val="nil"/>
            </w:tcBorders>
          </w:tcPr>
          <w:p w14:paraId="220A64C8" w14:textId="77777777" w:rsidR="00CB1D16" w:rsidRPr="00CB1D16" w:rsidRDefault="00CB1D16" w:rsidP="00CB1D16">
            <w:pPr>
              <w:widowControl w:val="0"/>
              <w:autoSpaceDE w:val="0"/>
              <w:autoSpaceDN w:val="0"/>
              <w:adjustRightInd w:val="0"/>
              <w:spacing w:after="0" w:line="240" w:lineRule="auto"/>
              <w:ind w:left="-170"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 xml:space="preserve">   0 .19</w:t>
            </w:r>
          </w:p>
        </w:tc>
        <w:tc>
          <w:tcPr>
            <w:tcW w:w="1625" w:type="dxa"/>
            <w:gridSpan w:val="4"/>
            <w:tcBorders>
              <w:top w:val="nil"/>
              <w:left w:val="nil"/>
              <w:bottom w:val="nil"/>
              <w:right w:val="nil"/>
            </w:tcBorders>
          </w:tcPr>
          <w:p w14:paraId="03C90ED2"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1.00</w:t>
            </w:r>
          </w:p>
        </w:tc>
        <w:tc>
          <w:tcPr>
            <w:tcW w:w="236" w:type="dxa"/>
            <w:tcBorders>
              <w:top w:val="nil"/>
              <w:left w:val="nil"/>
              <w:bottom w:val="nil"/>
              <w:right w:val="nil"/>
            </w:tcBorders>
          </w:tcPr>
          <w:p w14:paraId="534A50AD"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236" w:type="dxa"/>
            <w:gridSpan w:val="2"/>
            <w:tcBorders>
              <w:top w:val="nil"/>
              <w:left w:val="nil"/>
              <w:bottom w:val="nil"/>
              <w:right w:val="nil"/>
            </w:tcBorders>
          </w:tcPr>
          <w:p w14:paraId="6505D423"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164" w:type="dxa"/>
            <w:gridSpan w:val="2"/>
            <w:tcBorders>
              <w:top w:val="nil"/>
              <w:left w:val="nil"/>
              <w:bottom w:val="nil"/>
              <w:right w:val="nil"/>
            </w:tcBorders>
          </w:tcPr>
          <w:p w14:paraId="2BA83402"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283" w:type="dxa"/>
            <w:tcBorders>
              <w:top w:val="nil"/>
              <w:left w:val="nil"/>
              <w:bottom w:val="nil"/>
              <w:right w:val="nil"/>
            </w:tcBorders>
          </w:tcPr>
          <w:p w14:paraId="6EDFFCC7"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709" w:type="dxa"/>
            <w:tcBorders>
              <w:top w:val="nil"/>
              <w:left w:val="nil"/>
              <w:bottom w:val="nil"/>
              <w:right w:val="nil"/>
            </w:tcBorders>
          </w:tcPr>
          <w:p w14:paraId="21F14625"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843" w:type="dxa"/>
            <w:tcBorders>
              <w:top w:val="nil"/>
              <w:left w:val="nil"/>
              <w:bottom w:val="nil"/>
              <w:right w:val="nil"/>
            </w:tcBorders>
          </w:tcPr>
          <w:p w14:paraId="401CC9FD"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507" w:type="dxa"/>
            <w:tcBorders>
              <w:top w:val="nil"/>
              <w:left w:val="nil"/>
              <w:bottom w:val="nil"/>
              <w:right w:val="nil"/>
            </w:tcBorders>
          </w:tcPr>
          <w:p w14:paraId="2B7DD2DE"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p>
        </w:tc>
        <w:tc>
          <w:tcPr>
            <w:tcW w:w="236" w:type="dxa"/>
            <w:tcBorders>
              <w:top w:val="nil"/>
              <w:left w:val="nil"/>
              <w:bottom w:val="nil"/>
              <w:right w:val="nil"/>
            </w:tcBorders>
          </w:tcPr>
          <w:p w14:paraId="150F4DF7"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p>
        </w:tc>
      </w:tr>
      <w:tr w:rsidR="00CB1D16" w:rsidRPr="00CB1D16" w14:paraId="0328549A" w14:textId="77777777" w:rsidTr="00906E1D">
        <w:tc>
          <w:tcPr>
            <w:tcW w:w="1843" w:type="dxa"/>
            <w:tcBorders>
              <w:top w:val="nil"/>
              <w:left w:val="nil"/>
              <w:bottom w:val="nil"/>
              <w:right w:val="nil"/>
            </w:tcBorders>
          </w:tcPr>
          <w:p w14:paraId="27F672BA"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BDI</w:t>
            </w:r>
          </w:p>
        </w:tc>
        <w:tc>
          <w:tcPr>
            <w:tcW w:w="709" w:type="dxa"/>
            <w:gridSpan w:val="2"/>
            <w:tcBorders>
              <w:top w:val="nil"/>
              <w:left w:val="nil"/>
              <w:bottom w:val="nil"/>
              <w:right w:val="nil"/>
            </w:tcBorders>
          </w:tcPr>
          <w:p w14:paraId="349C0643"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0.13</w:t>
            </w:r>
          </w:p>
        </w:tc>
        <w:tc>
          <w:tcPr>
            <w:tcW w:w="709" w:type="dxa"/>
            <w:tcBorders>
              <w:top w:val="nil"/>
              <w:left w:val="nil"/>
              <w:bottom w:val="nil"/>
              <w:right w:val="nil"/>
            </w:tcBorders>
          </w:tcPr>
          <w:p w14:paraId="60A9171F" w14:textId="77777777" w:rsidR="00CB1D16" w:rsidRPr="00CB1D16" w:rsidRDefault="00CB1D16" w:rsidP="00CB1D16">
            <w:pPr>
              <w:widowControl w:val="0"/>
              <w:autoSpaceDE w:val="0"/>
              <w:autoSpaceDN w:val="0"/>
              <w:adjustRightInd w:val="0"/>
              <w:spacing w:after="0" w:line="240" w:lineRule="auto"/>
              <w:ind w:left="-57"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 xml:space="preserve"> 0.08</w:t>
            </w:r>
          </w:p>
        </w:tc>
        <w:tc>
          <w:tcPr>
            <w:tcW w:w="708" w:type="dxa"/>
            <w:tcBorders>
              <w:top w:val="nil"/>
              <w:left w:val="nil"/>
              <w:bottom w:val="nil"/>
              <w:right w:val="nil"/>
            </w:tcBorders>
          </w:tcPr>
          <w:p w14:paraId="51E8F7D9"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0.19</w:t>
            </w:r>
          </w:p>
        </w:tc>
        <w:tc>
          <w:tcPr>
            <w:tcW w:w="567" w:type="dxa"/>
            <w:tcBorders>
              <w:top w:val="nil"/>
              <w:left w:val="nil"/>
              <w:bottom w:val="nil"/>
              <w:right w:val="nil"/>
            </w:tcBorders>
          </w:tcPr>
          <w:p w14:paraId="717915C6"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0.07</w:t>
            </w:r>
          </w:p>
        </w:tc>
        <w:tc>
          <w:tcPr>
            <w:tcW w:w="851" w:type="dxa"/>
            <w:gridSpan w:val="2"/>
            <w:tcBorders>
              <w:top w:val="nil"/>
              <w:left w:val="nil"/>
              <w:bottom w:val="nil"/>
              <w:right w:val="nil"/>
            </w:tcBorders>
          </w:tcPr>
          <w:p w14:paraId="4D4533E1"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1.00</w:t>
            </w:r>
          </w:p>
        </w:tc>
        <w:tc>
          <w:tcPr>
            <w:tcW w:w="567" w:type="dxa"/>
            <w:gridSpan w:val="3"/>
            <w:tcBorders>
              <w:top w:val="nil"/>
              <w:left w:val="nil"/>
              <w:bottom w:val="nil"/>
              <w:right w:val="nil"/>
            </w:tcBorders>
          </w:tcPr>
          <w:p w14:paraId="72E42EC1"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276" w:type="dxa"/>
            <w:gridSpan w:val="3"/>
            <w:tcBorders>
              <w:top w:val="nil"/>
              <w:left w:val="nil"/>
              <w:bottom w:val="nil"/>
              <w:right w:val="nil"/>
            </w:tcBorders>
          </w:tcPr>
          <w:p w14:paraId="36E29128"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283" w:type="dxa"/>
            <w:tcBorders>
              <w:top w:val="nil"/>
              <w:left w:val="nil"/>
              <w:bottom w:val="nil"/>
              <w:right w:val="nil"/>
            </w:tcBorders>
          </w:tcPr>
          <w:p w14:paraId="2CE78CDD"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709" w:type="dxa"/>
            <w:tcBorders>
              <w:top w:val="nil"/>
              <w:left w:val="nil"/>
              <w:bottom w:val="nil"/>
              <w:right w:val="nil"/>
            </w:tcBorders>
          </w:tcPr>
          <w:p w14:paraId="4A13D240"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843" w:type="dxa"/>
            <w:tcBorders>
              <w:top w:val="nil"/>
              <w:left w:val="nil"/>
              <w:bottom w:val="nil"/>
              <w:right w:val="nil"/>
            </w:tcBorders>
          </w:tcPr>
          <w:p w14:paraId="7575C487"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507" w:type="dxa"/>
            <w:tcBorders>
              <w:top w:val="nil"/>
              <w:left w:val="nil"/>
              <w:bottom w:val="nil"/>
              <w:right w:val="nil"/>
            </w:tcBorders>
          </w:tcPr>
          <w:p w14:paraId="420162BC"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p>
        </w:tc>
        <w:tc>
          <w:tcPr>
            <w:tcW w:w="236" w:type="dxa"/>
            <w:tcBorders>
              <w:top w:val="nil"/>
              <w:left w:val="nil"/>
              <w:bottom w:val="nil"/>
              <w:right w:val="nil"/>
            </w:tcBorders>
          </w:tcPr>
          <w:p w14:paraId="4A358B28"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p>
        </w:tc>
      </w:tr>
      <w:tr w:rsidR="00CB1D16" w:rsidRPr="00CB1D16" w14:paraId="5777FE87" w14:textId="77777777" w:rsidTr="00906E1D">
        <w:tc>
          <w:tcPr>
            <w:tcW w:w="1843" w:type="dxa"/>
            <w:tcBorders>
              <w:top w:val="nil"/>
              <w:left w:val="nil"/>
              <w:bottom w:val="nil"/>
              <w:right w:val="nil"/>
            </w:tcBorders>
          </w:tcPr>
          <w:p w14:paraId="3D424DF8"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BDSize</w:t>
            </w:r>
          </w:p>
        </w:tc>
        <w:tc>
          <w:tcPr>
            <w:tcW w:w="709" w:type="dxa"/>
            <w:gridSpan w:val="2"/>
            <w:tcBorders>
              <w:top w:val="nil"/>
              <w:left w:val="nil"/>
              <w:bottom w:val="nil"/>
              <w:right w:val="nil"/>
            </w:tcBorders>
          </w:tcPr>
          <w:p w14:paraId="33B5FB83"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0.13</w:t>
            </w:r>
          </w:p>
        </w:tc>
        <w:tc>
          <w:tcPr>
            <w:tcW w:w="709" w:type="dxa"/>
            <w:tcBorders>
              <w:top w:val="nil"/>
              <w:left w:val="nil"/>
              <w:bottom w:val="nil"/>
              <w:right w:val="nil"/>
            </w:tcBorders>
          </w:tcPr>
          <w:p w14:paraId="677EA7F4" w14:textId="77777777" w:rsidR="00CB1D16" w:rsidRPr="00CB1D16" w:rsidRDefault="00CB1D16" w:rsidP="00CB1D16">
            <w:pPr>
              <w:widowControl w:val="0"/>
              <w:autoSpaceDE w:val="0"/>
              <w:autoSpaceDN w:val="0"/>
              <w:adjustRightInd w:val="0"/>
              <w:spacing w:after="0" w:line="240" w:lineRule="auto"/>
              <w:ind w:left="-57"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 xml:space="preserve"> 0.08</w:t>
            </w:r>
          </w:p>
        </w:tc>
        <w:tc>
          <w:tcPr>
            <w:tcW w:w="708" w:type="dxa"/>
            <w:tcBorders>
              <w:top w:val="nil"/>
              <w:left w:val="nil"/>
              <w:bottom w:val="nil"/>
              <w:right w:val="nil"/>
            </w:tcBorders>
          </w:tcPr>
          <w:p w14:paraId="00FE33E8"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0.19</w:t>
            </w:r>
          </w:p>
        </w:tc>
        <w:tc>
          <w:tcPr>
            <w:tcW w:w="567" w:type="dxa"/>
            <w:tcBorders>
              <w:top w:val="nil"/>
              <w:left w:val="nil"/>
              <w:bottom w:val="nil"/>
              <w:right w:val="nil"/>
            </w:tcBorders>
          </w:tcPr>
          <w:p w14:paraId="3319ECDA"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0.12</w:t>
            </w:r>
          </w:p>
        </w:tc>
        <w:tc>
          <w:tcPr>
            <w:tcW w:w="851" w:type="dxa"/>
            <w:gridSpan w:val="2"/>
            <w:tcBorders>
              <w:top w:val="nil"/>
              <w:left w:val="nil"/>
              <w:bottom w:val="nil"/>
              <w:right w:val="nil"/>
            </w:tcBorders>
          </w:tcPr>
          <w:p w14:paraId="04A02910"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0.95*</w:t>
            </w:r>
          </w:p>
        </w:tc>
        <w:tc>
          <w:tcPr>
            <w:tcW w:w="567" w:type="dxa"/>
            <w:gridSpan w:val="3"/>
            <w:tcBorders>
              <w:top w:val="nil"/>
              <w:left w:val="nil"/>
              <w:bottom w:val="nil"/>
              <w:right w:val="nil"/>
            </w:tcBorders>
          </w:tcPr>
          <w:p w14:paraId="0F53FCD5" w14:textId="77777777" w:rsidR="00CB1D16" w:rsidRPr="00CB1D16" w:rsidRDefault="00CB1D16" w:rsidP="00CB1D16">
            <w:pPr>
              <w:widowControl w:val="0"/>
              <w:autoSpaceDE w:val="0"/>
              <w:autoSpaceDN w:val="0"/>
              <w:adjustRightInd w:val="0"/>
              <w:spacing w:after="0" w:line="240" w:lineRule="auto"/>
              <w:ind w:left="-113"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1.00</w:t>
            </w:r>
          </w:p>
        </w:tc>
        <w:tc>
          <w:tcPr>
            <w:tcW w:w="1276" w:type="dxa"/>
            <w:gridSpan w:val="3"/>
            <w:tcBorders>
              <w:top w:val="nil"/>
              <w:left w:val="nil"/>
              <w:bottom w:val="nil"/>
              <w:right w:val="nil"/>
            </w:tcBorders>
          </w:tcPr>
          <w:p w14:paraId="24172114"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283" w:type="dxa"/>
            <w:tcBorders>
              <w:top w:val="nil"/>
              <w:left w:val="nil"/>
              <w:bottom w:val="nil"/>
              <w:right w:val="nil"/>
            </w:tcBorders>
          </w:tcPr>
          <w:p w14:paraId="265CC61C"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709" w:type="dxa"/>
            <w:tcBorders>
              <w:top w:val="nil"/>
              <w:left w:val="nil"/>
              <w:bottom w:val="nil"/>
              <w:right w:val="nil"/>
            </w:tcBorders>
          </w:tcPr>
          <w:p w14:paraId="5028E717"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843" w:type="dxa"/>
            <w:tcBorders>
              <w:top w:val="nil"/>
              <w:left w:val="nil"/>
              <w:bottom w:val="nil"/>
              <w:right w:val="nil"/>
            </w:tcBorders>
          </w:tcPr>
          <w:p w14:paraId="4C36476B"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507" w:type="dxa"/>
            <w:tcBorders>
              <w:top w:val="nil"/>
              <w:left w:val="nil"/>
              <w:bottom w:val="nil"/>
              <w:right w:val="nil"/>
            </w:tcBorders>
          </w:tcPr>
          <w:p w14:paraId="595E9ECC"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p>
        </w:tc>
        <w:tc>
          <w:tcPr>
            <w:tcW w:w="236" w:type="dxa"/>
            <w:tcBorders>
              <w:top w:val="nil"/>
              <w:left w:val="nil"/>
              <w:bottom w:val="nil"/>
              <w:right w:val="nil"/>
            </w:tcBorders>
          </w:tcPr>
          <w:p w14:paraId="1DFEEA87"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p>
        </w:tc>
      </w:tr>
      <w:tr w:rsidR="00CB1D16" w:rsidRPr="00CB1D16" w14:paraId="2FF6EAC1" w14:textId="77777777" w:rsidTr="00906E1D">
        <w:tc>
          <w:tcPr>
            <w:tcW w:w="1843" w:type="dxa"/>
            <w:tcBorders>
              <w:top w:val="nil"/>
              <w:left w:val="nil"/>
              <w:bottom w:val="nil"/>
              <w:right w:val="nil"/>
            </w:tcBorders>
          </w:tcPr>
          <w:p w14:paraId="316C77CE"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WCEO</w:t>
            </w:r>
          </w:p>
        </w:tc>
        <w:tc>
          <w:tcPr>
            <w:tcW w:w="709" w:type="dxa"/>
            <w:gridSpan w:val="2"/>
            <w:tcBorders>
              <w:top w:val="nil"/>
              <w:left w:val="nil"/>
              <w:bottom w:val="nil"/>
              <w:right w:val="nil"/>
            </w:tcBorders>
          </w:tcPr>
          <w:p w14:paraId="293CEFDB"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0.40*</w:t>
            </w:r>
          </w:p>
        </w:tc>
        <w:tc>
          <w:tcPr>
            <w:tcW w:w="709" w:type="dxa"/>
            <w:tcBorders>
              <w:top w:val="nil"/>
              <w:left w:val="nil"/>
              <w:bottom w:val="nil"/>
              <w:right w:val="nil"/>
            </w:tcBorders>
          </w:tcPr>
          <w:p w14:paraId="21CA6C1E"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0.32*</w:t>
            </w:r>
          </w:p>
        </w:tc>
        <w:tc>
          <w:tcPr>
            <w:tcW w:w="708" w:type="dxa"/>
            <w:tcBorders>
              <w:top w:val="nil"/>
              <w:left w:val="nil"/>
              <w:bottom w:val="nil"/>
              <w:right w:val="nil"/>
            </w:tcBorders>
          </w:tcPr>
          <w:p w14:paraId="6DA28048"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0.24</w:t>
            </w:r>
          </w:p>
        </w:tc>
        <w:tc>
          <w:tcPr>
            <w:tcW w:w="567" w:type="dxa"/>
            <w:tcBorders>
              <w:top w:val="nil"/>
              <w:left w:val="nil"/>
              <w:bottom w:val="nil"/>
              <w:right w:val="nil"/>
            </w:tcBorders>
          </w:tcPr>
          <w:p w14:paraId="0E202BA4"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0.16</w:t>
            </w:r>
          </w:p>
        </w:tc>
        <w:tc>
          <w:tcPr>
            <w:tcW w:w="851" w:type="dxa"/>
            <w:gridSpan w:val="2"/>
            <w:tcBorders>
              <w:top w:val="nil"/>
              <w:left w:val="nil"/>
              <w:bottom w:val="nil"/>
              <w:right w:val="nil"/>
            </w:tcBorders>
          </w:tcPr>
          <w:p w14:paraId="0336F232"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0.08</w:t>
            </w:r>
          </w:p>
        </w:tc>
        <w:tc>
          <w:tcPr>
            <w:tcW w:w="567" w:type="dxa"/>
            <w:gridSpan w:val="3"/>
            <w:tcBorders>
              <w:top w:val="nil"/>
              <w:left w:val="nil"/>
              <w:bottom w:val="nil"/>
              <w:right w:val="nil"/>
            </w:tcBorders>
          </w:tcPr>
          <w:p w14:paraId="6DF623CE" w14:textId="77777777" w:rsidR="00CB1D16" w:rsidRPr="00CB1D16" w:rsidRDefault="00CB1D16" w:rsidP="00CB1D16">
            <w:pPr>
              <w:widowControl w:val="0"/>
              <w:autoSpaceDE w:val="0"/>
              <w:autoSpaceDN w:val="0"/>
              <w:adjustRightInd w:val="0"/>
              <w:spacing w:after="0" w:line="240" w:lineRule="auto"/>
              <w:ind w:left="-113"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0.11</w:t>
            </w:r>
          </w:p>
        </w:tc>
        <w:tc>
          <w:tcPr>
            <w:tcW w:w="1276" w:type="dxa"/>
            <w:gridSpan w:val="3"/>
            <w:tcBorders>
              <w:top w:val="nil"/>
              <w:left w:val="nil"/>
              <w:bottom w:val="nil"/>
              <w:right w:val="nil"/>
            </w:tcBorders>
          </w:tcPr>
          <w:p w14:paraId="16C88629"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1.00</w:t>
            </w:r>
          </w:p>
        </w:tc>
        <w:tc>
          <w:tcPr>
            <w:tcW w:w="283" w:type="dxa"/>
            <w:tcBorders>
              <w:top w:val="nil"/>
              <w:left w:val="nil"/>
              <w:bottom w:val="nil"/>
              <w:right w:val="nil"/>
            </w:tcBorders>
          </w:tcPr>
          <w:p w14:paraId="25CF81BA"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709" w:type="dxa"/>
            <w:tcBorders>
              <w:top w:val="nil"/>
              <w:left w:val="nil"/>
              <w:bottom w:val="nil"/>
              <w:right w:val="nil"/>
            </w:tcBorders>
          </w:tcPr>
          <w:p w14:paraId="24B08434"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843" w:type="dxa"/>
            <w:tcBorders>
              <w:top w:val="nil"/>
              <w:left w:val="nil"/>
              <w:bottom w:val="nil"/>
              <w:right w:val="nil"/>
            </w:tcBorders>
          </w:tcPr>
          <w:p w14:paraId="22CC8B3F"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507" w:type="dxa"/>
            <w:tcBorders>
              <w:top w:val="nil"/>
              <w:left w:val="nil"/>
              <w:bottom w:val="nil"/>
              <w:right w:val="nil"/>
            </w:tcBorders>
          </w:tcPr>
          <w:p w14:paraId="1C06A6E3"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p>
        </w:tc>
        <w:tc>
          <w:tcPr>
            <w:tcW w:w="236" w:type="dxa"/>
            <w:tcBorders>
              <w:top w:val="nil"/>
              <w:left w:val="nil"/>
              <w:bottom w:val="nil"/>
              <w:right w:val="nil"/>
            </w:tcBorders>
          </w:tcPr>
          <w:p w14:paraId="463D1261"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p>
        </w:tc>
      </w:tr>
      <w:tr w:rsidR="00CB1D16" w:rsidRPr="00CB1D16" w14:paraId="27FDBB8B" w14:textId="77777777" w:rsidTr="00906E1D">
        <w:tc>
          <w:tcPr>
            <w:tcW w:w="1843" w:type="dxa"/>
            <w:tcBorders>
              <w:top w:val="nil"/>
              <w:left w:val="nil"/>
              <w:bottom w:val="nil"/>
              <w:right w:val="nil"/>
            </w:tcBorders>
          </w:tcPr>
          <w:p w14:paraId="2E98CDF3"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ENVAccountability</w:t>
            </w:r>
          </w:p>
        </w:tc>
        <w:tc>
          <w:tcPr>
            <w:tcW w:w="709" w:type="dxa"/>
            <w:gridSpan w:val="2"/>
            <w:tcBorders>
              <w:top w:val="nil"/>
              <w:left w:val="nil"/>
              <w:bottom w:val="nil"/>
              <w:right w:val="nil"/>
            </w:tcBorders>
          </w:tcPr>
          <w:p w14:paraId="3721A2F8"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0.36*</w:t>
            </w:r>
          </w:p>
        </w:tc>
        <w:tc>
          <w:tcPr>
            <w:tcW w:w="709" w:type="dxa"/>
            <w:tcBorders>
              <w:top w:val="nil"/>
              <w:left w:val="nil"/>
              <w:bottom w:val="nil"/>
              <w:right w:val="nil"/>
            </w:tcBorders>
          </w:tcPr>
          <w:p w14:paraId="2075C6B5"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0.37*</w:t>
            </w:r>
          </w:p>
        </w:tc>
        <w:tc>
          <w:tcPr>
            <w:tcW w:w="708" w:type="dxa"/>
            <w:tcBorders>
              <w:top w:val="nil"/>
              <w:left w:val="nil"/>
              <w:bottom w:val="nil"/>
              <w:right w:val="nil"/>
            </w:tcBorders>
          </w:tcPr>
          <w:p w14:paraId="6154D396"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0.25</w:t>
            </w:r>
          </w:p>
        </w:tc>
        <w:tc>
          <w:tcPr>
            <w:tcW w:w="567" w:type="dxa"/>
            <w:tcBorders>
              <w:top w:val="nil"/>
              <w:left w:val="nil"/>
              <w:bottom w:val="nil"/>
              <w:right w:val="nil"/>
            </w:tcBorders>
          </w:tcPr>
          <w:p w14:paraId="0E46066D"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0.24</w:t>
            </w:r>
          </w:p>
        </w:tc>
        <w:tc>
          <w:tcPr>
            <w:tcW w:w="851" w:type="dxa"/>
            <w:gridSpan w:val="2"/>
            <w:tcBorders>
              <w:top w:val="nil"/>
              <w:left w:val="nil"/>
              <w:bottom w:val="nil"/>
              <w:right w:val="nil"/>
            </w:tcBorders>
          </w:tcPr>
          <w:p w14:paraId="2F712A69"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0.41*</w:t>
            </w:r>
          </w:p>
        </w:tc>
        <w:tc>
          <w:tcPr>
            <w:tcW w:w="567" w:type="dxa"/>
            <w:gridSpan w:val="3"/>
            <w:tcBorders>
              <w:top w:val="nil"/>
              <w:left w:val="nil"/>
              <w:bottom w:val="nil"/>
              <w:right w:val="nil"/>
            </w:tcBorders>
          </w:tcPr>
          <w:p w14:paraId="2374DB6F"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0.37*</w:t>
            </w:r>
          </w:p>
        </w:tc>
        <w:tc>
          <w:tcPr>
            <w:tcW w:w="850" w:type="dxa"/>
            <w:gridSpan w:val="2"/>
            <w:tcBorders>
              <w:top w:val="nil"/>
              <w:left w:val="nil"/>
              <w:bottom w:val="nil"/>
              <w:right w:val="nil"/>
            </w:tcBorders>
          </w:tcPr>
          <w:p w14:paraId="5512EA45"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0.24</w:t>
            </w:r>
          </w:p>
        </w:tc>
        <w:tc>
          <w:tcPr>
            <w:tcW w:w="709" w:type="dxa"/>
            <w:gridSpan w:val="2"/>
            <w:tcBorders>
              <w:top w:val="nil"/>
              <w:left w:val="nil"/>
              <w:bottom w:val="nil"/>
              <w:right w:val="nil"/>
            </w:tcBorders>
          </w:tcPr>
          <w:p w14:paraId="51B234B4" w14:textId="77777777" w:rsidR="00CB1D16" w:rsidRPr="00CB1D16" w:rsidRDefault="00CB1D16" w:rsidP="00CB1D16">
            <w:pPr>
              <w:widowControl w:val="0"/>
              <w:autoSpaceDE w:val="0"/>
              <w:autoSpaceDN w:val="0"/>
              <w:adjustRightInd w:val="0"/>
              <w:spacing w:after="0" w:line="240" w:lineRule="auto"/>
              <w:ind w:left="-113"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1.00</w:t>
            </w:r>
          </w:p>
        </w:tc>
        <w:tc>
          <w:tcPr>
            <w:tcW w:w="709" w:type="dxa"/>
            <w:tcBorders>
              <w:top w:val="nil"/>
              <w:left w:val="nil"/>
              <w:bottom w:val="nil"/>
              <w:right w:val="nil"/>
            </w:tcBorders>
          </w:tcPr>
          <w:p w14:paraId="3C9CBCDA"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843" w:type="dxa"/>
            <w:tcBorders>
              <w:top w:val="nil"/>
              <w:left w:val="nil"/>
              <w:bottom w:val="nil"/>
              <w:right w:val="nil"/>
            </w:tcBorders>
          </w:tcPr>
          <w:p w14:paraId="6405BA67"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507" w:type="dxa"/>
            <w:tcBorders>
              <w:top w:val="nil"/>
              <w:left w:val="nil"/>
              <w:bottom w:val="nil"/>
              <w:right w:val="nil"/>
            </w:tcBorders>
          </w:tcPr>
          <w:p w14:paraId="4ACCFEFF"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p>
        </w:tc>
        <w:tc>
          <w:tcPr>
            <w:tcW w:w="236" w:type="dxa"/>
            <w:tcBorders>
              <w:top w:val="nil"/>
              <w:left w:val="nil"/>
              <w:bottom w:val="nil"/>
              <w:right w:val="nil"/>
            </w:tcBorders>
          </w:tcPr>
          <w:p w14:paraId="355F66F6"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p>
        </w:tc>
      </w:tr>
      <w:tr w:rsidR="00CB1D16" w:rsidRPr="00CB1D16" w14:paraId="366D8481" w14:textId="77777777" w:rsidTr="00906E1D">
        <w:tc>
          <w:tcPr>
            <w:tcW w:w="1843" w:type="dxa"/>
            <w:tcBorders>
              <w:top w:val="nil"/>
              <w:left w:val="nil"/>
              <w:bottom w:val="nil"/>
              <w:right w:val="nil"/>
            </w:tcBorders>
          </w:tcPr>
          <w:p w14:paraId="4C10849C"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Donation</w:t>
            </w:r>
          </w:p>
        </w:tc>
        <w:tc>
          <w:tcPr>
            <w:tcW w:w="709" w:type="dxa"/>
            <w:gridSpan w:val="2"/>
            <w:tcBorders>
              <w:top w:val="nil"/>
              <w:left w:val="nil"/>
              <w:bottom w:val="nil"/>
              <w:right w:val="nil"/>
            </w:tcBorders>
          </w:tcPr>
          <w:p w14:paraId="30BC2898"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0.21</w:t>
            </w:r>
          </w:p>
        </w:tc>
        <w:tc>
          <w:tcPr>
            <w:tcW w:w="709" w:type="dxa"/>
            <w:tcBorders>
              <w:top w:val="nil"/>
              <w:left w:val="nil"/>
              <w:bottom w:val="nil"/>
              <w:right w:val="nil"/>
            </w:tcBorders>
          </w:tcPr>
          <w:p w14:paraId="3D6E137B"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0.18</w:t>
            </w:r>
          </w:p>
        </w:tc>
        <w:tc>
          <w:tcPr>
            <w:tcW w:w="708" w:type="dxa"/>
            <w:tcBorders>
              <w:top w:val="nil"/>
              <w:left w:val="nil"/>
              <w:bottom w:val="nil"/>
              <w:right w:val="nil"/>
            </w:tcBorders>
          </w:tcPr>
          <w:p w14:paraId="42EE1B5E"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0.31*</w:t>
            </w:r>
          </w:p>
        </w:tc>
        <w:tc>
          <w:tcPr>
            <w:tcW w:w="567" w:type="dxa"/>
            <w:tcBorders>
              <w:top w:val="nil"/>
              <w:left w:val="nil"/>
              <w:bottom w:val="nil"/>
              <w:right w:val="nil"/>
            </w:tcBorders>
          </w:tcPr>
          <w:p w14:paraId="439CBC24"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0.14</w:t>
            </w:r>
          </w:p>
        </w:tc>
        <w:tc>
          <w:tcPr>
            <w:tcW w:w="851" w:type="dxa"/>
            <w:gridSpan w:val="2"/>
            <w:tcBorders>
              <w:top w:val="nil"/>
              <w:left w:val="nil"/>
              <w:bottom w:val="nil"/>
              <w:right w:val="nil"/>
            </w:tcBorders>
          </w:tcPr>
          <w:p w14:paraId="6EEA867E"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0.44*</w:t>
            </w:r>
          </w:p>
        </w:tc>
        <w:tc>
          <w:tcPr>
            <w:tcW w:w="567" w:type="dxa"/>
            <w:gridSpan w:val="3"/>
            <w:tcBorders>
              <w:top w:val="nil"/>
              <w:left w:val="nil"/>
              <w:bottom w:val="nil"/>
              <w:right w:val="nil"/>
            </w:tcBorders>
          </w:tcPr>
          <w:p w14:paraId="363692AD"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0.47*</w:t>
            </w:r>
          </w:p>
        </w:tc>
        <w:tc>
          <w:tcPr>
            <w:tcW w:w="850" w:type="dxa"/>
            <w:gridSpan w:val="2"/>
            <w:tcBorders>
              <w:top w:val="nil"/>
              <w:left w:val="nil"/>
              <w:bottom w:val="nil"/>
              <w:right w:val="nil"/>
            </w:tcBorders>
          </w:tcPr>
          <w:p w14:paraId="66A5B6E9"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0.14</w:t>
            </w:r>
          </w:p>
        </w:tc>
        <w:tc>
          <w:tcPr>
            <w:tcW w:w="709" w:type="dxa"/>
            <w:gridSpan w:val="2"/>
            <w:tcBorders>
              <w:top w:val="nil"/>
              <w:left w:val="nil"/>
              <w:bottom w:val="nil"/>
              <w:right w:val="nil"/>
            </w:tcBorders>
          </w:tcPr>
          <w:p w14:paraId="7E66EE18" w14:textId="77777777" w:rsidR="00CB1D16" w:rsidRPr="00CB1D16" w:rsidRDefault="00CB1D16" w:rsidP="00CB1D16">
            <w:pPr>
              <w:widowControl w:val="0"/>
              <w:autoSpaceDE w:val="0"/>
              <w:autoSpaceDN w:val="0"/>
              <w:adjustRightInd w:val="0"/>
              <w:spacing w:after="0" w:line="240" w:lineRule="auto"/>
              <w:ind w:left="-57"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0.36*</w:t>
            </w:r>
          </w:p>
        </w:tc>
        <w:tc>
          <w:tcPr>
            <w:tcW w:w="709" w:type="dxa"/>
            <w:tcBorders>
              <w:top w:val="nil"/>
              <w:left w:val="nil"/>
              <w:bottom w:val="nil"/>
              <w:right w:val="nil"/>
            </w:tcBorders>
          </w:tcPr>
          <w:p w14:paraId="4DC90CAC" w14:textId="77777777" w:rsidR="00CB1D16" w:rsidRPr="00CB1D16" w:rsidRDefault="00CB1D16" w:rsidP="00CB1D16">
            <w:pPr>
              <w:widowControl w:val="0"/>
              <w:autoSpaceDE w:val="0"/>
              <w:autoSpaceDN w:val="0"/>
              <w:adjustRightInd w:val="0"/>
              <w:spacing w:after="0" w:line="240" w:lineRule="auto"/>
              <w:ind w:left="-113" w:right="2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1.00</w:t>
            </w:r>
          </w:p>
        </w:tc>
        <w:tc>
          <w:tcPr>
            <w:tcW w:w="1843" w:type="dxa"/>
            <w:tcBorders>
              <w:top w:val="nil"/>
              <w:left w:val="nil"/>
              <w:bottom w:val="nil"/>
              <w:right w:val="nil"/>
            </w:tcBorders>
          </w:tcPr>
          <w:p w14:paraId="34F8095D"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p>
        </w:tc>
        <w:tc>
          <w:tcPr>
            <w:tcW w:w="1507" w:type="dxa"/>
            <w:tcBorders>
              <w:top w:val="nil"/>
              <w:left w:val="nil"/>
              <w:bottom w:val="nil"/>
              <w:right w:val="nil"/>
            </w:tcBorders>
          </w:tcPr>
          <w:p w14:paraId="2A8BF753"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p>
        </w:tc>
        <w:tc>
          <w:tcPr>
            <w:tcW w:w="236" w:type="dxa"/>
            <w:tcBorders>
              <w:top w:val="nil"/>
              <w:left w:val="nil"/>
              <w:bottom w:val="nil"/>
              <w:right w:val="nil"/>
            </w:tcBorders>
          </w:tcPr>
          <w:p w14:paraId="569BEA04"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p>
        </w:tc>
      </w:tr>
      <w:tr w:rsidR="00CB1D16" w:rsidRPr="00CB1D16" w14:paraId="7341F349" w14:textId="77777777" w:rsidTr="00906E1D">
        <w:tc>
          <w:tcPr>
            <w:tcW w:w="1843" w:type="dxa"/>
            <w:tcBorders>
              <w:top w:val="nil"/>
              <w:left w:val="nil"/>
              <w:bottom w:val="nil"/>
              <w:right w:val="nil"/>
            </w:tcBorders>
          </w:tcPr>
          <w:p w14:paraId="228115AB"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ISO14001</w:t>
            </w:r>
          </w:p>
        </w:tc>
        <w:tc>
          <w:tcPr>
            <w:tcW w:w="709" w:type="dxa"/>
            <w:gridSpan w:val="2"/>
            <w:tcBorders>
              <w:top w:val="nil"/>
              <w:left w:val="nil"/>
              <w:bottom w:val="nil"/>
              <w:right w:val="nil"/>
            </w:tcBorders>
          </w:tcPr>
          <w:p w14:paraId="4D28FB91"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0.66*</w:t>
            </w:r>
          </w:p>
        </w:tc>
        <w:tc>
          <w:tcPr>
            <w:tcW w:w="709" w:type="dxa"/>
            <w:tcBorders>
              <w:top w:val="nil"/>
              <w:left w:val="nil"/>
              <w:bottom w:val="nil"/>
              <w:right w:val="nil"/>
            </w:tcBorders>
          </w:tcPr>
          <w:p w14:paraId="3847B73A"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0.61*</w:t>
            </w:r>
          </w:p>
        </w:tc>
        <w:tc>
          <w:tcPr>
            <w:tcW w:w="708" w:type="dxa"/>
            <w:tcBorders>
              <w:top w:val="nil"/>
              <w:left w:val="nil"/>
              <w:bottom w:val="nil"/>
              <w:right w:val="nil"/>
            </w:tcBorders>
          </w:tcPr>
          <w:p w14:paraId="324D05D6"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0.08</w:t>
            </w:r>
          </w:p>
        </w:tc>
        <w:tc>
          <w:tcPr>
            <w:tcW w:w="567" w:type="dxa"/>
            <w:tcBorders>
              <w:top w:val="nil"/>
              <w:left w:val="nil"/>
              <w:bottom w:val="nil"/>
              <w:right w:val="nil"/>
            </w:tcBorders>
          </w:tcPr>
          <w:p w14:paraId="4FE5AD72"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0.30</w:t>
            </w:r>
          </w:p>
        </w:tc>
        <w:tc>
          <w:tcPr>
            <w:tcW w:w="851" w:type="dxa"/>
            <w:gridSpan w:val="2"/>
            <w:tcBorders>
              <w:top w:val="nil"/>
              <w:left w:val="nil"/>
              <w:bottom w:val="nil"/>
              <w:right w:val="nil"/>
            </w:tcBorders>
          </w:tcPr>
          <w:p w14:paraId="393BCBED"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0.07</w:t>
            </w:r>
          </w:p>
        </w:tc>
        <w:tc>
          <w:tcPr>
            <w:tcW w:w="567" w:type="dxa"/>
            <w:gridSpan w:val="3"/>
            <w:tcBorders>
              <w:top w:val="nil"/>
              <w:left w:val="nil"/>
              <w:bottom w:val="nil"/>
              <w:right w:val="nil"/>
            </w:tcBorders>
          </w:tcPr>
          <w:p w14:paraId="460B10F3" w14:textId="77777777" w:rsidR="00CB1D16" w:rsidRPr="00CB1D16" w:rsidRDefault="00CB1D16" w:rsidP="00CB1D16">
            <w:pPr>
              <w:widowControl w:val="0"/>
              <w:autoSpaceDE w:val="0"/>
              <w:autoSpaceDN w:val="0"/>
              <w:adjustRightInd w:val="0"/>
              <w:spacing w:after="0" w:line="240" w:lineRule="auto"/>
              <w:ind w:left="-113"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0.05</w:t>
            </w:r>
          </w:p>
        </w:tc>
        <w:tc>
          <w:tcPr>
            <w:tcW w:w="850" w:type="dxa"/>
            <w:gridSpan w:val="2"/>
            <w:tcBorders>
              <w:top w:val="nil"/>
              <w:left w:val="nil"/>
              <w:bottom w:val="nil"/>
              <w:right w:val="nil"/>
            </w:tcBorders>
          </w:tcPr>
          <w:p w14:paraId="3196098D"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0.38*</w:t>
            </w:r>
          </w:p>
        </w:tc>
        <w:tc>
          <w:tcPr>
            <w:tcW w:w="709" w:type="dxa"/>
            <w:gridSpan w:val="2"/>
            <w:tcBorders>
              <w:top w:val="nil"/>
              <w:left w:val="nil"/>
              <w:bottom w:val="nil"/>
              <w:right w:val="nil"/>
            </w:tcBorders>
          </w:tcPr>
          <w:p w14:paraId="63F946CE" w14:textId="77777777" w:rsidR="00CB1D16" w:rsidRPr="00CB1D16" w:rsidRDefault="00CB1D16" w:rsidP="00CB1D16">
            <w:pPr>
              <w:widowControl w:val="0"/>
              <w:autoSpaceDE w:val="0"/>
              <w:autoSpaceDN w:val="0"/>
              <w:adjustRightInd w:val="0"/>
              <w:spacing w:after="0" w:line="240" w:lineRule="auto"/>
              <w:ind w:left="-57"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0.17</w:t>
            </w:r>
          </w:p>
        </w:tc>
        <w:tc>
          <w:tcPr>
            <w:tcW w:w="709" w:type="dxa"/>
            <w:tcBorders>
              <w:top w:val="nil"/>
              <w:left w:val="nil"/>
              <w:bottom w:val="nil"/>
              <w:right w:val="nil"/>
            </w:tcBorders>
          </w:tcPr>
          <w:p w14:paraId="6D1E2BD8" w14:textId="77777777" w:rsidR="00CB1D16" w:rsidRPr="00CB1D16" w:rsidRDefault="00CB1D16" w:rsidP="00CB1D16">
            <w:pPr>
              <w:widowControl w:val="0"/>
              <w:autoSpaceDE w:val="0"/>
              <w:autoSpaceDN w:val="0"/>
              <w:adjustRightInd w:val="0"/>
              <w:spacing w:after="0" w:line="240" w:lineRule="auto"/>
              <w:ind w:left="-113" w:right="2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0.08</w:t>
            </w:r>
          </w:p>
        </w:tc>
        <w:tc>
          <w:tcPr>
            <w:tcW w:w="1843" w:type="dxa"/>
            <w:tcBorders>
              <w:top w:val="nil"/>
              <w:left w:val="nil"/>
              <w:bottom w:val="nil"/>
              <w:right w:val="nil"/>
            </w:tcBorders>
          </w:tcPr>
          <w:p w14:paraId="3984E399" w14:textId="77777777" w:rsidR="00CB1D16" w:rsidRPr="00CB1D16" w:rsidRDefault="00CB1D16" w:rsidP="00CB1D16">
            <w:pPr>
              <w:widowControl w:val="0"/>
              <w:autoSpaceDE w:val="0"/>
              <w:autoSpaceDN w:val="0"/>
              <w:adjustRightInd w:val="0"/>
              <w:spacing w:after="0" w:line="240" w:lineRule="auto"/>
              <w:ind w:left="-113"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1.00     1.00</w:t>
            </w:r>
          </w:p>
        </w:tc>
        <w:tc>
          <w:tcPr>
            <w:tcW w:w="1507" w:type="dxa"/>
            <w:tcBorders>
              <w:top w:val="nil"/>
              <w:left w:val="nil"/>
              <w:bottom w:val="nil"/>
              <w:right w:val="nil"/>
            </w:tcBorders>
          </w:tcPr>
          <w:p w14:paraId="3A1C2E3D"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p>
        </w:tc>
        <w:tc>
          <w:tcPr>
            <w:tcW w:w="236" w:type="dxa"/>
            <w:tcBorders>
              <w:top w:val="nil"/>
              <w:left w:val="nil"/>
              <w:bottom w:val="nil"/>
              <w:right w:val="nil"/>
            </w:tcBorders>
          </w:tcPr>
          <w:p w14:paraId="6626A2D7"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p>
        </w:tc>
      </w:tr>
      <w:tr w:rsidR="00CB1D16" w:rsidRPr="00CB1D16" w14:paraId="16C20247" w14:textId="77777777" w:rsidTr="00906E1D">
        <w:tc>
          <w:tcPr>
            <w:tcW w:w="1843" w:type="dxa"/>
            <w:tcBorders>
              <w:top w:val="nil"/>
              <w:left w:val="nil"/>
              <w:bottom w:val="nil"/>
              <w:right w:val="nil"/>
            </w:tcBorders>
          </w:tcPr>
          <w:p w14:paraId="441F27E9"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Sign toGlobal Compact</w:t>
            </w:r>
          </w:p>
        </w:tc>
        <w:tc>
          <w:tcPr>
            <w:tcW w:w="709" w:type="dxa"/>
            <w:gridSpan w:val="2"/>
            <w:tcBorders>
              <w:top w:val="nil"/>
              <w:left w:val="nil"/>
              <w:bottom w:val="nil"/>
              <w:right w:val="nil"/>
            </w:tcBorders>
          </w:tcPr>
          <w:p w14:paraId="7A4B012A"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0.37*</w:t>
            </w:r>
          </w:p>
        </w:tc>
        <w:tc>
          <w:tcPr>
            <w:tcW w:w="709" w:type="dxa"/>
            <w:tcBorders>
              <w:top w:val="nil"/>
              <w:left w:val="nil"/>
              <w:bottom w:val="nil"/>
              <w:right w:val="nil"/>
            </w:tcBorders>
          </w:tcPr>
          <w:p w14:paraId="2A789B33"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0.60*</w:t>
            </w:r>
          </w:p>
        </w:tc>
        <w:tc>
          <w:tcPr>
            <w:tcW w:w="708" w:type="dxa"/>
            <w:tcBorders>
              <w:top w:val="nil"/>
              <w:left w:val="nil"/>
              <w:bottom w:val="nil"/>
              <w:right w:val="nil"/>
            </w:tcBorders>
          </w:tcPr>
          <w:p w14:paraId="6FE6BF94"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0.00</w:t>
            </w:r>
          </w:p>
        </w:tc>
        <w:tc>
          <w:tcPr>
            <w:tcW w:w="567" w:type="dxa"/>
            <w:tcBorders>
              <w:top w:val="nil"/>
              <w:left w:val="nil"/>
              <w:bottom w:val="nil"/>
              <w:right w:val="nil"/>
            </w:tcBorders>
          </w:tcPr>
          <w:p w14:paraId="0250789F"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0.30</w:t>
            </w:r>
          </w:p>
        </w:tc>
        <w:tc>
          <w:tcPr>
            <w:tcW w:w="851" w:type="dxa"/>
            <w:gridSpan w:val="2"/>
            <w:tcBorders>
              <w:top w:val="nil"/>
              <w:left w:val="nil"/>
              <w:bottom w:val="nil"/>
              <w:right w:val="nil"/>
            </w:tcBorders>
          </w:tcPr>
          <w:p w14:paraId="643015F2"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0.03</w:t>
            </w:r>
          </w:p>
        </w:tc>
        <w:tc>
          <w:tcPr>
            <w:tcW w:w="567" w:type="dxa"/>
            <w:gridSpan w:val="3"/>
            <w:tcBorders>
              <w:top w:val="nil"/>
              <w:left w:val="nil"/>
              <w:bottom w:val="nil"/>
              <w:right w:val="nil"/>
            </w:tcBorders>
          </w:tcPr>
          <w:p w14:paraId="23C6C8DF" w14:textId="77777777" w:rsidR="00CB1D16" w:rsidRPr="00CB1D16" w:rsidRDefault="00CB1D16" w:rsidP="00CB1D16">
            <w:pPr>
              <w:widowControl w:val="0"/>
              <w:autoSpaceDE w:val="0"/>
              <w:autoSpaceDN w:val="0"/>
              <w:adjustRightInd w:val="0"/>
              <w:spacing w:after="0" w:line="240" w:lineRule="auto"/>
              <w:ind w:left="-113"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0.02</w:t>
            </w:r>
          </w:p>
        </w:tc>
        <w:tc>
          <w:tcPr>
            <w:tcW w:w="850" w:type="dxa"/>
            <w:gridSpan w:val="2"/>
            <w:tcBorders>
              <w:top w:val="nil"/>
              <w:left w:val="nil"/>
              <w:bottom w:val="nil"/>
              <w:right w:val="nil"/>
            </w:tcBorders>
          </w:tcPr>
          <w:p w14:paraId="1C14E955"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0.24</w:t>
            </w:r>
          </w:p>
        </w:tc>
        <w:tc>
          <w:tcPr>
            <w:tcW w:w="709" w:type="dxa"/>
            <w:gridSpan w:val="2"/>
            <w:tcBorders>
              <w:top w:val="nil"/>
              <w:left w:val="nil"/>
              <w:bottom w:val="nil"/>
              <w:right w:val="nil"/>
            </w:tcBorders>
          </w:tcPr>
          <w:p w14:paraId="69481EF1" w14:textId="77777777" w:rsidR="00CB1D16" w:rsidRPr="00CB1D16" w:rsidRDefault="00CB1D16" w:rsidP="00CB1D16">
            <w:pPr>
              <w:widowControl w:val="0"/>
              <w:autoSpaceDE w:val="0"/>
              <w:autoSpaceDN w:val="0"/>
              <w:adjustRightInd w:val="0"/>
              <w:spacing w:after="0" w:line="240" w:lineRule="auto"/>
              <w:ind w:left="-57"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0.17</w:t>
            </w:r>
          </w:p>
        </w:tc>
        <w:tc>
          <w:tcPr>
            <w:tcW w:w="709" w:type="dxa"/>
            <w:tcBorders>
              <w:top w:val="nil"/>
              <w:left w:val="nil"/>
              <w:bottom w:val="nil"/>
              <w:right w:val="nil"/>
            </w:tcBorders>
          </w:tcPr>
          <w:p w14:paraId="0ED8052E" w14:textId="77777777" w:rsidR="00CB1D16" w:rsidRPr="00CB1D16" w:rsidRDefault="00CB1D16" w:rsidP="00CB1D16">
            <w:pPr>
              <w:widowControl w:val="0"/>
              <w:autoSpaceDE w:val="0"/>
              <w:autoSpaceDN w:val="0"/>
              <w:adjustRightInd w:val="0"/>
              <w:spacing w:after="0" w:line="240" w:lineRule="auto"/>
              <w:ind w:left="-113" w:right="2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0.11</w:t>
            </w:r>
          </w:p>
        </w:tc>
        <w:tc>
          <w:tcPr>
            <w:tcW w:w="1843" w:type="dxa"/>
            <w:tcBorders>
              <w:top w:val="nil"/>
              <w:left w:val="nil"/>
              <w:bottom w:val="nil"/>
              <w:right w:val="nil"/>
            </w:tcBorders>
          </w:tcPr>
          <w:p w14:paraId="104B7255"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0.47*    1.00</w:t>
            </w:r>
          </w:p>
        </w:tc>
        <w:tc>
          <w:tcPr>
            <w:tcW w:w="1507" w:type="dxa"/>
            <w:tcBorders>
              <w:top w:val="nil"/>
              <w:left w:val="nil"/>
              <w:bottom w:val="nil"/>
              <w:right w:val="nil"/>
            </w:tcBorders>
          </w:tcPr>
          <w:p w14:paraId="396DD855" w14:textId="77777777" w:rsidR="00CB1D16" w:rsidRPr="00CB1D16" w:rsidRDefault="00CB1D16" w:rsidP="00CB1D16">
            <w:pPr>
              <w:widowControl w:val="0"/>
              <w:autoSpaceDE w:val="0"/>
              <w:autoSpaceDN w:val="0"/>
              <w:adjustRightInd w:val="0"/>
              <w:spacing w:after="0" w:line="240" w:lineRule="auto"/>
              <w:ind w:left="-113" w:right="100" w:firstLine="0"/>
              <w:jc w:val="left"/>
              <w:rPr>
                <w:rFonts w:ascii="Times New Roman" w:eastAsia="Times New Roman" w:hAnsi="Times New Roman" w:cs="Times New Roman"/>
                <w:kern w:val="0"/>
                <w:sz w:val="18"/>
                <w:szCs w:val="18"/>
                <w:lang w:val="en-US" w:eastAsia="ja-JP"/>
              </w:rPr>
            </w:pPr>
          </w:p>
        </w:tc>
        <w:tc>
          <w:tcPr>
            <w:tcW w:w="236" w:type="dxa"/>
            <w:tcBorders>
              <w:top w:val="nil"/>
              <w:left w:val="nil"/>
              <w:bottom w:val="nil"/>
              <w:right w:val="nil"/>
            </w:tcBorders>
          </w:tcPr>
          <w:p w14:paraId="46110A39"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p>
        </w:tc>
      </w:tr>
      <w:tr w:rsidR="00CB1D16" w:rsidRPr="00CB1D16" w14:paraId="680FECC0" w14:textId="77777777" w:rsidTr="00906E1D">
        <w:tc>
          <w:tcPr>
            <w:tcW w:w="1843" w:type="dxa"/>
            <w:tcBorders>
              <w:top w:val="nil"/>
              <w:left w:val="nil"/>
              <w:bottom w:val="nil"/>
              <w:right w:val="nil"/>
            </w:tcBorders>
          </w:tcPr>
          <w:p w14:paraId="2BDE21E8"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Firm Size</w:t>
            </w:r>
          </w:p>
        </w:tc>
        <w:tc>
          <w:tcPr>
            <w:tcW w:w="709" w:type="dxa"/>
            <w:gridSpan w:val="2"/>
            <w:tcBorders>
              <w:top w:val="nil"/>
              <w:left w:val="nil"/>
              <w:bottom w:val="nil"/>
              <w:right w:val="nil"/>
            </w:tcBorders>
          </w:tcPr>
          <w:p w14:paraId="03C77908"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0.15</w:t>
            </w:r>
          </w:p>
        </w:tc>
        <w:tc>
          <w:tcPr>
            <w:tcW w:w="709" w:type="dxa"/>
            <w:tcBorders>
              <w:top w:val="nil"/>
              <w:left w:val="nil"/>
              <w:bottom w:val="nil"/>
              <w:right w:val="nil"/>
            </w:tcBorders>
          </w:tcPr>
          <w:p w14:paraId="167AE0C8"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0.10</w:t>
            </w:r>
          </w:p>
        </w:tc>
        <w:tc>
          <w:tcPr>
            <w:tcW w:w="708" w:type="dxa"/>
            <w:tcBorders>
              <w:top w:val="nil"/>
              <w:left w:val="nil"/>
              <w:bottom w:val="nil"/>
              <w:right w:val="nil"/>
            </w:tcBorders>
          </w:tcPr>
          <w:p w14:paraId="030E06F7"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0.33*</w:t>
            </w:r>
          </w:p>
        </w:tc>
        <w:tc>
          <w:tcPr>
            <w:tcW w:w="567" w:type="dxa"/>
            <w:tcBorders>
              <w:top w:val="nil"/>
              <w:left w:val="nil"/>
              <w:bottom w:val="nil"/>
              <w:right w:val="nil"/>
            </w:tcBorders>
          </w:tcPr>
          <w:p w14:paraId="4C2DEEF2"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0.12</w:t>
            </w:r>
          </w:p>
        </w:tc>
        <w:tc>
          <w:tcPr>
            <w:tcW w:w="851" w:type="dxa"/>
            <w:gridSpan w:val="2"/>
            <w:tcBorders>
              <w:top w:val="nil"/>
              <w:left w:val="nil"/>
              <w:bottom w:val="nil"/>
              <w:right w:val="nil"/>
            </w:tcBorders>
          </w:tcPr>
          <w:p w14:paraId="1934A31E"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0.34*</w:t>
            </w:r>
          </w:p>
        </w:tc>
        <w:tc>
          <w:tcPr>
            <w:tcW w:w="567" w:type="dxa"/>
            <w:gridSpan w:val="3"/>
            <w:tcBorders>
              <w:top w:val="nil"/>
              <w:left w:val="nil"/>
              <w:bottom w:val="nil"/>
              <w:right w:val="nil"/>
            </w:tcBorders>
          </w:tcPr>
          <w:p w14:paraId="13628148" w14:textId="77777777" w:rsidR="00CB1D16" w:rsidRPr="00CB1D16" w:rsidRDefault="00CB1D16" w:rsidP="00CB1D16">
            <w:pPr>
              <w:widowControl w:val="0"/>
              <w:autoSpaceDE w:val="0"/>
              <w:autoSpaceDN w:val="0"/>
              <w:adjustRightInd w:val="0"/>
              <w:spacing w:after="0" w:line="240" w:lineRule="auto"/>
              <w:ind w:left="-113"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0.42*</w:t>
            </w:r>
          </w:p>
        </w:tc>
        <w:tc>
          <w:tcPr>
            <w:tcW w:w="850" w:type="dxa"/>
            <w:gridSpan w:val="2"/>
            <w:tcBorders>
              <w:top w:val="nil"/>
              <w:left w:val="nil"/>
              <w:bottom w:val="nil"/>
              <w:right w:val="nil"/>
            </w:tcBorders>
          </w:tcPr>
          <w:p w14:paraId="4506504B"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0.09</w:t>
            </w:r>
          </w:p>
        </w:tc>
        <w:tc>
          <w:tcPr>
            <w:tcW w:w="709" w:type="dxa"/>
            <w:gridSpan w:val="2"/>
            <w:tcBorders>
              <w:top w:val="nil"/>
              <w:left w:val="nil"/>
              <w:bottom w:val="nil"/>
              <w:right w:val="nil"/>
            </w:tcBorders>
          </w:tcPr>
          <w:p w14:paraId="1E431C5F" w14:textId="77777777" w:rsidR="00CB1D16" w:rsidRPr="00CB1D16" w:rsidRDefault="00CB1D16" w:rsidP="00CB1D16">
            <w:pPr>
              <w:widowControl w:val="0"/>
              <w:autoSpaceDE w:val="0"/>
              <w:autoSpaceDN w:val="0"/>
              <w:adjustRightInd w:val="0"/>
              <w:spacing w:after="0" w:line="240" w:lineRule="auto"/>
              <w:ind w:left="-57"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0.21</w:t>
            </w:r>
          </w:p>
        </w:tc>
        <w:tc>
          <w:tcPr>
            <w:tcW w:w="709" w:type="dxa"/>
            <w:tcBorders>
              <w:top w:val="nil"/>
              <w:left w:val="nil"/>
              <w:bottom w:val="nil"/>
              <w:right w:val="nil"/>
            </w:tcBorders>
          </w:tcPr>
          <w:p w14:paraId="0FA43B29" w14:textId="77777777" w:rsidR="00CB1D16" w:rsidRPr="00CB1D16" w:rsidRDefault="00CB1D16" w:rsidP="00CB1D16">
            <w:pPr>
              <w:widowControl w:val="0"/>
              <w:autoSpaceDE w:val="0"/>
              <w:autoSpaceDN w:val="0"/>
              <w:adjustRightInd w:val="0"/>
              <w:spacing w:after="0" w:line="240" w:lineRule="auto"/>
              <w:ind w:left="-113"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0.86*</w:t>
            </w:r>
          </w:p>
        </w:tc>
        <w:tc>
          <w:tcPr>
            <w:tcW w:w="1843" w:type="dxa"/>
            <w:tcBorders>
              <w:top w:val="nil"/>
              <w:left w:val="nil"/>
              <w:bottom w:val="nil"/>
              <w:right w:val="nil"/>
            </w:tcBorders>
          </w:tcPr>
          <w:p w14:paraId="2A7E54C9" w14:textId="77777777" w:rsidR="00CB1D16" w:rsidRPr="00CB1D16" w:rsidRDefault="00CB1D16" w:rsidP="00CB1D16">
            <w:pPr>
              <w:widowControl w:val="0"/>
              <w:autoSpaceDE w:val="0"/>
              <w:autoSpaceDN w:val="0"/>
              <w:adjustRightInd w:val="0"/>
              <w:spacing w:after="0" w:line="240" w:lineRule="auto"/>
              <w:ind w:left="-113" w:right="100" w:firstLine="0"/>
              <w:jc w:val="left"/>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0.11      0.00       1.00</w:t>
            </w:r>
          </w:p>
        </w:tc>
        <w:tc>
          <w:tcPr>
            <w:tcW w:w="1507" w:type="dxa"/>
            <w:tcBorders>
              <w:top w:val="nil"/>
              <w:left w:val="nil"/>
              <w:bottom w:val="nil"/>
              <w:right w:val="nil"/>
            </w:tcBorders>
          </w:tcPr>
          <w:p w14:paraId="4B876209" w14:textId="77777777" w:rsidR="00CB1D16" w:rsidRPr="00CB1D16" w:rsidRDefault="00CB1D16" w:rsidP="00CB1D16">
            <w:pPr>
              <w:widowControl w:val="0"/>
              <w:autoSpaceDE w:val="0"/>
              <w:autoSpaceDN w:val="0"/>
              <w:adjustRightInd w:val="0"/>
              <w:spacing w:after="0" w:line="240" w:lineRule="auto"/>
              <w:ind w:right="100" w:firstLine="0"/>
              <w:jc w:val="left"/>
              <w:rPr>
                <w:rFonts w:ascii="Times New Roman" w:eastAsia="Times New Roman" w:hAnsi="Times New Roman" w:cs="Times New Roman"/>
                <w:kern w:val="0"/>
                <w:sz w:val="18"/>
                <w:szCs w:val="18"/>
                <w:lang w:val="en-US" w:eastAsia="ja-JP"/>
              </w:rPr>
            </w:pPr>
          </w:p>
        </w:tc>
        <w:tc>
          <w:tcPr>
            <w:tcW w:w="236" w:type="dxa"/>
            <w:tcBorders>
              <w:top w:val="nil"/>
              <w:left w:val="nil"/>
              <w:bottom w:val="nil"/>
              <w:right w:val="nil"/>
            </w:tcBorders>
          </w:tcPr>
          <w:p w14:paraId="23C8C3E5" w14:textId="77777777" w:rsidR="00CB1D16" w:rsidRPr="00CB1D16" w:rsidRDefault="00CB1D16" w:rsidP="00CB1D16">
            <w:pPr>
              <w:widowControl w:val="0"/>
              <w:autoSpaceDE w:val="0"/>
              <w:autoSpaceDN w:val="0"/>
              <w:adjustRightInd w:val="0"/>
              <w:spacing w:after="0" w:line="240" w:lineRule="auto"/>
              <w:ind w:right="200" w:firstLine="0"/>
              <w:jc w:val="left"/>
              <w:rPr>
                <w:rFonts w:ascii="Times New Roman" w:eastAsia="Times New Roman" w:hAnsi="Times New Roman" w:cs="Times New Roman"/>
                <w:kern w:val="0"/>
                <w:sz w:val="18"/>
                <w:szCs w:val="18"/>
                <w:lang w:val="en-US" w:eastAsia="ja-JP"/>
              </w:rPr>
            </w:pPr>
          </w:p>
        </w:tc>
      </w:tr>
      <w:tr w:rsidR="00CB1D16" w:rsidRPr="00CB1D16" w14:paraId="44028C2C" w14:textId="77777777" w:rsidTr="00906E1D">
        <w:trPr>
          <w:gridAfter w:val="2"/>
          <w:wAfter w:w="1743" w:type="dxa"/>
        </w:trPr>
        <w:tc>
          <w:tcPr>
            <w:tcW w:w="10065" w:type="dxa"/>
            <w:gridSpan w:val="17"/>
            <w:tcBorders>
              <w:top w:val="single" w:sz="6" w:space="0" w:color="auto"/>
              <w:left w:val="single" w:sz="4" w:space="0" w:color="auto"/>
              <w:bottom w:val="single" w:sz="4" w:space="0" w:color="auto"/>
              <w:right w:val="single" w:sz="4" w:space="0" w:color="auto"/>
            </w:tcBorders>
          </w:tcPr>
          <w:p w14:paraId="45FA634E" w14:textId="77777777" w:rsidR="00CB1D16" w:rsidRPr="00CB1D16" w:rsidRDefault="00CB1D16" w:rsidP="00CB1D16">
            <w:pPr>
              <w:widowControl w:val="0"/>
              <w:autoSpaceDE w:val="0"/>
              <w:autoSpaceDN w:val="0"/>
              <w:adjustRightInd w:val="0"/>
              <w:spacing w:after="0" w:line="240" w:lineRule="auto"/>
              <w:ind w:firstLine="0"/>
              <w:jc w:val="left"/>
              <w:rPr>
                <w:rFonts w:ascii="Times New Roman" w:eastAsia="Times New Roman" w:hAnsi="Times New Roman" w:cs="Times New Roman"/>
                <w:i/>
                <w:iCs/>
                <w:kern w:val="0"/>
                <w:sz w:val="18"/>
                <w:szCs w:val="18"/>
                <w:lang w:val="en-US" w:eastAsia="ja-JP"/>
              </w:rPr>
            </w:pPr>
          </w:p>
          <w:p w14:paraId="31C09435" w14:textId="77777777" w:rsidR="00CB1D16" w:rsidRPr="00CB1D16" w:rsidRDefault="00CB1D16" w:rsidP="00CB1D16">
            <w:pPr>
              <w:widowControl w:val="0"/>
              <w:autoSpaceDE w:val="0"/>
              <w:autoSpaceDN w:val="0"/>
              <w:adjustRightInd w:val="0"/>
              <w:spacing w:after="0" w:line="240" w:lineRule="auto"/>
              <w:ind w:firstLine="0"/>
              <w:rPr>
                <w:rFonts w:ascii="Times New Roman" w:eastAsia="Times New Roman" w:hAnsi="Times New Roman" w:cs="Times New Roman"/>
                <w:kern w:val="0"/>
                <w:sz w:val="18"/>
                <w:szCs w:val="18"/>
                <w:lang w:val="en-US" w:eastAsia="ja-JP"/>
              </w:rPr>
            </w:pPr>
            <w:r w:rsidRPr="00CB1D16">
              <w:rPr>
                <w:rFonts w:ascii="Times New Roman" w:eastAsia="Times New Roman" w:hAnsi="Times New Roman" w:cs="Times New Roman"/>
                <w:kern w:val="0"/>
                <w:sz w:val="18"/>
                <w:szCs w:val="18"/>
                <w:lang w:val="en-US" w:eastAsia="ja-JP"/>
              </w:rPr>
              <w:t xml:space="preserve">Table 8 represents pairwise correlation. ENVD is the environmental disclosure. Internal facing environmental disclosure, External facing environmental disclosure. WBD is the proportion of women directors to the board size. ENVBDC is the environment board subcommittee an indicator variable 1 if there is existing of such subcommittee, zero, otherwise. INED is the proportion of independent non-executive directors to the board size. BDSize is the total number of board of directors. WCEO is a dummy variable one if the CEO is woman, otherwise zero. ENV Accountability is the organization commitment environmental disclosure given 1 if there is annual statement, zero otherwise. ISO 14001, is an indicator variable 1 if the NGO has ISO1400 EMS, zero otherwise. Signatory to UN global impact, an indicator variable 1 if the NGO has signed the principles of UN global compact, zero otherwise. Donation size is measured as log of donation. Firm size is the log of asset.   </w:t>
            </w:r>
            <w:r w:rsidRPr="00CB1D16">
              <w:rPr>
                <w:rFonts w:ascii="Times New Roman" w:eastAsia="Times New Roman" w:hAnsi="Times New Roman" w:cs="Times New Roman"/>
                <w:i/>
                <w:iCs/>
                <w:kern w:val="0"/>
                <w:sz w:val="18"/>
                <w:szCs w:val="18"/>
                <w:lang w:val="en-US" w:eastAsia="ja-JP"/>
              </w:rPr>
              <w:t xml:space="preserve">*** p&lt;0.01, ** p&lt;0.05, * p&lt;0.1 </w:t>
            </w:r>
            <w:r w:rsidRPr="00CB1D16">
              <w:rPr>
                <w:rFonts w:ascii="Times New Roman" w:eastAsia="Calibri" w:hAnsi="Times New Roman" w:cs="Times New Roman"/>
                <w:sz w:val="20"/>
                <w:szCs w:val="20"/>
              </w:rPr>
              <w:t xml:space="preserve">indicate significance level.   </w:t>
            </w:r>
          </w:p>
        </w:tc>
      </w:tr>
    </w:tbl>
    <w:p w14:paraId="30C84270" w14:textId="77777777" w:rsidR="00CB1D16" w:rsidRDefault="00CB1D16" w:rsidP="00CB1D16">
      <w:pPr>
        <w:suppressAutoHyphens/>
        <w:autoSpaceDN w:val="0"/>
        <w:ind w:firstLine="0"/>
        <w:textAlignment w:val="baseline"/>
        <w:rPr>
          <w:rFonts w:ascii="Times New Roman" w:eastAsia="Calibri" w:hAnsi="Times New Roman" w:cs="Times New Roman"/>
          <w:b/>
          <w:bCs/>
          <w:sz w:val="24"/>
          <w:szCs w:val="24"/>
        </w:rPr>
      </w:pPr>
    </w:p>
    <w:p w14:paraId="28C2D020" w14:textId="77777777" w:rsidR="003D4DBA" w:rsidRDefault="003D4DBA" w:rsidP="00CB1D16">
      <w:pPr>
        <w:suppressAutoHyphens/>
        <w:autoSpaceDN w:val="0"/>
        <w:ind w:firstLine="0"/>
        <w:textAlignment w:val="baseline"/>
        <w:rPr>
          <w:rFonts w:ascii="Times New Roman" w:eastAsia="Calibri" w:hAnsi="Times New Roman" w:cs="Times New Roman"/>
          <w:b/>
          <w:bCs/>
          <w:sz w:val="24"/>
          <w:szCs w:val="24"/>
        </w:rPr>
      </w:pPr>
    </w:p>
    <w:p w14:paraId="5761ACA4" w14:textId="77777777" w:rsidR="00CD6EF3" w:rsidRDefault="00CD6EF3" w:rsidP="00CB1D16">
      <w:pPr>
        <w:suppressAutoHyphens/>
        <w:autoSpaceDN w:val="0"/>
        <w:ind w:firstLine="0"/>
        <w:textAlignment w:val="baseline"/>
        <w:rPr>
          <w:rFonts w:ascii="Times New Roman" w:eastAsia="Calibri" w:hAnsi="Times New Roman" w:cs="Times New Roman"/>
          <w:b/>
          <w:bCs/>
          <w:sz w:val="24"/>
          <w:szCs w:val="24"/>
        </w:rPr>
      </w:pPr>
    </w:p>
    <w:p w14:paraId="2664A440" w14:textId="77777777" w:rsidR="00CD6EF3" w:rsidRDefault="00CD6EF3" w:rsidP="00CB1D16">
      <w:pPr>
        <w:suppressAutoHyphens/>
        <w:autoSpaceDN w:val="0"/>
        <w:ind w:firstLine="0"/>
        <w:textAlignment w:val="baseline"/>
        <w:rPr>
          <w:rFonts w:ascii="Times New Roman" w:eastAsia="Calibri" w:hAnsi="Times New Roman" w:cs="Times New Roman"/>
          <w:b/>
          <w:bCs/>
          <w:sz w:val="24"/>
          <w:szCs w:val="24"/>
        </w:rPr>
      </w:pPr>
    </w:p>
    <w:p w14:paraId="42726A67" w14:textId="77777777" w:rsidR="00CD6EF3" w:rsidRDefault="00CD6EF3" w:rsidP="00CB1D16">
      <w:pPr>
        <w:suppressAutoHyphens/>
        <w:autoSpaceDN w:val="0"/>
        <w:ind w:firstLine="0"/>
        <w:textAlignment w:val="baseline"/>
        <w:rPr>
          <w:rFonts w:ascii="Times New Roman" w:eastAsia="Calibri" w:hAnsi="Times New Roman" w:cs="Times New Roman"/>
          <w:b/>
          <w:bCs/>
          <w:sz w:val="24"/>
          <w:szCs w:val="24"/>
        </w:rPr>
      </w:pPr>
    </w:p>
    <w:p w14:paraId="314A94FF" w14:textId="77777777" w:rsidR="00CD6EF3" w:rsidRDefault="00CD6EF3" w:rsidP="00CB1D16">
      <w:pPr>
        <w:suppressAutoHyphens/>
        <w:autoSpaceDN w:val="0"/>
        <w:ind w:firstLine="0"/>
        <w:textAlignment w:val="baseline"/>
        <w:rPr>
          <w:rFonts w:ascii="Times New Roman" w:eastAsia="Calibri" w:hAnsi="Times New Roman" w:cs="Times New Roman"/>
          <w:b/>
          <w:bCs/>
          <w:sz w:val="24"/>
          <w:szCs w:val="24"/>
        </w:rPr>
      </w:pPr>
    </w:p>
    <w:p w14:paraId="146B4483" w14:textId="77777777" w:rsidR="00CD6EF3" w:rsidRDefault="00CD6EF3" w:rsidP="00CB1D16">
      <w:pPr>
        <w:suppressAutoHyphens/>
        <w:autoSpaceDN w:val="0"/>
        <w:ind w:firstLine="0"/>
        <w:textAlignment w:val="baseline"/>
        <w:rPr>
          <w:rFonts w:ascii="Times New Roman" w:eastAsia="Calibri" w:hAnsi="Times New Roman" w:cs="Times New Roman"/>
          <w:b/>
          <w:bCs/>
          <w:sz w:val="24"/>
          <w:szCs w:val="24"/>
        </w:rPr>
      </w:pPr>
    </w:p>
    <w:p w14:paraId="46F6FF30" w14:textId="77777777" w:rsidR="00CD6EF3" w:rsidRDefault="00CD6EF3" w:rsidP="00CB1D16">
      <w:pPr>
        <w:suppressAutoHyphens/>
        <w:autoSpaceDN w:val="0"/>
        <w:ind w:firstLine="0"/>
        <w:textAlignment w:val="baseline"/>
        <w:rPr>
          <w:rFonts w:ascii="Times New Roman" w:eastAsia="Calibri" w:hAnsi="Times New Roman" w:cs="Times New Roman"/>
          <w:b/>
          <w:bCs/>
          <w:sz w:val="24"/>
          <w:szCs w:val="24"/>
        </w:rPr>
      </w:pPr>
    </w:p>
    <w:p w14:paraId="506FC88C" w14:textId="77777777" w:rsidR="00CD6EF3" w:rsidRDefault="00CD6EF3" w:rsidP="00CB1D16">
      <w:pPr>
        <w:suppressAutoHyphens/>
        <w:autoSpaceDN w:val="0"/>
        <w:ind w:firstLine="0"/>
        <w:textAlignment w:val="baseline"/>
        <w:rPr>
          <w:rFonts w:ascii="Times New Roman" w:eastAsia="Calibri" w:hAnsi="Times New Roman" w:cs="Times New Roman"/>
          <w:b/>
          <w:bCs/>
          <w:sz w:val="24"/>
          <w:szCs w:val="24"/>
        </w:rPr>
      </w:pPr>
    </w:p>
    <w:p w14:paraId="6E6DFC7E" w14:textId="77777777" w:rsidR="0031686E" w:rsidRDefault="0031686E" w:rsidP="00CB1D16">
      <w:pPr>
        <w:suppressAutoHyphens/>
        <w:autoSpaceDN w:val="0"/>
        <w:ind w:firstLine="0"/>
        <w:textAlignment w:val="baseline"/>
        <w:rPr>
          <w:rFonts w:ascii="Times New Roman" w:eastAsia="Calibri" w:hAnsi="Times New Roman" w:cs="Times New Roman"/>
          <w:b/>
          <w:bCs/>
          <w:sz w:val="24"/>
          <w:szCs w:val="24"/>
        </w:rPr>
      </w:pPr>
    </w:p>
    <w:p w14:paraId="17F396DA" w14:textId="77777777" w:rsidR="0031686E" w:rsidRDefault="0031686E" w:rsidP="00CB1D16">
      <w:pPr>
        <w:suppressAutoHyphens/>
        <w:autoSpaceDN w:val="0"/>
        <w:ind w:firstLine="0"/>
        <w:textAlignment w:val="baseline"/>
        <w:rPr>
          <w:rFonts w:ascii="Times New Roman" w:eastAsia="Calibri" w:hAnsi="Times New Roman" w:cs="Times New Roman"/>
          <w:b/>
          <w:bCs/>
          <w:sz w:val="24"/>
          <w:szCs w:val="24"/>
        </w:rPr>
      </w:pPr>
    </w:p>
    <w:p w14:paraId="53521B08" w14:textId="77777777" w:rsidR="00CD6EF3" w:rsidRDefault="00CD6EF3" w:rsidP="00CB1D16">
      <w:pPr>
        <w:suppressAutoHyphens/>
        <w:autoSpaceDN w:val="0"/>
        <w:ind w:firstLine="0"/>
        <w:textAlignment w:val="baseline"/>
        <w:rPr>
          <w:rFonts w:ascii="Times New Roman" w:eastAsia="Calibri" w:hAnsi="Times New Roman" w:cs="Times New Roman"/>
          <w:b/>
          <w:bCs/>
          <w:sz w:val="24"/>
          <w:szCs w:val="24"/>
        </w:rPr>
        <w:sectPr w:rsidR="00CD6EF3" w:rsidSect="00F116DC">
          <w:footerReference w:type="default" r:id="rId9"/>
          <w:pgSz w:w="11906" w:h="16838"/>
          <w:pgMar w:top="1440" w:right="1440" w:bottom="1440" w:left="1440" w:header="708" w:footer="708" w:gutter="0"/>
          <w:cols w:space="708"/>
          <w:titlePg/>
          <w:docGrid w:linePitch="360"/>
        </w:sectPr>
      </w:pPr>
    </w:p>
    <w:p w14:paraId="4023EB10" w14:textId="77777777" w:rsidR="00B021F6" w:rsidRDefault="00B021F6" w:rsidP="00081488">
      <w:pPr>
        <w:spacing w:after="0" w:line="240" w:lineRule="auto"/>
        <w:ind w:firstLine="0"/>
        <w:rPr>
          <w:rFonts w:ascii="Times New Roman" w:hAnsi="Times New Roman" w:cs="Times New Roman"/>
        </w:rPr>
      </w:pPr>
    </w:p>
    <w:tbl>
      <w:tblPr>
        <w:tblW w:w="15157" w:type="dxa"/>
        <w:tblInd w:w="-431" w:type="dxa"/>
        <w:tblLayout w:type="fixed"/>
        <w:tblLook w:val="04A0" w:firstRow="1" w:lastRow="0" w:firstColumn="1" w:lastColumn="0" w:noHBand="0" w:noVBand="1"/>
      </w:tblPr>
      <w:tblGrid>
        <w:gridCol w:w="993"/>
        <w:gridCol w:w="993"/>
        <w:gridCol w:w="702"/>
        <w:gridCol w:w="999"/>
        <w:gridCol w:w="1134"/>
        <w:gridCol w:w="1060"/>
        <w:gridCol w:w="1200"/>
        <w:gridCol w:w="1200"/>
        <w:gridCol w:w="1200"/>
        <w:gridCol w:w="1355"/>
        <w:gridCol w:w="1434"/>
        <w:gridCol w:w="1434"/>
        <w:gridCol w:w="1439"/>
        <w:gridCol w:w="14"/>
      </w:tblGrid>
      <w:tr w:rsidR="00081488" w:rsidRPr="000E14BA" w14:paraId="3852D6C9" w14:textId="77777777" w:rsidTr="00161EDB">
        <w:trPr>
          <w:trHeight w:val="240"/>
        </w:trPr>
        <w:tc>
          <w:tcPr>
            <w:tcW w:w="15157" w:type="dxa"/>
            <w:gridSpan w:val="14"/>
            <w:tcBorders>
              <w:top w:val="single" w:sz="4" w:space="0" w:color="auto"/>
              <w:left w:val="single" w:sz="4" w:space="0" w:color="auto"/>
              <w:bottom w:val="nil"/>
              <w:right w:val="single" w:sz="4" w:space="0" w:color="auto"/>
            </w:tcBorders>
          </w:tcPr>
          <w:p w14:paraId="65F30D51" w14:textId="77777777" w:rsidR="00081488" w:rsidRPr="000E14BA" w:rsidRDefault="00081488" w:rsidP="00A268CC">
            <w:pPr>
              <w:spacing w:after="0" w:line="240" w:lineRule="auto"/>
              <w:ind w:firstLine="0"/>
              <w:jc w:val="left"/>
              <w:rPr>
                <w:rFonts w:ascii="Times New Roman" w:eastAsia="Times New Roman" w:hAnsi="Times New Roman" w:cs="Times New Roman"/>
                <w:b/>
                <w:bCs/>
                <w:kern w:val="0"/>
                <w:sz w:val="16"/>
                <w:szCs w:val="16"/>
                <w:lang w:eastAsia="en-GB"/>
                <w14:ligatures w14:val="none"/>
              </w:rPr>
            </w:pPr>
            <w:r w:rsidRPr="000E14BA">
              <w:rPr>
                <w:rFonts w:ascii="Times New Roman" w:eastAsia="Times New Roman" w:hAnsi="Times New Roman" w:cs="Times New Roman"/>
                <w:b/>
                <w:bCs/>
                <w:kern w:val="0"/>
                <w:sz w:val="16"/>
                <w:szCs w:val="16"/>
                <w:lang w:eastAsia="en-GB"/>
                <w14:ligatures w14:val="none"/>
              </w:rPr>
              <w:t>Table 8: year-on-year analysis using automated text mining</w:t>
            </w:r>
          </w:p>
        </w:tc>
      </w:tr>
      <w:tr w:rsidR="00161EDB" w:rsidRPr="000E14BA" w14:paraId="27C174C5" w14:textId="77777777" w:rsidTr="00161EDB">
        <w:trPr>
          <w:gridAfter w:val="1"/>
          <w:wAfter w:w="14" w:type="dxa"/>
          <w:trHeight w:val="192"/>
        </w:trPr>
        <w:tc>
          <w:tcPr>
            <w:tcW w:w="993" w:type="dxa"/>
            <w:tcBorders>
              <w:top w:val="single" w:sz="4" w:space="0" w:color="auto"/>
              <w:left w:val="single" w:sz="4" w:space="0" w:color="auto"/>
              <w:bottom w:val="nil"/>
              <w:right w:val="single" w:sz="4" w:space="0" w:color="auto"/>
            </w:tcBorders>
            <w:hideMark/>
          </w:tcPr>
          <w:p w14:paraId="5D06A83F" w14:textId="1814CDB0" w:rsidR="00081488" w:rsidRPr="000E14BA" w:rsidRDefault="00081488" w:rsidP="00824FD7">
            <w:pPr>
              <w:spacing w:after="0" w:line="240" w:lineRule="auto"/>
              <w:ind w:firstLine="0"/>
              <w:rPr>
                <w:rFonts w:ascii="Times New Roman" w:eastAsia="Times New Roman" w:hAnsi="Times New Roman" w:cs="Times New Roman"/>
                <w:b/>
                <w:bCs/>
                <w:kern w:val="0"/>
                <w:sz w:val="16"/>
                <w:szCs w:val="16"/>
                <w:lang w:eastAsia="en-GB"/>
                <w14:ligatures w14:val="none"/>
              </w:rPr>
            </w:pPr>
            <w:r w:rsidRPr="000E14BA">
              <w:rPr>
                <w:rFonts w:ascii="Times New Roman" w:eastAsia="Times New Roman" w:hAnsi="Times New Roman" w:cs="Times New Roman"/>
                <w:b/>
                <w:bCs/>
                <w:kern w:val="0"/>
                <w:sz w:val="16"/>
                <w:szCs w:val="16"/>
                <w:lang w:eastAsia="en-GB"/>
                <w14:ligatures w14:val="none"/>
              </w:rPr>
              <w:t>Catego</w:t>
            </w:r>
            <w:r w:rsidR="00824FD7" w:rsidRPr="000E14BA">
              <w:rPr>
                <w:rFonts w:ascii="Times New Roman" w:eastAsia="Times New Roman" w:hAnsi="Times New Roman" w:cs="Times New Roman"/>
                <w:b/>
                <w:bCs/>
                <w:kern w:val="0"/>
                <w:sz w:val="16"/>
                <w:szCs w:val="16"/>
                <w:lang w:eastAsia="en-GB"/>
                <w14:ligatures w14:val="none"/>
              </w:rPr>
              <w:t>ry</w:t>
            </w:r>
          </w:p>
        </w:tc>
        <w:tc>
          <w:tcPr>
            <w:tcW w:w="993" w:type="dxa"/>
            <w:tcBorders>
              <w:top w:val="single" w:sz="4" w:space="0" w:color="auto"/>
              <w:left w:val="nil"/>
              <w:bottom w:val="nil"/>
              <w:right w:val="single" w:sz="4" w:space="0" w:color="auto"/>
            </w:tcBorders>
            <w:hideMark/>
          </w:tcPr>
          <w:p w14:paraId="637160CF" w14:textId="77777777" w:rsidR="00081488" w:rsidRPr="000E14BA" w:rsidRDefault="00081488" w:rsidP="00824FD7">
            <w:pPr>
              <w:spacing w:after="0" w:line="240" w:lineRule="auto"/>
              <w:ind w:firstLine="0"/>
              <w:rPr>
                <w:rFonts w:ascii="Times New Roman" w:eastAsia="Times New Roman" w:hAnsi="Times New Roman" w:cs="Times New Roman"/>
                <w:b/>
                <w:bCs/>
                <w:kern w:val="0"/>
                <w:sz w:val="16"/>
                <w:szCs w:val="16"/>
                <w:lang w:eastAsia="en-GB"/>
                <w14:ligatures w14:val="none"/>
              </w:rPr>
            </w:pPr>
            <w:r w:rsidRPr="000E14BA">
              <w:rPr>
                <w:rFonts w:ascii="Times New Roman" w:eastAsia="Times New Roman" w:hAnsi="Times New Roman" w:cs="Times New Roman"/>
                <w:b/>
                <w:bCs/>
                <w:kern w:val="0"/>
                <w:sz w:val="16"/>
                <w:szCs w:val="16"/>
                <w:lang w:eastAsia="en-GB"/>
                <w14:ligatures w14:val="none"/>
              </w:rPr>
              <w:t>Theme</w:t>
            </w:r>
          </w:p>
        </w:tc>
        <w:tc>
          <w:tcPr>
            <w:tcW w:w="702" w:type="dxa"/>
            <w:tcBorders>
              <w:top w:val="single" w:sz="4" w:space="0" w:color="auto"/>
              <w:left w:val="nil"/>
              <w:bottom w:val="nil"/>
              <w:right w:val="single" w:sz="4" w:space="0" w:color="auto"/>
            </w:tcBorders>
            <w:hideMark/>
          </w:tcPr>
          <w:p w14:paraId="0F9BE2EF" w14:textId="77777777" w:rsidR="00081488" w:rsidRPr="000E14BA" w:rsidRDefault="00081488" w:rsidP="00824FD7">
            <w:pPr>
              <w:spacing w:after="0" w:line="240" w:lineRule="auto"/>
              <w:ind w:firstLine="0"/>
              <w:rPr>
                <w:rFonts w:ascii="Times New Roman" w:eastAsia="Times New Roman" w:hAnsi="Times New Roman" w:cs="Times New Roman"/>
                <w:b/>
                <w:bCs/>
                <w:kern w:val="0"/>
                <w:sz w:val="16"/>
                <w:szCs w:val="16"/>
                <w:lang w:eastAsia="en-GB"/>
                <w14:ligatures w14:val="none"/>
              </w:rPr>
            </w:pPr>
            <w:r w:rsidRPr="000E14BA">
              <w:rPr>
                <w:rFonts w:ascii="Times New Roman" w:eastAsia="Times New Roman" w:hAnsi="Times New Roman" w:cs="Times New Roman"/>
                <w:b/>
                <w:bCs/>
                <w:kern w:val="0"/>
                <w:sz w:val="16"/>
                <w:szCs w:val="16"/>
                <w:lang w:eastAsia="en-GB"/>
                <w14:ligatures w14:val="none"/>
              </w:rPr>
              <w:t>2013</w:t>
            </w:r>
          </w:p>
        </w:tc>
        <w:tc>
          <w:tcPr>
            <w:tcW w:w="999" w:type="dxa"/>
            <w:tcBorders>
              <w:top w:val="single" w:sz="4" w:space="0" w:color="auto"/>
              <w:left w:val="nil"/>
              <w:bottom w:val="nil"/>
              <w:right w:val="single" w:sz="4" w:space="0" w:color="auto"/>
            </w:tcBorders>
            <w:hideMark/>
          </w:tcPr>
          <w:p w14:paraId="6A5D965B" w14:textId="77777777" w:rsidR="00081488" w:rsidRPr="000E14BA" w:rsidRDefault="00081488" w:rsidP="00824FD7">
            <w:pPr>
              <w:spacing w:after="0" w:line="240" w:lineRule="auto"/>
              <w:ind w:firstLine="0"/>
              <w:rPr>
                <w:rFonts w:ascii="Times New Roman" w:eastAsia="Times New Roman" w:hAnsi="Times New Roman" w:cs="Times New Roman"/>
                <w:b/>
                <w:bCs/>
                <w:kern w:val="0"/>
                <w:sz w:val="16"/>
                <w:szCs w:val="16"/>
                <w:lang w:eastAsia="en-GB"/>
                <w14:ligatures w14:val="none"/>
              </w:rPr>
            </w:pPr>
            <w:r w:rsidRPr="000E14BA">
              <w:rPr>
                <w:rFonts w:ascii="Times New Roman" w:eastAsia="Times New Roman" w:hAnsi="Times New Roman" w:cs="Times New Roman"/>
                <w:b/>
                <w:bCs/>
                <w:kern w:val="0"/>
                <w:sz w:val="16"/>
                <w:szCs w:val="16"/>
                <w:lang w:eastAsia="en-GB"/>
                <w14:ligatures w14:val="none"/>
              </w:rPr>
              <w:t>2014</w:t>
            </w:r>
          </w:p>
        </w:tc>
        <w:tc>
          <w:tcPr>
            <w:tcW w:w="1134" w:type="dxa"/>
            <w:tcBorders>
              <w:top w:val="single" w:sz="4" w:space="0" w:color="auto"/>
              <w:left w:val="nil"/>
              <w:bottom w:val="nil"/>
              <w:right w:val="single" w:sz="4" w:space="0" w:color="auto"/>
            </w:tcBorders>
            <w:hideMark/>
          </w:tcPr>
          <w:p w14:paraId="235E0F5B" w14:textId="77777777" w:rsidR="00081488" w:rsidRPr="000E14BA" w:rsidRDefault="00081488" w:rsidP="00824FD7">
            <w:pPr>
              <w:spacing w:after="0" w:line="240" w:lineRule="auto"/>
              <w:ind w:firstLine="0"/>
              <w:rPr>
                <w:rFonts w:ascii="Times New Roman" w:eastAsia="Times New Roman" w:hAnsi="Times New Roman" w:cs="Times New Roman"/>
                <w:b/>
                <w:bCs/>
                <w:kern w:val="0"/>
                <w:sz w:val="16"/>
                <w:szCs w:val="16"/>
                <w:lang w:eastAsia="en-GB"/>
                <w14:ligatures w14:val="none"/>
              </w:rPr>
            </w:pPr>
            <w:r w:rsidRPr="000E14BA">
              <w:rPr>
                <w:rFonts w:ascii="Times New Roman" w:eastAsia="Times New Roman" w:hAnsi="Times New Roman" w:cs="Times New Roman"/>
                <w:b/>
                <w:bCs/>
                <w:kern w:val="0"/>
                <w:sz w:val="16"/>
                <w:szCs w:val="16"/>
                <w:lang w:eastAsia="en-GB"/>
                <w14:ligatures w14:val="none"/>
              </w:rPr>
              <w:t>2015</w:t>
            </w:r>
          </w:p>
        </w:tc>
        <w:tc>
          <w:tcPr>
            <w:tcW w:w="1060" w:type="dxa"/>
            <w:tcBorders>
              <w:top w:val="single" w:sz="4" w:space="0" w:color="auto"/>
              <w:left w:val="nil"/>
              <w:bottom w:val="nil"/>
              <w:right w:val="single" w:sz="4" w:space="0" w:color="auto"/>
            </w:tcBorders>
            <w:hideMark/>
          </w:tcPr>
          <w:p w14:paraId="6A7FD7EB" w14:textId="77777777" w:rsidR="00081488" w:rsidRPr="000E14BA" w:rsidRDefault="00081488" w:rsidP="00824FD7">
            <w:pPr>
              <w:spacing w:after="0" w:line="240" w:lineRule="auto"/>
              <w:ind w:firstLine="0"/>
              <w:rPr>
                <w:rFonts w:ascii="Times New Roman" w:eastAsia="Times New Roman" w:hAnsi="Times New Roman" w:cs="Times New Roman"/>
                <w:b/>
                <w:bCs/>
                <w:kern w:val="0"/>
                <w:sz w:val="16"/>
                <w:szCs w:val="16"/>
                <w:lang w:eastAsia="en-GB"/>
                <w14:ligatures w14:val="none"/>
              </w:rPr>
            </w:pPr>
            <w:r w:rsidRPr="000E14BA">
              <w:rPr>
                <w:rFonts w:ascii="Times New Roman" w:eastAsia="Times New Roman" w:hAnsi="Times New Roman" w:cs="Times New Roman"/>
                <w:b/>
                <w:bCs/>
                <w:kern w:val="0"/>
                <w:sz w:val="16"/>
                <w:szCs w:val="16"/>
                <w:lang w:eastAsia="en-GB"/>
                <w14:ligatures w14:val="none"/>
              </w:rPr>
              <w:t>2016</w:t>
            </w:r>
          </w:p>
        </w:tc>
        <w:tc>
          <w:tcPr>
            <w:tcW w:w="1200" w:type="dxa"/>
            <w:tcBorders>
              <w:top w:val="single" w:sz="4" w:space="0" w:color="auto"/>
              <w:left w:val="nil"/>
              <w:bottom w:val="nil"/>
              <w:right w:val="single" w:sz="4" w:space="0" w:color="auto"/>
            </w:tcBorders>
            <w:hideMark/>
          </w:tcPr>
          <w:p w14:paraId="458B459C" w14:textId="77777777" w:rsidR="00081488" w:rsidRPr="000E14BA" w:rsidRDefault="00081488" w:rsidP="00824FD7">
            <w:pPr>
              <w:spacing w:after="0" w:line="240" w:lineRule="auto"/>
              <w:ind w:firstLine="0"/>
              <w:rPr>
                <w:rFonts w:ascii="Times New Roman" w:eastAsia="Times New Roman" w:hAnsi="Times New Roman" w:cs="Times New Roman"/>
                <w:b/>
                <w:bCs/>
                <w:kern w:val="0"/>
                <w:sz w:val="16"/>
                <w:szCs w:val="16"/>
                <w:lang w:eastAsia="en-GB"/>
                <w14:ligatures w14:val="none"/>
              </w:rPr>
            </w:pPr>
            <w:r w:rsidRPr="000E14BA">
              <w:rPr>
                <w:rFonts w:ascii="Times New Roman" w:eastAsia="Times New Roman" w:hAnsi="Times New Roman" w:cs="Times New Roman"/>
                <w:b/>
                <w:bCs/>
                <w:kern w:val="0"/>
                <w:sz w:val="16"/>
                <w:szCs w:val="16"/>
                <w:lang w:eastAsia="en-GB"/>
                <w14:ligatures w14:val="none"/>
              </w:rPr>
              <w:t>2017</w:t>
            </w:r>
          </w:p>
        </w:tc>
        <w:tc>
          <w:tcPr>
            <w:tcW w:w="1200" w:type="dxa"/>
            <w:tcBorders>
              <w:top w:val="single" w:sz="4" w:space="0" w:color="auto"/>
              <w:left w:val="nil"/>
              <w:bottom w:val="nil"/>
              <w:right w:val="single" w:sz="4" w:space="0" w:color="auto"/>
            </w:tcBorders>
            <w:hideMark/>
          </w:tcPr>
          <w:p w14:paraId="0AFA5973" w14:textId="77777777" w:rsidR="00081488" w:rsidRPr="000E14BA" w:rsidRDefault="00081488" w:rsidP="00824FD7">
            <w:pPr>
              <w:spacing w:after="0" w:line="240" w:lineRule="auto"/>
              <w:ind w:firstLine="0"/>
              <w:rPr>
                <w:rFonts w:ascii="Times New Roman" w:eastAsia="Times New Roman" w:hAnsi="Times New Roman" w:cs="Times New Roman"/>
                <w:b/>
                <w:bCs/>
                <w:kern w:val="0"/>
                <w:sz w:val="16"/>
                <w:szCs w:val="16"/>
                <w:lang w:eastAsia="en-GB"/>
                <w14:ligatures w14:val="none"/>
              </w:rPr>
            </w:pPr>
            <w:r w:rsidRPr="000E14BA">
              <w:rPr>
                <w:rFonts w:ascii="Times New Roman" w:eastAsia="Times New Roman" w:hAnsi="Times New Roman" w:cs="Times New Roman"/>
                <w:b/>
                <w:bCs/>
                <w:kern w:val="0"/>
                <w:sz w:val="16"/>
                <w:szCs w:val="16"/>
                <w:lang w:eastAsia="en-GB"/>
                <w14:ligatures w14:val="none"/>
              </w:rPr>
              <w:t>2018</w:t>
            </w:r>
          </w:p>
        </w:tc>
        <w:tc>
          <w:tcPr>
            <w:tcW w:w="1200" w:type="dxa"/>
            <w:tcBorders>
              <w:top w:val="single" w:sz="4" w:space="0" w:color="auto"/>
              <w:left w:val="nil"/>
              <w:bottom w:val="nil"/>
              <w:right w:val="single" w:sz="4" w:space="0" w:color="auto"/>
            </w:tcBorders>
            <w:hideMark/>
          </w:tcPr>
          <w:p w14:paraId="41465A35" w14:textId="77777777" w:rsidR="00081488" w:rsidRPr="000E14BA" w:rsidRDefault="00081488" w:rsidP="00824FD7">
            <w:pPr>
              <w:spacing w:after="0" w:line="240" w:lineRule="auto"/>
              <w:ind w:firstLine="0"/>
              <w:rPr>
                <w:rFonts w:ascii="Times New Roman" w:eastAsia="Times New Roman" w:hAnsi="Times New Roman" w:cs="Times New Roman"/>
                <w:b/>
                <w:bCs/>
                <w:kern w:val="0"/>
                <w:sz w:val="16"/>
                <w:szCs w:val="16"/>
                <w:lang w:eastAsia="en-GB"/>
                <w14:ligatures w14:val="none"/>
              </w:rPr>
            </w:pPr>
            <w:r w:rsidRPr="000E14BA">
              <w:rPr>
                <w:rFonts w:ascii="Times New Roman" w:eastAsia="Times New Roman" w:hAnsi="Times New Roman" w:cs="Times New Roman"/>
                <w:b/>
                <w:bCs/>
                <w:kern w:val="0"/>
                <w:sz w:val="16"/>
                <w:szCs w:val="16"/>
                <w:lang w:eastAsia="en-GB"/>
                <w14:ligatures w14:val="none"/>
              </w:rPr>
              <w:t>2019</w:t>
            </w:r>
          </w:p>
        </w:tc>
        <w:tc>
          <w:tcPr>
            <w:tcW w:w="1355" w:type="dxa"/>
            <w:tcBorders>
              <w:top w:val="single" w:sz="4" w:space="0" w:color="auto"/>
              <w:left w:val="nil"/>
              <w:bottom w:val="nil"/>
              <w:right w:val="single" w:sz="4" w:space="0" w:color="auto"/>
            </w:tcBorders>
            <w:hideMark/>
          </w:tcPr>
          <w:p w14:paraId="42FF7D65" w14:textId="77777777" w:rsidR="00081488" w:rsidRPr="000E14BA" w:rsidRDefault="00081488" w:rsidP="00824FD7">
            <w:pPr>
              <w:spacing w:after="0" w:line="240" w:lineRule="auto"/>
              <w:ind w:firstLine="0"/>
              <w:rPr>
                <w:rFonts w:ascii="Times New Roman" w:eastAsia="Times New Roman" w:hAnsi="Times New Roman" w:cs="Times New Roman"/>
                <w:b/>
                <w:bCs/>
                <w:kern w:val="0"/>
                <w:sz w:val="16"/>
                <w:szCs w:val="16"/>
                <w:lang w:eastAsia="en-GB"/>
                <w14:ligatures w14:val="none"/>
              </w:rPr>
            </w:pPr>
            <w:r w:rsidRPr="000E14BA">
              <w:rPr>
                <w:rFonts w:ascii="Times New Roman" w:eastAsia="Times New Roman" w:hAnsi="Times New Roman" w:cs="Times New Roman"/>
                <w:b/>
                <w:bCs/>
                <w:kern w:val="0"/>
                <w:sz w:val="16"/>
                <w:szCs w:val="16"/>
                <w:lang w:eastAsia="en-GB"/>
                <w14:ligatures w14:val="none"/>
              </w:rPr>
              <w:t>2020</w:t>
            </w:r>
          </w:p>
        </w:tc>
        <w:tc>
          <w:tcPr>
            <w:tcW w:w="1434" w:type="dxa"/>
            <w:tcBorders>
              <w:top w:val="single" w:sz="4" w:space="0" w:color="auto"/>
              <w:left w:val="nil"/>
              <w:bottom w:val="nil"/>
              <w:right w:val="single" w:sz="4" w:space="0" w:color="auto"/>
            </w:tcBorders>
            <w:hideMark/>
          </w:tcPr>
          <w:p w14:paraId="5E7A52DF" w14:textId="77777777" w:rsidR="00081488" w:rsidRPr="000E14BA" w:rsidRDefault="00081488" w:rsidP="00824FD7">
            <w:pPr>
              <w:spacing w:after="0" w:line="240" w:lineRule="auto"/>
              <w:ind w:firstLine="0"/>
              <w:rPr>
                <w:rFonts w:ascii="Times New Roman" w:eastAsia="Times New Roman" w:hAnsi="Times New Roman" w:cs="Times New Roman"/>
                <w:b/>
                <w:bCs/>
                <w:kern w:val="0"/>
                <w:sz w:val="16"/>
                <w:szCs w:val="16"/>
                <w:lang w:eastAsia="en-GB"/>
                <w14:ligatures w14:val="none"/>
              </w:rPr>
            </w:pPr>
            <w:r w:rsidRPr="000E14BA">
              <w:rPr>
                <w:rFonts w:ascii="Times New Roman" w:eastAsia="Times New Roman" w:hAnsi="Times New Roman" w:cs="Times New Roman"/>
                <w:b/>
                <w:bCs/>
                <w:kern w:val="0"/>
                <w:sz w:val="16"/>
                <w:szCs w:val="16"/>
                <w:lang w:eastAsia="en-GB"/>
                <w14:ligatures w14:val="none"/>
              </w:rPr>
              <w:t>2021</w:t>
            </w:r>
          </w:p>
        </w:tc>
        <w:tc>
          <w:tcPr>
            <w:tcW w:w="1434" w:type="dxa"/>
            <w:tcBorders>
              <w:top w:val="single" w:sz="4" w:space="0" w:color="auto"/>
              <w:left w:val="nil"/>
              <w:bottom w:val="nil"/>
              <w:right w:val="single" w:sz="4" w:space="0" w:color="auto"/>
            </w:tcBorders>
            <w:hideMark/>
          </w:tcPr>
          <w:p w14:paraId="15CA2448" w14:textId="77777777" w:rsidR="00081488" w:rsidRPr="000E14BA" w:rsidRDefault="00081488" w:rsidP="00824FD7">
            <w:pPr>
              <w:spacing w:after="0" w:line="240" w:lineRule="auto"/>
              <w:ind w:firstLine="0"/>
              <w:rPr>
                <w:rFonts w:ascii="Times New Roman" w:eastAsia="Times New Roman" w:hAnsi="Times New Roman" w:cs="Times New Roman"/>
                <w:b/>
                <w:bCs/>
                <w:kern w:val="0"/>
                <w:sz w:val="16"/>
                <w:szCs w:val="16"/>
                <w:lang w:eastAsia="en-GB"/>
                <w14:ligatures w14:val="none"/>
              </w:rPr>
            </w:pPr>
            <w:r w:rsidRPr="000E14BA">
              <w:rPr>
                <w:rFonts w:ascii="Times New Roman" w:eastAsia="Times New Roman" w:hAnsi="Times New Roman" w:cs="Times New Roman"/>
                <w:b/>
                <w:bCs/>
                <w:kern w:val="0"/>
                <w:sz w:val="16"/>
                <w:szCs w:val="16"/>
                <w:lang w:eastAsia="en-GB"/>
                <w14:ligatures w14:val="none"/>
              </w:rPr>
              <w:t>2022</w:t>
            </w:r>
          </w:p>
        </w:tc>
        <w:tc>
          <w:tcPr>
            <w:tcW w:w="1439" w:type="dxa"/>
            <w:tcBorders>
              <w:top w:val="single" w:sz="4" w:space="0" w:color="auto"/>
              <w:left w:val="nil"/>
              <w:bottom w:val="nil"/>
              <w:right w:val="single" w:sz="4" w:space="0" w:color="auto"/>
            </w:tcBorders>
            <w:hideMark/>
          </w:tcPr>
          <w:p w14:paraId="06DEADE2" w14:textId="77777777" w:rsidR="00081488" w:rsidRPr="000E14BA" w:rsidRDefault="00081488" w:rsidP="00824FD7">
            <w:pPr>
              <w:spacing w:after="0" w:line="240" w:lineRule="auto"/>
              <w:ind w:firstLine="0"/>
              <w:rPr>
                <w:rFonts w:ascii="Times New Roman" w:eastAsia="Times New Roman" w:hAnsi="Times New Roman" w:cs="Times New Roman"/>
                <w:b/>
                <w:bCs/>
                <w:kern w:val="0"/>
                <w:sz w:val="16"/>
                <w:szCs w:val="16"/>
                <w:lang w:eastAsia="en-GB"/>
                <w14:ligatures w14:val="none"/>
              </w:rPr>
            </w:pPr>
            <w:r w:rsidRPr="000E14BA">
              <w:rPr>
                <w:rFonts w:ascii="Times New Roman" w:eastAsia="Times New Roman" w:hAnsi="Times New Roman" w:cs="Times New Roman"/>
                <w:b/>
                <w:bCs/>
                <w:kern w:val="0"/>
                <w:sz w:val="16"/>
                <w:szCs w:val="16"/>
                <w:lang w:eastAsia="en-GB"/>
                <w14:ligatures w14:val="none"/>
              </w:rPr>
              <w:t>2023</w:t>
            </w:r>
          </w:p>
        </w:tc>
      </w:tr>
      <w:tr w:rsidR="00161EDB" w:rsidRPr="000E14BA" w14:paraId="17E2E726" w14:textId="77777777" w:rsidTr="00161EDB">
        <w:trPr>
          <w:gridAfter w:val="1"/>
          <w:wAfter w:w="14" w:type="dxa"/>
          <w:trHeight w:val="206"/>
        </w:trPr>
        <w:tc>
          <w:tcPr>
            <w:tcW w:w="993" w:type="dxa"/>
            <w:tcBorders>
              <w:top w:val="single" w:sz="4" w:space="0" w:color="auto"/>
              <w:left w:val="single" w:sz="4" w:space="0" w:color="auto"/>
              <w:bottom w:val="nil"/>
              <w:right w:val="nil"/>
            </w:tcBorders>
            <w:noWrap/>
            <w:vAlign w:val="bottom"/>
            <w:hideMark/>
          </w:tcPr>
          <w:p w14:paraId="43A96FD9" w14:textId="32287436"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TOT</w:t>
            </w:r>
            <w:r w:rsidR="008F3E21">
              <w:rPr>
                <w:rFonts w:ascii="Times New Roman" w:eastAsia="Times New Roman" w:hAnsi="Times New Roman" w:cs="Times New Roman"/>
                <w:color w:val="000000"/>
                <w:kern w:val="0"/>
                <w:sz w:val="16"/>
                <w:szCs w:val="16"/>
                <w:lang w:eastAsia="en-GB"/>
                <w14:ligatures w14:val="none"/>
              </w:rPr>
              <w:t>AL</w:t>
            </w:r>
          </w:p>
        </w:tc>
        <w:tc>
          <w:tcPr>
            <w:tcW w:w="993" w:type="dxa"/>
            <w:tcBorders>
              <w:top w:val="single" w:sz="4" w:space="0" w:color="auto"/>
              <w:left w:val="single" w:sz="4" w:space="0" w:color="auto"/>
              <w:bottom w:val="nil"/>
              <w:right w:val="single" w:sz="4" w:space="0" w:color="auto"/>
            </w:tcBorders>
            <w:noWrap/>
            <w:vAlign w:val="bottom"/>
            <w:hideMark/>
          </w:tcPr>
          <w:p w14:paraId="5634C035"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CC</w:t>
            </w:r>
          </w:p>
        </w:tc>
        <w:tc>
          <w:tcPr>
            <w:tcW w:w="702" w:type="dxa"/>
            <w:tcBorders>
              <w:top w:val="single" w:sz="4" w:space="0" w:color="auto"/>
              <w:left w:val="single" w:sz="4" w:space="0" w:color="auto"/>
              <w:bottom w:val="nil"/>
              <w:right w:val="nil"/>
            </w:tcBorders>
            <w:noWrap/>
            <w:vAlign w:val="bottom"/>
            <w:hideMark/>
          </w:tcPr>
          <w:p w14:paraId="40BE8C11"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71</w:t>
            </w:r>
          </w:p>
        </w:tc>
        <w:tc>
          <w:tcPr>
            <w:tcW w:w="999" w:type="dxa"/>
            <w:tcBorders>
              <w:top w:val="single" w:sz="4" w:space="0" w:color="auto"/>
              <w:left w:val="single" w:sz="4" w:space="0" w:color="auto"/>
              <w:bottom w:val="nil"/>
              <w:right w:val="single" w:sz="4" w:space="0" w:color="auto"/>
            </w:tcBorders>
            <w:noWrap/>
            <w:vAlign w:val="bottom"/>
            <w:hideMark/>
          </w:tcPr>
          <w:p w14:paraId="691047B5"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70</w:t>
            </w:r>
          </w:p>
        </w:tc>
        <w:tc>
          <w:tcPr>
            <w:tcW w:w="1134" w:type="dxa"/>
            <w:tcBorders>
              <w:top w:val="single" w:sz="4" w:space="0" w:color="auto"/>
              <w:left w:val="nil"/>
              <w:bottom w:val="nil"/>
              <w:right w:val="nil"/>
            </w:tcBorders>
            <w:noWrap/>
            <w:vAlign w:val="bottom"/>
            <w:hideMark/>
          </w:tcPr>
          <w:p w14:paraId="309BDB4C"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83</w:t>
            </w:r>
          </w:p>
        </w:tc>
        <w:tc>
          <w:tcPr>
            <w:tcW w:w="1060" w:type="dxa"/>
            <w:tcBorders>
              <w:top w:val="single" w:sz="4" w:space="0" w:color="auto"/>
              <w:left w:val="single" w:sz="4" w:space="0" w:color="auto"/>
              <w:bottom w:val="nil"/>
              <w:right w:val="single" w:sz="4" w:space="0" w:color="auto"/>
            </w:tcBorders>
            <w:noWrap/>
            <w:vAlign w:val="bottom"/>
            <w:hideMark/>
          </w:tcPr>
          <w:p w14:paraId="6638C5B4"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117</w:t>
            </w:r>
          </w:p>
        </w:tc>
        <w:tc>
          <w:tcPr>
            <w:tcW w:w="1200" w:type="dxa"/>
            <w:tcBorders>
              <w:top w:val="single" w:sz="4" w:space="0" w:color="auto"/>
              <w:left w:val="nil"/>
              <w:bottom w:val="nil"/>
              <w:right w:val="nil"/>
            </w:tcBorders>
            <w:noWrap/>
            <w:vAlign w:val="bottom"/>
            <w:hideMark/>
          </w:tcPr>
          <w:p w14:paraId="2B057517"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101</w:t>
            </w:r>
          </w:p>
        </w:tc>
        <w:tc>
          <w:tcPr>
            <w:tcW w:w="1200" w:type="dxa"/>
            <w:tcBorders>
              <w:top w:val="single" w:sz="4" w:space="0" w:color="auto"/>
              <w:left w:val="single" w:sz="4" w:space="0" w:color="auto"/>
              <w:bottom w:val="nil"/>
              <w:right w:val="single" w:sz="4" w:space="0" w:color="auto"/>
            </w:tcBorders>
            <w:noWrap/>
            <w:vAlign w:val="bottom"/>
            <w:hideMark/>
          </w:tcPr>
          <w:p w14:paraId="0B69C003"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116</w:t>
            </w:r>
          </w:p>
        </w:tc>
        <w:tc>
          <w:tcPr>
            <w:tcW w:w="1200" w:type="dxa"/>
            <w:tcBorders>
              <w:top w:val="single" w:sz="4" w:space="0" w:color="auto"/>
              <w:left w:val="nil"/>
              <w:bottom w:val="nil"/>
              <w:right w:val="nil"/>
            </w:tcBorders>
            <w:noWrap/>
            <w:vAlign w:val="bottom"/>
            <w:hideMark/>
          </w:tcPr>
          <w:p w14:paraId="72F7DF98"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140</w:t>
            </w:r>
          </w:p>
        </w:tc>
        <w:tc>
          <w:tcPr>
            <w:tcW w:w="1355" w:type="dxa"/>
            <w:tcBorders>
              <w:top w:val="single" w:sz="4" w:space="0" w:color="auto"/>
              <w:left w:val="single" w:sz="4" w:space="0" w:color="auto"/>
              <w:bottom w:val="nil"/>
              <w:right w:val="single" w:sz="4" w:space="0" w:color="auto"/>
            </w:tcBorders>
            <w:noWrap/>
            <w:vAlign w:val="bottom"/>
            <w:hideMark/>
          </w:tcPr>
          <w:p w14:paraId="2A49C660"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325</w:t>
            </w:r>
          </w:p>
        </w:tc>
        <w:tc>
          <w:tcPr>
            <w:tcW w:w="1434" w:type="dxa"/>
            <w:tcBorders>
              <w:top w:val="single" w:sz="4" w:space="0" w:color="auto"/>
              <w:left w:val="nil"/>
              <w:bottom w:val="nil"/>
              <w:right w:val="nil"/>
            </w:tcBorders>
            <w:shd w:val="clear" w:color="auto" w:fill="F2F2F2" w:themeFill="background1" w:themeFillShade="F2"/>
            <w:noWrap/>
            <w:vAlign w:val="bottom"/>
            <w:hideMark/>
          </w:tcPr>
          <w:p w14:paraId="6B4C29F6"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524</w:t>
            </w:r>
          </w:p>
        </w:tc>
        <w:tc>
          <w:tcPr>
            <w:tcW w:w="1434" w:type="dxa"/>
            <w:tcBorders>
              <w:top w:val="single" w:sz="4" w:space="0" w:color="auto"/>
              <w:left w:val="single" w:sz="4" w:space="0" w:color="auto"/>
              <w:bottom w:val="nil"/>
              <w:right w:val="single" w:sz="4" w:space="0" w:color="auto"/>
            </w:tcBorders>
            <w:shd w:val="clear" w:color="auto" w:fill="F2F2F2" w:themeFill="background1" w:themeFillShade="F2"/>
            <w:noWrap/>
            <w:vAlign w:val="bottom"/>
            <w:hideMark/>
          </w:tcPr>
          <w:p w14:paraId="63F2C172"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517</w:t>
            </w:r>
          </w:p>
        </w:tc>
        <w:tc>
          <w:tcPr>
            <w:tcW w:w="1439" w:type="dxa"/>
            <w:tcBorders>
              <w:top w:val="single" w:sz="4" w:space="0" w:color="auto"/>
              <w:left w:val="nil"/>
              <w:bottom w:val="nil"/>
              <w:right w:val="single" w:sz="4" w:space="0" w:color="auto"/>
            </w:tcBorders>
            <w:shd w:val="clear" w:color="auto" w:fill="F2F2F2" w:themeFill="background1" w:themeFillShade="F2"/>
            <w:noWrap/>
            <w:vAlign w:val="bottom"/>
            <w:hideMark/>
          </w:tcPr>
          <w:p w14:paraId="72F40EA6"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614</w:t>
            </w:r>
          </w:p>
        </w:tc>
      </w:tr>
      <w:tr w:rsidR="00161EDB" w:rsidRPr="000E14BA" w14:paraId="7D7B73E1"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76CA658F"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Diff</w:t>
            </w:r>
          </w:p>
        </w:tc>
        <w:tc>
          <w:tcPr>
            <w:tcW w:w="993" w:type="dxa"/>
            <w:tcBorders>
              <w:top w:val="nil"/>
              <w:left w:val="single" w:sz="4" w:space="0" w:color="auto"/>
              <w:bottom w:val="nil"/>
              <w:right w:val="single" w:sz="4" w:space="0" w:color="auto"/>
            </w:tcBorders>
            <w:noWrap/>
            <w:vAlign w:val="bottom"/>
            <w:hideMark/>
          </w:tcPr>
          <w:p w14:paraId="4DA70719"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nil"/>
              <w:right w:val="nil"/>
            </w:tcBorders>
            <w:noWrap/>
            <w:vAlign w:val="bottom"/>
            <w:hideMark/>
          </w:tcPr>
          <w:p w14:paraId="1BC83681"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nil"/>
              <w:right w:val="single" w:sz="4" w:space="0" w:color="auto"/>
            </w:tcBorders>
            <w:noWrap/>
            <w:vAlign w:val="bottom"/>
            <w:hideMark/>
          </w:tcPr>
          <w:p w14:paraId="6ADFC655"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w:t>
            </w:r>
          </w:p>
        </w:tc>
        <w:tc>
          <w:tcPr>
            <w:tcW w:w="1134" w:type="dxa"/>
            <w:tcBorders>
              <w:top w:val="nil"/>
              <w:left w:val="nil"/>
              <w:bottom w:val="nil"/>
              <w:right w:val="nil"/>
            </w:tcBorders>
            <w:noWrap/>
            <w:vAlign w:val="bottom"/>
            <w:hideMark/>
          </w:tcPr>
          <w:p w14:paraId="25C8920F"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12</w:t>
            </w:r>
          </w:p>
        </w:tc>
        <w:tc>
          <w:tcPr>
            <w:tcW w:w="1060" w:type="dxa"/>
            <w:tcBorders>
              <w:top w:val="nil"/>
              <w:left w:val="single" w:sz="4" w:space="0" w:color="auto"/>
              <w:bottom w:val="nil"/>
              <w:right w:val="single" w:sz="4" w:space="0" w:color="auto"/>
            </w:tcBorders>
            <w:noWrap/>
            <w:vAlign w:val="bottom"/>
            <w:hideMark/>
          </w:tcPr>
          <w:p w14:paraId="1A980193"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46</w:t>
            </w:r>
          </w:p>
        </w:tc>
        <w:tc>
          <w:tcPr>
            <w:tcW w:w="1200" w:type="dxa"/>
            <w:tcBorders>
              <w:top w:val="nil"/>
              <w:left w:val="nil"/>
              <w:bottom w:val="nil"/>
              <w:right w:val="nil"/>
            </w:tcBorders>
            <w:noWrap/>
            <w:vAlign w:val="bottom"/>
            <w:hideMark/>
          </w:tcPr>
          <w:p w14:paraId="548119C0"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30</w:t>
            </w:r>
          </w:p>
        </w:tc>
        <w:tc>
          <w:tcPr>
            <w:tcW w:w="1200" w:type="dxa"/>
            <w:tcBorders>
              <w:top w:val="nil"/>
              <w:left w:val="single" w:sz="4" w:space="0" w:color="auto"/>
              <w:bottom w:val="nil"/>
              <w:right w:val="single" w:sz="4" w:space="0" w:color="auto"/>
            </w:tcBorders>
            <w:noWrap/>
            <w:vAlign w:val="bottom"/>
            <w:hideMark/>
          </w:tcPr>
          <w:p w14:paraId="77C5C12D"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45</w:t>
            </w:r>
          </w:p>
        </w:tc>
        <w:tc>
          <w:tcPr>
            <w:tcW w:w="1200" w:type="dxa"/>
            <w:tcBorders>
              <w:top w:val="nil"/>
              <w:left w:val="nil"/>
              <w:bottom w:val="nil"/>
              <w:right w:val="nil"/>
            </w:tcBorders>
            <w:noWrap/>
            <w:vAlign w:val="bottom"/>
            <w:hideMark/>
          </w:tcPr>
          <w:p w14:paraId="7890C0CC"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69</w:t>
            </w:r>
          </w:p>
        </w:tc>
        <w:tc>
          <w:tcPr>
            <w:tcW w:w="1355" w:type="dxa"/>
            <w:tcBorders>
              <w:top w:val="nil"/>
              <w:left w:val="single" w:sz="4" w:space="0" w:color="auto"/>
              <w:bottom w:val="nil"/>
              <w:right w:val="single" w:sz="4" w:space="0" w:color="auto"/>
            </w:tcBorders>
            <w:noWrap/>
            <w:vAlign w:val="bottom"/>
            <w:hideMark/>
          </w:tcPr>
          <w:p w14:paraId="64415036"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254</w:t>
            </w:r>
          </w:p>
        </w:tc>
        <w:tc>
          <w:tcPr>
            <w:tcW w:w="1434" w:type="dxa"/>
            <w:tcBorders>
              <w:top w:val="nil"/>
              <w:left w:val="nil"/>
              <w:bottom w:val="nil"/>
              <w:right w:val="nil"/>
            </w:tcBorders>
            <w:shd w:val="clear" w:color="auto" w:fill="F2F2F2" w:themeFill="background1" w:themeFillShade="F2"/>
            <w:noWrap/>
            <w:vAlign w:val="bottom"/>
            <w:hideMark/>
          </w:tcPr>
          <w:p w14:paraId="38AF1C6E"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453</w:t>
            </w:r>
          </w:p>
        </w:tc>
        <w:tc>
          <w:tcPr>
            <w:tcW w:w="1434" w:type="dxa"/>
            <w:tcBorders>
              <w:top w:val="nil"/>
              <w:left w:val="single" w:sz="4" w:space="0" w:color="auto"/>
              <w:bottom w:val="nil"/>
              <w:right w:val="single" w:sz="4" w:space="0" w:color="auto"/>
            </w:tcBorders>
            <w:shd w:val="clear" w:color="auto" w:fill="F2F2F2" w:themeFill="background1" w:themeFillShade="F2"/>
            <w:noWrap/>
            <w:vAlign w:val="bottom"/>
            <w:hideMark/>
          </w:tcPr>
          <w:p w14:paraId="30E2889F"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446</w:t>
            </w:r>
          </w:p>
        </w:tc>
        <w:tc>
          <w:tcPr>
            <w:tcW w:w="1439" w:type="dxa"/>
            <w:tcBorders>
              <w:top w:val="nil"/>
              <w:left w:val="nil"/>
              <w:bottom w:val="nil"/>
              <w:right w:val="single" w:sz="4" w:space="0" w:color="auto"/>
            </w:tcBorders>
            <w:shd w:val="clear" w:color="auto" w:fill="F2F2F2" w:themeFill="background1" w:themeFillShade="F2"/>
            <w:noWrap/>
            <w:vAlign w:val="bottom"/>
            <w:hideMark/>
          </w:tcPr>
          <w:p w14:paraId="7D9FFB5F"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543</w:t>
            </w:r>
          </w:p>
        </w:tc>
      </w:tr>
      <w:tr w:rsidR="00161EDB" w:rsidRPr="000E14BA" w14:paraId="24B8CF7B"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04196F0F"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P-Val</w:t>
            </w:r>
          </w:p>
        </w:tc>
        <w:tc>
          <w:tcPr>
            <w:tcW w:w="993" w:type="dxa"/>
            <w:tcBorders>
              <w:top w:val="nil"/>
              <w:left w:val="single" w:sz="4" w:space="0" w:color="auto"/>
              <w:bottom w:val="nil"/>
              <w:right w:val="single" w:sz="4" w:space="0" w:color="auto"/>
            </w:tcBorders>
            <w:noWrap/>
            <w:vAlign w:val="bottom"/>
            <w:hideMark/>
          </w:tcPr>
          <w:p w14:paraId="5EC650B7"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nil"/>
              <w:right w:val="nil"/>
            </w:tcBorders>
            <w:noWrap/>
            <w:vAlign w:val="bottom"/>
            <w:hideMark/>
          </w:tcPr>
          <w:p w14:paraId="79135425"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nil"/>
              <w:right w:val="single" w:sz="4" w:space="0" w:color="auto"/>
            </w:tcBorders>
            <w:noWrap/>
            <w:vAlign w:val="bottom"/>
            <w:hideMark/>
          </w:tcPr>
          <w:p w14:paraId="758FFD35"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0.48</w:t>
            </w:r>
          </w:p>
        </w:tc>
        <w:tc>
          <w:tcPr>
            <w:tcW w:w="1134" w:type="dxa"/>
            <w:tcBorders>
              <w:top w:val="nil"/>
              <w:left w:val="nil"/>
              <w:bottom w:val="nil"/>
              <w:right w:val="nil"/>
            </w:tcBorders>
            <w:noWrap/>
            <w:vAlign w:val="bottom"/>
            <w:hideMark/>
          </w:tcPr>
          <w:p w14:paraId="2FF1DE81"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0.46</w:t>
            </w:r>
          </w:p>
        </w:tc>
        <w:tc>
          <w:tcPr>
            <w:tcW w:w="1060" w:type="dxa"/>
            <w:tcBorders>
              <w:top w:val="nil"/>
              <w:left w:val="single" w:sz="4" w:space="0" w:color="auto"/>
              <w:bottom w:val="nil"/>
              <w:right w:val="single" w:sz="4" w:space="0" w:color="auto"/>
            </w:tcBorders>
            <w:noWrap/>
            <w:vAlign w:val="bottom"/>
            <w:hideMark/>
          </w:tcPr>
          <w:p w14:paraId="6CF1C544"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0.39</w:t>
            </w:r>
          </w:p>
        </w:tc>
        <w:tc>
          <w:tcPr>
            <w:tcW w:w="1200" w:type="dxa"/>
            <w:tcBorders>
              <w:top w:val="nil"/>
              <w:left w:val="nil"/>
              <w:bottom w:val="nil"/>
              <w:right w:val="nil"/>
            </w:tcBorders>
            <w:noWrap/>
            <w:vAlign w:val="bottom"/>
            <w:hideMark/>
          </w:tcPr>
          <w:p w14:paraId="1229A9B5"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0.42</w:t>
            </w:r>
          </w:p>
        </w:tc>
        <w:tc>
          <w:tcPr>
            <w:tcW w:w="1200" w:type="dxa"/>
            <w:tcBorders>
              <w:top w:val="nil"/>
              <w:left w:val="single" w:sz="4" w:space="0" w:color="auto"/>
              <w:bottom w:val="nil"/>
              <w:right w:val="single" w:sz="4" w:space="0" w:color="auto"/>
            </w:tcBorders>
            <w:noWrap/>
            <w:vAlign w:val="bottom"/>
            <w:hideMark/>
          </w:tcPr>
          <w:p w14:paraId="63603CB9"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0.30</w:t>
            </w:r>
          </w:p>
        </w:tc>
        <w:tc>
          <w:tcPr>
            <w:tcW w:w="1200" w:type="dxa"/>
            <w:tcBorders>
              <w:top w:val="nil"/>
              <w:left w:val="nil"/>
              <w:bottom w:val="nil"/>
              <w:right w:val="nil"/>
            </w:tcBorders>
            <w:noWrap/>
            <w:vAlign w:val="bottom"/>
            <w:hideMark/>
          </w:tcPr>
          <w:p w14:paraId="7E067958"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0.25</w:t>
            </w:r>
          </w:p>
        </w:tc>
        <w:tc>
          <w:tcPr>
            <w:tcW w:w="1355" w:type="dxa"/>
            <w:tcBorders>
              <w:top w:val="nil"/>
              <w:left w:val="single" w:sz="4" w:space="0" w:color="auto"/>
              <w:bottom w:val="nil"/>
              <w:right w:val="single" w:sz="4" w:space="0" w:color="auto"/>
            </w:tcBorders>
            <w:noWrap/>
            <w:vAlign w:val="bottom"/>
            <w:hideMark/>
          </w:tcPr>
          <w:p w14:paraId="596A13A3"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0.16</w:t>
            </w:r>
          </w:p>
        </w:tc>
        <w:tc>
          <w:tcPr>
            <w:tcW w:w="1434" w:type="dxa"/>
            <w:tcBorders>
              <w:top w:val="nil"/>
              <w:left w:val="nil"/>
              <w:bottom w:val="nil"/>
              <w:right w:val="nil"/>
            </w:tcBorders>
            <w:shd w:val="clear" w:color="auto" w:fill="F2F2F2" w:themeFill="background1" w:themeFillShade="F2"/>
            <w:noWrap/>
            <w:vAlign w:val="bottom"/>
            <w:hideMark/>
          </w:tcPr>
          <w:p w14:paraId="558038FE"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0.00***</w:t>
            </w:r>
          </w:p>
        </w:tc>
        <w:tc>
          <w:tcPr>
            <w:tcW w:w="1434" w:type="dxa"/>
            <w:tcBorders>
              <w:top w:val="nil"/>
              <w:left w:val="single" w:sz="4" w:space="0" w:color="auto"/>
              <w:bottom w:val="nil"/>
              <w:right w:val="single" w:sz="4" w:space="0" w:color="auto"/>
            </w:tcBorders>
            <w:shd w:val="clear" w:color="auto" w:fill="F2F2F2" w:themeFill="background1" w:themeFillShade="F2"/>
            <w:noWrap/>
            <w:vAlign w:val="bottom"/>
            <w:hideMark/>
          </w:tcPr>
          <w:p w14:paraId="33174DE1"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0.01***</w:t>
            </w:r>
          </w:p>
        </w:tc>
        <w:tc>
          <w:tcPr>
            <w:tcW w:w="1439" w:type="dxa"/>
            <w:tcBorders>
              <w:top w:val="nil"/>
              <w:left w:val="nil"/>
              <w:bottom w:val="nil"/>
              <w:right w:val="single" w:sz="4" w:space="0" w:color="auto"/>
            </w:tcBorders>
            <w:shd w:val="clear" w:color="auto" w:fill="F2F2F2" w:themeFill="background1" w:themeFillShade="F2"/>
            <w:noWrap/>
            <w:vAlign w:val="bottom"/>
            <w:hideMark/>
          </w:tcPr>
          <w:p w14:paraId="20136FE8"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0.00***</w:t>
            </w:r>
          </w:p>
        </w:tc>
      </w:tr>
      <w:tr w:rsidR="00161EDB" w:rsidRPr="000E14BA" w14:paraId="16E0D94B" w14:textId="77777777" w:rsidTr="00161EDB">
        <w:trPr>
          <w:gridAfter w:val="1"/>
          <w:wAfter w:w="14" w:type="dxa"/>
          <w:trHeight w:val="206"/>
        </w:trPr>
        <w:tc>
          <w:tcPr>
            <w:tcW w:w="993" w:type="dxa"/>
            <w:tcBorders>
              <w:top w:val="single" w:sz="4" w:space="0" w:color="auto"/>
              <w:left w:val="single" w:sz="4" w:space="0" w:color="auto"/>
              <w:bottom w:val="nil"/>
              <w:right w:val="nil"/>
            </w:tcBorders>
            <w:noWrap/>
            <w:vAlign w:val="bottom"/>
            <w:hideMark/>
          </w:tcPr>
          <w:p w14:paraId="60FC5E00"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NAR</w:t>
            </w:r>
          </w:p>
        </w:tc>
        <w:tc>
          <w:tcPr>
            <w:tcW w:w="993" w:type="dxa"/>
            <w:tcBorders>
              <w:top w:val="single" w:sz="4" w:space="0" w:color="auto"/>
              <w:left w:val="single" w:sz="4" w:space="0" w:color="auto"/>
              <w:bottom w:val="nil"/>
              <w:right w:val="single" w:sz="4" w:space="0" w:color="auto"/>
            </w:tcBorders>
            <w:noWrap/>
            <w:vAlign w:val="bottom"/>
            <w:hideMark/>
          </w:tcPr>
          <w:p w14:paraId="4CAF084E"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CC</w:t>
            </w:r>
          </w:p>
        </w:tc>
        <w:tc>
          <w:tcPr>
            <w:tcW w:w="702" w:type="dxa"/>
            <w:tcBorders>
              <w:top w:val="single" w:sz="4" w:space="0" w:color="auto"/>
              <w:left w:val="single" w:sz="4" w:space="0" w:color="auto"/>
              <w:bottom w:val="nil"/>
              <w:right w:val="nil"/>
            </w:tcBorders>
            <w:noWrap/>
            <w:vAlign w:val="bottom"/>
            <w:hideMark/>
          </w:tcPr>
          <w:p w14:paraId="71DE7E29"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55</w:t>
            </w:r>
          </w:p>
        </w:tc>
        <w:tc>
          <w:tcPr>
            <w:tcW w:w="999" w:type="dxa"/>
            <w:tcBorders>
              <w:top w:val="single" w:sz="4" w:space="0" w:color="auto"/>
              <w:left w:val="single" w:sz="4" w:space="0" w:color="auto"/>
              <w:bottom w:val="nil"/>
              <w:right w:val="single" w:sz="4" w:space="0" w:color="auto"/>
            </w:tcBorders>
            <w:noWrap/>
            <w:vAlign w:val="bottom"/>
            <w:hideMark/>
          </w:tcPr>
          <w:p w14:paraId="7F9AE553"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56</w:t>
            </w:r>
          </w:p>
        </w:tc>
        <w:tc>
          <w:tcPr>
            <w:tcW w:w="1134" w:type="dxa"/>
            <w:tcBorders>
              <w:top w:val="single" w:sz="4" w:space="0" w:color="auto"/>
              <w:left w:val="nil"/>
              <w:bottom w:val="nil"/>
              <w:right w:val="nil"/>
            </w:tcBorders>
            <w:noWrap/>
            <w:vAlign w:val="bottom"/>
            <w:hideMark/>
          </w:tcPr>
          <w:p w14:paraId="745C99DC"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66</w:t>
            </w:r>
          </w:p>
        </w:tc>
        <w:tc>
          <w:tcPr>
            <w:tcW w:w="1060" w:type="dxa"/>
            <w:tcBorders>
              <w:top w:val="single" w:sz="4" w:space="0" w:color="auto"/>
              <w:left w:val="single" w:sz="4" w:space="0" w:color="auto"/>
              <w:bottom w:val="nil"/>
              <w:right w:val="single" w:sz="4" w:space="0" w:color="auto"/>
            </w:tcBorders>
            <w:noWrap/>
            <w:vAlign w:val="bottom"/>
            <w:hideMark/>
          </w:tcPr>
          <w:p w14:paraId="1F877EBE"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100</w:t>
            </w:r>
          </w:p>
        </w:tc>
        <w:tc>
          <w:tcPr>
            <w:tcW w:w="1200" w:type="dxa"/>
            <w:tcBorders>
              <w:top w:val="single" w:sz="4" w:space="0" w:color="auto"/>
              <w:left w:val="nil"/>
              <w:bottom w:val="nil"/>
              <w:right w:val="nil"/>
            </w:tcBorders>
            <w:noWrap/>
            <w:vAlign w:val="bottom"/>
            <w:hideMark/>
          </w:tcPr>
          <w:p w14:paraId="2C15EF34"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83</w:t>
            </w:r>
          </w:p>
        </w:tc>
        <w:tc>
          <w:tcPr>
            <w:tcW w:w="1200" w:type="dxa"/>
            <w:tcBorders>
              <w:top w:val="single" w:sz="4" w:space="0" w:color="auto"/>
              <w:left w:val="single" w:sz="4" w:space="0" w:color="auto"/>
              <w:bottom w:val="nil"/>
              <w:right w:val="single" w:sz="4" w:space="0" w:color="auto"/>
            </w:tcBorders>
            <w:noWrap/>
            <w:vAlign w:val="bottom"/>
            <w:hideMark/>
          </w:tcPr>
          <w:p w14:paraId="60866FDC"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93</w:t>
            </w:r>
          </w:p>
        </w:tc>
        <w:tc>
          <w:tcPr>
            <w:tcW w:w="1200" w:type="dxa"/>
            <w:tcBorders>
              <w:top w:val="single" w:sz="4" w:space="0" w:color="auto"/>
              <w:left w:val="nil"/>
              <w:bottom w:val="nil"/>
              <w:right w:val="nil"/>
            </w:tcBorders>
            <w:noWrap/>
            <w:vAlign w:val="bottom"/>
            <w:hideMark/>
          </w:tcPr>
          <w:p w14:paraId="207E4030"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129</w:t>
            </w:r>
          </w:p>
        </w:tc>
        <w:tc>
          <w:tcPr>
            <w:tcW w:w="1355" w:type="dxa"/>
            <w:tcBorders>
              <w:top w:val="single" w:sz="4" w:space="0" w:color="auto"/>
              <w:left w:val="single" w:sz="4" w:space="0" w:color="auto"/>
              <w:bottom w:val="nil"/>
              <w:right w:val="single" w:sz="4" w:space="0" w:color="auto"/>
            </w:tcBorders>
            <w:noWrap/>
            <w:vAlign w:val="bottom"/>
            <w:hideMark/>
          </w:tcPr>
          <w:p w14:paraId="26712F2E"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233</w:t>
            </w:r>
          </w:p>
        </w:tc>
        <w:tc>
          <w:tcPr>
            <w:tcW w:w="1434" w:type="dxa"/>
            <w:tcBorders>
              <w:top w:val="single" w:sz="4" w:space="0" w:color="auto"/>
              <w:left w:val="nil"/>
              <w:bottom w:val="nil"/>
              <w:right w:val="nil"/>
            </w:tcBorders>
            <w:noWrap/>
            <w:vAlign w:val="bottom"/>
            <w:hideMark/>
          </w:tcPr>
          <w:p w14:paraId="5F2BC4F6"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409</w:t>
            </w:r>
          </w:p>
        </w:tc>
        <w:tc>
          <w:tcPr>
            <w:tcW w:w="1434" w:type="dxa"/>
            <w:tcBorders>
              <w:top w:val="single" w:sz="4" w:space="0" w:color="auto"/>
              <w:left w:val="single" w:sz="4" w:space="0" w:color="auto"/>
              <w:bottom w:val="nil"/>
              <w:right w:val="single" w:sz="4" w:space="0" w:color="auto"/>
            </w:tcBorders>
            <w:shd w:val="clear" w:color="auto" w:fill="F2F2F2" w:themeFill="background1" w:themeFillShade="F2"/>
            <w:noWrap/>
            <w:vAlign w:val="bottom"/>
            <w:hideMark/>
          </w:tcPr>
          <w:p w14:paraId="2D2FF59F"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397</w:t>
            </w:r>
          </w:p>
        </w:tc>
        <w:tc>
          <w:tcPr>
            <w:tcW w:w="1439" w:type="dxa"/>
            <w:tcBorders>
              <w:top w:val="single" w:sz="4" w:space="0" w:color="auto"/>
              <w:left w:val="nil"/>
              <w:bottom w:val="nil"/>
              <w:right w:val="single" w:sz="4" w:space="0" w:color="auto"/>
            </w:tcBorders>
            <w:shd w:val="clear" w:color="auto" w:fill="F2F2F2" w:themeFill="background1" w:themeFillShade="F2"/>
            <w:noWrap/>
            <w:vAlign w:val="bottom"/>
            <w:hideMark/>
          </w:tcPr>
          <w:p w14:paraId="23EEAFF4"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471</w:t>
            </w:r>
          </w:p>
        </w:tc>
      </w:tr>
      <w:tr w:rsidR="00161EDB" w:rsidRPr="000E14BA" w14:paraId="6E052062"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4AFCC7D2"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Diff</w:t>
            </w:r>
          </w:p>
        </w:tc>
        <w:tc>
          <w:tcPr>
            <w:tcW w:w="993" w:type="dxa"/>
            <w:tcBorders>
              <w:top w:val="nil"/>
              <w:left w:val="single" w:sz="4" w:space="0" w:color="auto"/>
              <w:bottom w:val="nil"/>
              <w:right w:val="single" w:sz="4" w:space="0" w:color="auto"/>
            </w:tcBorders>
            <w:noWrap/>
            <w:vAlign w:val="bottom"/>
            <w:hideMark/>
          </w:tcPr>
          <w:p w14:paraId="5E8A9842"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nil"/>
              <w:right w:val="nil"/>
            </w:tcBorders>
            <w:noWrap/>
            <w:vAlign w:val="bottom"/>
            <w:hideMark/>
          </w:tcPr>
          <w:p w14:paraId="05FFF512"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nil"/>
              <w:right w:val="single" w:sz="4" w:space="0" w:color="auto"/>
            </w:tcBorders>
            <w:noWrap/>
            <w:vAlign w:val="bottom"/>
            <w:hideMark/>
          </w:tcPr>
          <w:p w14:paraId="476965E4"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w:t>
            </w:r>
          </w:p>
        </w:tc>
        <w:tc>
          <w:tcPr>
            <w:tcW w:w="1134" w:type="dxa"/>
            <w:tcBorders>
              <w:top w:val="nil"/>
              <w:left w:val="nil"/>
              <w:bottom w:val="nil"/>
              <w:right w:val="nil"/>
            </w:tcBorders>
            <w:noWrap/>
            <w:vAlign w:val="bottom"/>
            <w:hideMark/>
          </w:tcPr>
          <w:p w14:paraId="3176B811"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10</w:t>
            </w:r>
          </w:p>
        </w:tc>
        <w:tc>
          <w:tcPr>
            <w:tcW w:w="1060" w:type="dxa"/>
            <w:tcBorders>
              <w:top w:val="nil"/>
              <w:left w:val="single" w:sz="4" w:space="0" w:color="auto"/>
              <w:bottom w:val="nil"/>
              <w:right w:val="single" w:sz="4" w:space="0" w:color="auto"/>
            </w:tcBorders>
            <w:noWrap/>
            <w:vAlign w:val="bottom"/>
            <w:hideMark/>
          </w:tcPr>
          <w:p w14:paraId="32802EA8"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34</w:t>
            </w:r>
          </w:p>
        </w:tc>
        <w:tc>
          <w:tcPr>
            <w:tcW w:w="1200" w:type="dxa"/>
            <w:tcBorders>
              <w:top w:val="nil"/>
              <w:left w:val="nil"/>
              <w:bottom w:val="nil"/>
              <w:right w:val="nil"/>
            </w:tcBorders>
            <w:noWrap/>
            <w:vAlign w:val="bottom"/>
            <w:hideMark/>
          </w:tcPr>
          <w:p w14:paraId="7A8AABA2"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-17</w:t>
            </w:r>
          </w:p>
        </w:tc>
        <w:tc>
          <w:tcPr>
            <w:tcW w:w="1200" w:type="dxa"/>
            <w:tcBorders>
              <w:top w:val="nil"/>
              <w:left w:val="single" w:sz="4" w:space="0" w:color="auto"/>
              <w:bottom w:val="nil"/>
              <w:right w:val="single" w:sz="4" w:space="0" w:color="auto"/>
            </w:tcBorders>
            <w:noWrap/>
            <w:vAlign w:val="bottom"/>
            <w:hideMark/>
          </w:tcPr>
          <w:p w14:paraId="34E7666E"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10</w:t>
            </w:r>
          </w:p>
        </w:tc>
        <w:tc>
          <w:tcPr>
            <w:tcW w:w="1200" w:type="dxa"/>
            <w:tcBorders>
              <w:top w:val="nil"/>
              <w:left w:val="nil"/>
              <w:bottom w:val="nil"/>
              <w:right w:val="nil"/>
            </w:tcBorders>
            <w:noWrap/>
            <w:vAlign w:val="bottom"/>
            <w:hideMark/>
          </w:tcPr>
          <w:p w14:paraId="2C51581D"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36</w:t>
            </w:r>
          </w:p>
        </w:tc>
        <w:tc>
          <w:tcPr>
            <w:tcW w:w="1355" w:type="dxa"/>
            <w:tcBorders>
              <w:top w:val="nil"/>
              <w:left w:val="single" w:sz="4" w:space="0" w:color="auto"/>
              <w:bottom w:val="nil"/>
              <w:right w:val="single" w:sz="4" w:space="0" w:color="auto"/>
            </w:tcBorders>
            <w:noWrap/>
            <w:vAlign w:val="bottom"/>
            <w:hideMark/>
          </w:tcPr>
          <w:p w14:paraId="47AE1552"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104</w:t>
            </w:r>
          </w:p>
        </w:tc>
        <w:tc>
          <w:tcPr>
            <w:tcW w:w="1434" w:type="dxa"/>
            <w:tcBorders>
              <w:top w:val="nil"/>
              <w:left w:val="nil"/>
              <w:bottom w:val="nil"/>
              <w:right w:val="nil"/>
            </w:tcBorders>
            <w:noWrap/>
            <w:vAlign w:val="bottom"/>
            <w:hideMark/>
          </w:tcPr>
          <w:p w14:paraId="7C74BAE2"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176</w:t>
            </w:r>
          </w:p>
        </w:tc>
        <w:tc>
          <w:tcPr>
            <w:tcW w:w="1434" w:type="dxa"/>
            <w:tcBorders>
              <w:top w:val="nil"/>
              <w:left w:val="single" w:sz="4" w:space="0" w:color="auto"/>
              <w:bottom w:val="nil"/>
              <w:right w:val="single" w:sz="4" w:space="0" w:color="auto"/>
            </w:tcBorders>
            <w:shd w:val="clear" w:color="auto" w:fill="F2F2F2" w:themeFill="background1" w:themeFillShade="F2"/>
            <w:noWrap/>
            <w:vAlign w:val="bottom"/>
            <w:hideMark/>
          </w:tcPr>
          <w:p w14:paraId="253276F9"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-12</w:t>
            </w:r>
          </w:p>
        </w:tc>
        <w:tc>
          <w:tcPr>
            <w:tcW w:w="1439" w:type="dxa"/>
            <w:tcBorders>
              <w:top w:val="nil"/>
              <w:left w:val="nil"/>
              <w:bottom w:val="nil"/>
              <w:right w:val="single" w:sz="4" w:space="0" w:color="auto"/>
            </w:tcBorders>
            <w:shd w:val="clear" w:color="auto" w:fill="F2F2F2" w:themeFill="background1" w:themeFillShade="F2"/>
            <w:noWrap/>
            <w:vAlign w:val="bottom"/>
            <w:hideMark/>
          </w:tcPr>
          <w:p w14:paraId="1C0B0680"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74</w:t>
            </w:r>
          </w:p>
        </w:tc>
      </w:tr>
      <w:tr w:rsidR="00161EDB" w:rsidRPr="000E14BA" w14:paraId="03BB4D00" w14:textId="77777777" w:rsidTr="00161EDB">
        <w:trPr>
          <w:gridAfter w:val="1"/>
          <w:wAfter w:w="14" w:type="dxa"/>
          <w:trHeight w:val="206"/>
        </w:trPr>
        <w:tc>
          <w:tcPr>
            <w:tcW w:w="993" w:type="dxa"/>
            <w:tcBorders>
              <w:top w:val="nil"/>
              <w:left w:val="single" w:sz="4" w:space="0" w:color="auto"/>
              <w:bottom w:val="single" w:sz="4" w:space="0" w:color="auto"/>
              <w:right w:val="nil"/>
            </w:tcBorders>
            <w:noWrap/>
            <w:vAlign w:val="bottom"/>
            <w:hideMark/>
          </w:tcPr>
          <w:p w14:paraId="55B83F2B"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P-Val</w:t>
            </w:r>
          </w:p>
        </w:tc>
        <w:tc>
          <w:tcPr>
            <w:tcW w:w="993" w:type="dxa"/>
            <w:tcBorders>
              <w:top w:val="nil"/>
              <w:left w:val="single" w:sz="4" w:space="0" w:color="auto"/>
              <w:bottom w:val="single" w:sz="4" w:space="0" w:color="auto"/>
              <w:right w:val="single" w:sz="4" w:space="0" w:color="auto"/>
            </w:tcBorders>
            <w:noWrap/>
            <w:vAlign w:val="bottom"/>
            <w:hideMark/>
          </w:tcPr>
          <w:p w14:paraId="185C404C"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single" w:sz="4" w:space="0" w:color="auto"/>
              <w:right w:val="nil"/>
            </w:tcBorders>
            <w:noWrap/>
            <w:vAlign w:val="bottom"/>
            <w:hideMark/>
          </w:tcPr>
          <w:p w14:paraId="261B57C3"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single" w:sz="4" w:space="0" w:color="auto"/>
              <w:right w:val="single" w:sz="4" w:space="0" w:color="auto"/>
            </w:tcBorders>
            <w:noWrap/>
            <w:vAlign w:val="bottom"/>
            <w:hideMark/>
          </w:tcPr>
          <w:p w14:paraId="02029781"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0.49</w:t>
            </w:r>
          </w:p>
        </w:tc>
        <w:tc>
          <w:tcPr>
            <w:tcW w:w="1134" w:type="dxa"/>
            <w:tcBorders>
              <w:top w:val="nil"/>
              <w:left w:val="nil"/>
              <w:bottom w:val="single" w:sz="4" w:space="0" w:color="auto"/>
              <w:right w:val="nil"/>
            </w:tcBorders>
            <w:noWrap/>
            <w:vAlign w:val="bottom"/>
            <w:hideMark/>
          </w:tcPr>
          <w:p w14:paraId="387AE42A"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0.39</w:t>
            </w:r>
          </w:p>
        </w:tc>
        <w:tc>
          <w:tcPr>
            <w:tcW w:w="1060" w:type="dxa"/>
            <w:tcBorders>
              <w:top w:val="nil"/>
              <w:left w:val="single" w:sz="4" w:space="0" w:color="auto"/>
              <w:bottom w:val="single" w:sz="4" w:space="0" w:color="auto"/>
              <w:right w:val="single" w:sz="4" w:space="0" w:color="auto"/>
            </w:tcBorders>
            <w:noWrap/>
            <w:vAlign w:val="bottom"/>
            <w:hideMark/>
          </w:tcPr>
          <w:p w14:paraId="5D8FF0DB"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0.34</w:t>
            </w:r>
          </w:p>
        </w:tc>
        <w:tc>
          <w:tcPr>
            <w:tcW w:w="1200" w:type="dxa"/>
            <w:tcBorders>
              <w:top w:val="nil"/>
              <w:left w:val="nil"/>
              <w:bottom w:val="single" w:sz="4" w:space="0" w:color="auto"/>
              <w:right w:val="nil"/>
            </w:tcBorders>
            <w:noWrap/>
            <w:vAlign w:val="bottom"/>
            <w:hideMark/>
          </w:tcPr>
          <w:p w14:paraId="7617EAFB"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0.38</w:t>
            </w:r>
          </w:p>
        </w:tc>
        <w:tc>
          <w:tcPr>
            <w:tcW w:w="1200" w:type="dxa"/>
            <w:tcBorders>
              <w:top w:val="nil"/>
              <w:left w:val="single" w:sz="4" w:space="0" w:color="auto"/>
              <w:bottom w:val="single" w:sz="4" w:space="0" w:color="auto"/>
              <w:right w:val="single" w:sz="4" w:space="0" w:color="auto"/>
            </w:tcBorders>
            <w:noWrap/>
            <w:vAlign w:val="bottom"/>
            <w:hideMark/>
          </w:tcPr>
          <w:p w14:paraId="0E9E8ED5"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0.36</w:t>
            </w:r>
          </w:p>
        </w:tc>
        <w:tc>
          <w:tcPr>
            <w:tcW w:w="1200" w:type="dxa"/>
            <w:tcBorders>
              <w:top w:val="nil"/>
              <w:left w:val="nil"/>
              <w:bottom w:val="single" w:sz="4" w:space="0" w:color="auto"/>
              <w:right w:val="nil"/>
            </w:tcBorders>
            <w:noWrap/>
            <w:vAlign w:val="bottom"/>
            <w:hideMark/>
          </w:tcPr>
          <w:p w14:paraId="73DA275D"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0.29</w:t>
            </w:r>
          </w:p>
        </w:tc>
        <w:tc>
          <w:tcPr>
            <w:tcW w:w="1355" w:type="dxa"/>
            <w:tcBorders>
              <w:top w:val="nil"/>
              <w:left w:val="single" w:sz="4" w:space="0" w:color="auto"/>
              <w:bottom w:val="single" w:sz="4" w:space="0" w:color="auto"/>
              <w:right w:val="single" w:sz="4" w:space="0" w:color="auto"/>
            </w:tcBorders>
            <w:noWrap/>
            <w:vAlign w:val="bottom"/>
            <w:hideMark/>
          </w:tcPr>
          <w:p w14:paraId="13251E83"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0.11</w:t>
            </w:r>
          </w:p>
        </w:tc>
        <w:tc>
          <w:tcPr>
            <w:tcW w:w="1434" w:type="dxa"/>
            <w:tcBorders>
              <w:top w:val="nil"/>
              <w:left w:val="nil"/>
              <w:bottom w:val="single" w:sz="4" w:space="0" w:color="auto"/>
              <w:right w:val="nil"/>
            </w:tcBorders>
            <w:noWrap/>
            <w:vAlign w:val="bottom"/>
            <w:hideMark/>
          </w:tcPr>
          <w:p w14:paraId="121047A8"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0.06*</w:t>
            </w:r>
          </w:p>
        </w:tc>
        <w:tc>
          <w:tcPr>
            <w:tcW w:w="1434"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599B720"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0.02**</w:t>
            </w:r>
          </w:p>
        </w:tc>
        <w:tc>
          <w:tcPr>
            <w:tcW w:w="1439" w:type="dxa"/>
            <w:tcBorders>
              <w:top w:val="nil"/>
              <w:left w:val="nil"/>
              <w:bottom w:val="single" w:sz="4" w:space="0" w:color="auto"/>
              <w:right w:val="single" w:sz="4" w:space="0" w:color="auto"/>
            </w:tcBorders>
            <w:shd w:val="clear" w:color="auto" w:fill="F2F2F2" w:themeFill="background1" w:themeFillShade="F2"/>
            <w:noWrap/>
            <w:vAlign w:val="bottom"/>
            <w:hideMark/>
          </w:tcPr>
          <w:p w14:paraId="4512F7DA"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0.00***</w:t>
            </w:r>
          </w:p>
        </w:tc>
      </w:tr>
      <w:tr w:rsidR="00161EDB" w:rsidRPr="000E14BA" w14:paraId="1B40391B"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4385B491"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NUM</w:t>
            </w:r>
          </w:p>
        </w:tc>
        <w:tc>
          <w:tcPr>
            <w:tcW w:w="993" w:type="dxa"/>
            <w:tcBorders>
              <w:top w:val="nil"/>
              <w:left w:val="single" w:sz="4" w:space="0" w:color="auto"/>
              <w:bottom w:val="nil"/>
              <w:right w:val="single" w:sz="4" w:space="0" w:color="auto"/>
            </w:tcBorders>
            <w:noWrap/>
            <w:vAlign w:val="bottom"/>
            <w:hideMark/>
          </w:tcPr>
          <w:p w14:paraId="7B6D0806"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CC</w:t>
            </w:r>
          </w:p>
        </w:tc>
        <w:tc>
          <w:tcPr>
            <w:tcW w:w="702" w:type="dxa"/>
            <w:tcBorders>
              <w:top w:val="nil"/>
              <w:left w:val="nil"/>
              <w:bottom w:val="nil"/>
              <w:right w:val="nil"/>
            </w:tcBorders>
            <w:noWrap/>
            <w:vAlign w:val="bottom"/>
            <w:hideMark/>
          </w:tcPr>
          <w:p w14:paraId="20D9B6DB"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16</w:t>
            </w:r>
          </w:p>
        </w:tc>
        <w:tc>
          <w:tcPr>
            <w:tcW w:w="999" w:type="dxa"/>
            <w:tcBorders>
              <w:top w:val="nil"/>
              <w:left w:val="single" w:sz="4" w:space="0" w:color="auto"/>
              <w:bottom w:val="nil"/>
              <w:right w:val="single" w:sz="4" w:space="0" w:color="auto"/>
            </w:tcBorders>
            <w:noWrap/>
            <w:vAlign w:val="bottom"/>
            <w:hideMark/>
          </w:tcPr>
          <w:p w14:paraId="5B48BFF5" w14:textId="77777777" w:rsidR="00081488" w:rsidRPr="000E14BA" w:rsidRDefault="00081488" w:rsidP="001A74B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14</w:t>
            </w:r>
          </w:p>
        </w:tc>
        <w:tc>
          <w:tcPr>
            <w:tcW w:w="1134" w:type="dxa"/>
            <w:tcBorders>
              <w:top w:val="nil"/>
              <w:left w:val="nil"/>
              <w:bottom w:val="nil"/>
              <w:right w:val="nil"/>
            </w:tcBorders>
            <w:noWrap/>
            <w:vAlign w:val="bottom"/>
            <w:hideMark/>
          </w:tcPr>
          <w:p w14:paraId="10F8F006" w14:textId="77777777" w:rsidR="00081488" w:rsidRPr="000E14BA" w:rsidRDefault="00081488" w:rsidP="001A74B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17</w:t>
            </w:r>
          </w:p>
        </w:tc>
        <w:tc>
          <w:tcPr>
            <w:tcW w:w="1060" w:type="dxa"/>
            <w:tcBorders>
              <w:top w:val="nil"/>
              <w:left w:val="single" w:sz="4" w:space="0" w:color="auto"/>
              <w:bottom w:val="nil"/>
              <w:right w:val="single" w:sz="4" w:space="0" w:color="auto"/>
            </w:tcBorders>
            <w:noWrap/>
            <w:vAlign w:val="bottom"/>
            <w:hideMark/>
          </w:tcPr>
          <w:p w14:paraId="391CDDBD" w14:textId="77777777" w:rsidR="00081488" w:rsidRPr="000E14BA" w:rsidRDefault="00081488" w:rsidP="001A74B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17</w:t>
            </w:r>
          </w:p>
        </w:tc>
        <w:tc>
          <w:tcPr>
            <w:tcW w:w="1200" w:type="dxa"/>
            <w:tcBorders>
              <w:top w:val="nil"/>
              <w:left w:val="nil"/>
              <w:bottom w:val="nil"/>
              <w:right w:val="nil"/>
            </w:tcBorders>
            <w:noWrap/>
            <w:vAlign w:val="bottom"/>
            <w:hideMark/>
          </w:tcPr>
          <w:p w14:paraId="2373610C" w14:textId="77777777" w:rsidR="00081488" w:rsidRPr="000E14BA" w:rsidRDefault="00081488" w:rsidP="001A74B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18</w:t>
            </w:r>
          </w:p>
        </w:tc>
        <w:tc>
          <w:tcPr>
            <w:tcW w:w="1200" w:type="dxa"/>
            <w:tcBorders>
              <w:top w:val="nil"/>
              <w:left w:val="single" w:sz="4" w:space="0" w:color="auto"/>
              <w:bottom w:val="nil"/>
              <w:right w:val="single" w:sz="4" w:space="0" w:color="auto"/>
            </w:tcBorders>
            <w:noWrap/>
            <w:vAlign w:val="bottom"/>
            <w:hideMark/>
          </w:tcPr>
          <w:p w14:paraId="1C5EC47B"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23</w:t>
            </w:r>
          </w:p>
        </w:tc>
        <w:tc>
          <w:tcPr>
            <w:tcW w:w="1200" w:type="dxa"/>
            <w:tcBorders>
              <w:top w:val="nil"/>
              <w:left w:val="nil"/>
              <w:bottom w:val="nil"/>
              <w:right w:val="nil"/>
            </w:tcBorders>
            <w:noWrap/>
            <w:vAlign w:val="bottom"/>
            <w:hideMark/>
          </w:tcPr>
          <w:p w14:paraId="7AA46238"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11</w:t>
            </w:r>
          </w:p>
        </w:tc>
        <w:tc>
          <w:tcPr>
            <w:tcW w:w="1355" w:type="dxa"/>
            <w:tcBorders>
              <w:top w:val="nil"/>
              <w:left w:val="single" w:sz="4" w:space="0" w:color="auto"/>
              <w:bottom w:val="nil"/>
              <w:right w:val="single" w:sz="4" w:space="0" w:color="auto"/>
            </w:tcBorders>
            <w:noWrap/>
            <w:vAlign w:val="bottom"/>
            <w:hideMark/>
          </w:tcPr>
          <w:p w14:paraId="0F58FFC0"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92</w:t>
            </w:r>
          </w:p>
        </w:tc>
        <w:tc>
          <w:tcPr>
            <w:tcW w:w="1434" w:type="dxa"/>
            <w:tcBorders>
              <w:top w:val="nil"/>
              <w:left w:val="nil"/>
              <w:bottom w:val="nil"/>
              <w:right w:val="nil"/>
            </w:tcBorders>
            <w:noWrap/>
            <w:vAlign w:val="bottom"/>
            <w:hideMark/>
          </w:tcPr>
          <w:p w14:paraId="64581089"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115</w:t>
            </w:r>
          </w:p>
        </w:tc>
        <w:tc>
          <w:tcPr>
            <w:tcW w:w="1434" w:type="dxa"/>
            <w:tcBorders>
              <w:top w:val="nil"/>
              <w:left w:val="single" w:sz="4" w:space="0" w:color="auto"/>
              <w:bottom w:val="nil"/>
              <w:right w:val="single" w:sz="4" w:space="0" w:color="auto"/>
            </w:tcBorders>
            <w:noWrap/>
            <w:vAlign w:val="bottom"/>
            <w:hideMark/>
          </w:tcPr>
          <w:p w14:paraId="217F42EB"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120</w:t>
            </w:r>
          </w:p>
        </w:tc>
        <w:tc>
          <w:tcPr>
            <w:tcW w:w="1439" w:type="dxa"/>
            <w:tcBorders>
              <w:top w:val="nil"/>
              <w:left w:val="nil"/>
              <w:bottom w:val="nil"/>
              <w:right w:val="single" w:sz="4" w:space="0" w:color="auto"/>
            </w:tcBorders>
            <w:shd w:val="clear" w:color="auto" w:fill="F2F2F2" w:themeFill="background1" w:themeFillShade="F2"/>
            <w:noWrap/>
            <w:vAlign w:val="bottom"/>
            <w:hideMark/>
          </w:tcPr>
          <w:p w14:paraId="2A370179"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143</w:t>
            </w:r>
          </w:p>
        </w:tc>
      </w:tr>
      <w:tr w:rsidR="00161EDB" w:rsidRPr="000E14BA" w14:paraId="715EA28D"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09DB727D"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Diff</w:t>
            </w:r>
          </w:p>
        </w:tc>
        <w:tc>
          <w:tcPr>
            <w:tcW w:w="993" w:type="dxa"/>
            <w:tcBorders>
              <w:top w:val="nil"/>
              <w:left w:val="single" w:sz="4" w:space="0" w:color="auto"/>
              <w:bottom w:val="nil"/>
              <w:right w:val="single" w:sz="4" w:space="0" w:color="auto"/>
            </w:tcBorders>
            <w:noWrap/>
            <w:vAlign w:val="bottom"/>
            <w:hideMark/>
          </w:tcPr>
          <w:p w14:paraId="42C3E94C"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nil"/>
              <w:right w:val="nil"/>
            </w:tcBorders>
            <w:noWrap/>
            <w:vAlign w:val="bottom"/>
            <w:hideMark/>
          </w:tcPr>
          <w:p w14:paraId="70D9D1D0"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nil"/>
              <w:right w:val="single" w:sz="4" w:space="0" w:color="auto"/>
            </w:tcBorders>
            <w:noWrap/>
            <w:vAlign w:val="bottom"/>
            <w:hideMark/>
          </w:tcPr>
          <w:p w14:paraId="6F530428" w14:textId="77777777" w:rsidR="00081488" w:rsidRPr="000E14BA" w:rsidRDefault="00081488" w:rsidP="001A74B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w:t>
            </w:r>
          </w:p>
        </w:tc>
        <w:tc>
          <w:tcPr>
            <w:tcW w:w="1134" w:type="dxa"/>
            <w:tcBorders>
              <w:top w:val="nil"/>
              <w:left w:val="nil"/>
              <w:bottom w:val="nil"/>
              <w:right w:val="nil"/>
            </w:tcBorders>
            <w:noWrap/>
            <w:vAlign w:val="bottom"/>
            <w:hideMark/>
          </w:tcPr>
          <w:p w14:paraId="5ED36C70" w14:textId="77777777" w:rsidR="00081488" w:rsidRPr="000E14BA" w:rsidRDefault="00081488" w:rsidP="001A74B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w:t>
            </w:r>
          </w:p>
        </w:tc>
        <w:tc>
          <w:tcPr>
            <w:tcW w:w="1060" w:type="dxa"/>
            <w:tcBorders>
              <w:top w:val="nil"/>
              <w:left w:val="single" w:sz="4" w:space="0" w:color="auto"/>
              <w:bottom w:val="nil"/>
              <w:right w:val="single" w:sz="4" w:space="0" w:color="auto"/>
            </w:tcBorders>
            <w:noWrap/>
            <w:vAlign w:val="bottom"/>
            <w:hideMark/>
          </w:tcPr>
          <w:p w14:paraId="6FF3F2E8" w14:textId="77777777" w:rsidR="00081488" w:rsidRPr="000E14BA" w:rsidRDefault="00081488" w:rsidP="001A74B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w:t>
            </w:r>
          </w:p>
        </w:tc>
        <w:tc>
          <w:tcPr>
            <w:tcW w:w="1200" w:type="dxa"/>
            <w:tcBorders>
              <w:top w:val="nil"/>
              <w:left w:val="nil"/>
              <w:bottom w:val="nil"/>
              <w:right w:val="nil"/>
            </w:tcBorders>
            <w:noWrap/>
            <w:vAlign w:val="bottom"/>
            <w:hideMark/>
          </w:tcPr>
          <w:p w14:paraId="7CBA8F89" w14:textId="77777777" w:rsidR="00081488" w:rsidRPr="000E14BA" w:rsidRDefault="00081488" w:rsidP="001A74B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w:t>
            </w:r>
          </w:p>
        </w:tc>
        <w:tc>
          <w:tcPr>
            <w:tcW w:w="1200" w:type="dxa"/>
            <w:tcBorders>
              <w:top w:val="nil"/>
              <w:left w:val="single" w:sz="4" w:space="0" w:color="auto"/>
              <w:bottom w:val="nil"/>
              <w:right w:val="single" w:sz="4" w:space="0" w:color="auto"/>
            </w:tcBorders>
            <w:noWrap/>
            <w:vAlign w:val="bottom"/>
            <w:hideMark/>
          </w:tcPr>
          <w:p w14:paraId="1C217248" w14:textId="77777777" w:rsidR="00081488" w:rsidRPr="000E14BA" w:rsidRDefault="00081488" w:rsidP="001A74B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7</w:t>
            </w:r>
          </w:p>
        </w:tc>
        <w:tc>
          <w:tcPr>
            <w:tcW w:w="1200" w:type="dxa"/>
            <w:tcBorders>
              <w:top w:val="nil"/>
              <w:left w:val="nil"/>
              <w:bottom w:val="nil"/>
              <w:right w:val="nil"/>
            </w:tcBorders>
            <w:noWrap/>
            <w:vAlign w:val="bottom"/>
            <w:hideMark/>
          </w:tcPr>
          <w:p w14:paraId="4A2A0335"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-5</w:t>
            </w:r>
          </w:p>
        </w:tc>
        <w:tc>
          <w:tcPr>
            <w:tcW w:w="1355" w:type="dxa"/>
            <w:tcBorders>
              <w:top w:val="nil"/>
              <w:left w:val="single" w:sz="4" w:space="0" w:color="auto"/>
              <w:bottom w:val="nil"/>
              <w:right w:val="single" w:sz="4" w:space="0" w:color="auto"/>
            </w:tcBorders>
            <w:noWrap/>
            <w:vAlign w:val="bottom"/>
            <w:hideMark/>
          </w:tcPr>
          <w:p w14:paraId="48C9D3EE"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76</w:t>
            </w:r>
          </w:p>
        </w:tc>
        <w:tc>
          <w:tcPr>
            <w:tcW w:w="1434" w:type="dxa"/>
            <w:tcBorders>
              <w:top w:val="nil"/>
              <w:left w:val="nil"/>
              <w:bottom w:val="nil"/>
              <w:right w:val="nil"/>
            </w:tcBorders>
            <w:noWrap/>
            <w:vAlign w:val="bottom"/>
            <w:hideMark/>
          </w:tcPr>
          <w:p w14:paraId="01D43CD6"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99</w:t>
            </w:r>
          </w:p>
        </w:tc>
        <w:tc>
          <w:tcPr>
            <w:tcW w:w="1434" w:type="dxa"/>
            <w:tcBorders>
              <w:top w:val="nil"/>
              <w:left w:val="single" w:sz="4" w:space="0" w:color="auto"/>
              <w:bottom w:val="nil"/>
              <w:right w:val="single" w:sz="4" w:space="0" w:color="auto"/>
            </w:tcBorders>
            <w:noWrap/>
            <w:vAlign w:val="bottom"/>
            <w:hideMark/>
          </w:tcPr>
          <w:p w14:paraId="462E9C62"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104</w:t>
            </w:r>
          </w:p>
        </w:tc>
        <w:tc>
          <w:tcPr>
            <w:tcW w:w="1439" w:type="dxa"/>
            <w:tcBorders>
              <w:top w:val="nil"/>
              <w:left w:val="nil"/>
              <w:bottom w:val="nil"/>
              <w:right w:val="single" w:sz="4" w:space="0" w:color="auto"/>
            </w:tcBorders>
            <w:shd w:val="clear" w:color="auto" w:fill="F2F2F2" w:themeFill="background1" w:themeFillShade="F2"/>
            <w:noWrap/>
            <w:vAlign w:val="bottom"/>
            <w:hideMark/>
          </w:tcPr>
          <w:p w14:paraId="05322FC1"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127</w:t>
            </w:r>
          </w:p>
        </w:tc>
      </w:tr>
      <w:tr w:rsidR="00161EDB" w:rsidRPr="000E14BA" w14:paraId="1E054275"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568EF834"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P-Val</w:t>
            </w:r>
          </w:p>
        </w:tc>
        <w:tc>
          <w:tcPr>
            <w:tcW w:w="993" w:type="dxa"/>
            <w:tcBorders>
              <w:top w:val="nil"/>
              <w:left w:val="single" w:sz="4" w:space="0" w:color="auto"/>
              <w:bottom w:val="nil"/>
              <w:right w:val="single" w:sz="4" w:space="0" w:color="auto"/>
            </w:tcBorders>
            <w:noWrap/>
            <w:vAlign w:val="bottom"/>
            <w:hideMark/>
          </w:tcPr>
          <w:p w14:paraId="45D4BBD5"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nil"/>
              <w:right w:val="nil"/>
            </w:tcBorders>
            <w:noWrap/>
            <w:vAlign w:val="bottom"/>
            <w:hideMark/>
          </w:tcPr>
          <w:p w14:paraId="0D36A529"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single" w:sz="4" w:space="0" w:color="auto"/>
              <w:right w:val="single" w:sz="4" w:space="0" w:color="auto"/>
            </w:tcBorders>
            <w:noWrap/>
            <w:vAlign w:val="bottom"/>
            <w:hideMark/>
          </w:tcPr>
          <w:p w14:paraId="046AD404" w14:textId="77777777" w:rsidR="00081488" w:rsidRPr="000E14BA" w:rsidRDefault="00081488" w:rsidP="001A74B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0.39</w:t>
            </w:r>
          </w:p>
        </w:tc>
        <w:tc>
          <w:tcPr>
            <w:tcW w:w="1134" w:type="dxa"/>
            <w:tcBorders>
              <w:top w:val="nil"/>
              <w:left w:val="nil"/>
              <w:bottom w:val="single" w:sz="4" w:space="0" w:color="auto"/>
              <w:right w:val="nil"/>
            </w:tcBorders>
            <w:noWrap/>
            <w:vAlign w:val="bottom"/>
            <w:hideMark/>
          </w:tcPr>
          <w:p w14:paraId="115440D3" w14:textId="77777777" w:rsidR="00081488" w:rsidRPr="000E14BA" w:rsidRDefault="00081488" w:rsidP="001A74B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0.43</w:t>
            </w:r>
          </w:p>
        </w:tc>
        <w:tc>
          <w:tcPr>
            <w:tcW w:w="1060" w:type="dxa"/>
            <w:tcBorders>
              <w:top w:val="nil"/>
              <w:left w:val="single" w:sz="4" w:space="0" w:color="auto"/>
              <w:bottom w:val="single" w:sz="4" w:space="0" w:color="auto"/>
              <w:right w:val="single" w:sz="4" w:space="0" w:color="auto"/>
            </w:tcBorders>
            <w:noWrap/>
            <w:vAlign w:val="bottom"/>
            <w:hideMark/>
          </w:tcPr>
          <w:p w14:paraId="684787F0" w14:textId="77777777" w:rsidR="00081488" w:rsidRPr="000E14BA" w:rsidRDefault="00081488" w:rsidP="001A74B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0.43</w:t>
            </w:r>
          </w:p>
        </w:tc>
        <w:tc>
          <w:tcPr>
            <w:tcW w:w="1200" w:type="dxa"/>
            <w:tcBorders>
              <w:top w:val="nil"/>
              <w:left w:val="nil"/>
              <w:bottom w:val="single" w:sz="4" w:space="0" w:color="auto"/>
              <w:right w:val="nil"/>
            </w:tcBorders>
            <w:noWrap/>
            <w:vAlign w:val="bottom"/>
            <w:hideMark/>
          </w:tcPr>
          <w:p w14:paraId="1B36DF40" w14:textId="77777777" w:rsidR="00081488" w:rsidRPr="000E14BA" w:rsidRDefault="00081488" w:rsidP="001A74B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0.40</w:t>
            </w:r>
          </w:p>
        </w:tc>
        <w:tc>
          <w:tcPr>
            <w:tcW w:w="1200" w:type="dxa"/>
            <w:tcBorders>
              <w:top w:val="nil"/>
              <w:left w:val="single" w:sz="4" w:space="0" w:color="auto"/>
              <w:bottom w:val="single" w:sz="4" w:space="0" w:color="auto"/>
              <w:right w:val="single" w:sz="4" w:space="0" w:color="auto"/>
            </w:tcBorders>
            <w:noWrap/>
            <w:vAlign w:val="bottom"/>
            <w:hideMark/>
          </w:tcPr>
          <w:p w14:paraId="231F64A8" w14:textId="77777777" w:rsidR="00081488" w:rsidRPr="000E14BA" w:rsidRDefault="00081488" w:rsidP="001A74B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0.33</w:t>
            </w:r>
          </w:p>
        </w:tc>
        <w:tc>
          <w:tcPr>
            <w:tcW w:w="1200" w:type="dxa"/>
            <w:tcBorders>
              <w:top w:val="nil"/>
              <w:left w:val="nil"/>
              <w:bottom w:val="single" w:sz="4" w:space="0" w:color="auto"/>
              <w:right w:val="nil"/>
            </w:tcBorders>
            <w:noWrap/>
            <w:vAlign w:val="bottom"/>
            <w:hideMark/>
          </w:tcPr>
          <w:p w14:paraId="066542AC"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0.36</w:t>
            </w:r>
          </w:p>
        </w:tc>
        <w:tc>
          <w:tcPr>
            <w:tcW w:w="1355" w:type="dxa"/>
            <w:tcBorders>
              <w:top w:val="nil"/>
              <w:left w:val="single" w:sz="4" w:space="0" w:color="auto"/>
              <w:bottom w:val="single" w:sz="4" w:space="0" w:color="auto"/>
              <w:right w:val="single" w:sz="4" w:space="0" w:color="auto"/>
            </w:tcBorders>
            <w:noWrap/>
            <w:vAlign w:val="bottom"/>
            <w:hideMark/>
          </w:tcPr>
          <w:p w14:paraId="75BB7874"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0.14</w:t>
            </w:r>
          </w:p>
        </w:tc>
        <w:tc>
          <w:tcPr>
            <w:tcW w:w="1434" w:type="dxa"/>
            <w:tcBorders>
              <w:top w:val="nil"/>
              <w:left w:val="nil"/>
              <w:bottom w:val="single" w:sz="4" w:space="0" w:color="auto"/>
              <w:right w:val="nil"/>
            </w:tcBorders>
            <w:noWrap/>
            <w:vAlign w:val="bottom"/>
            <w:hideMark/>
          </w:tcPr>
          <w:p w14:paraId="3408EE48"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0.12</w:t>
            </w:r>
          </w:p>
        </w:tc>
        <w:tc>
          <w:tcPr>
            <w:tcW w:w="1434" w:type="dxa"/>
            <w:tcBorders>
              <w:top w:val="nil"/>
              <w:left w:val="single" w:sz="4" w:space="0" w:color="auto"/>
              <w:bottom w:val="single" w:sz="4" w:space="0" w:color="auto"/>
              <w:right w:val="single" w:sz="4" w:space="0" w:color="auto"/>
            </w:tcBorders>
            <w:noWrap/>
            <w:vAlign w:val="bottom"/>
            <w:hideMark/>
          </w:tcPr>
          <w:p w14:paraId="55AA089C"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0.06*</w:t>
            </w:r>
          </w:p>
        </w:tc>
        <w:tc>
          <w:tcPr>
            <w:tcW w:w="1439" w:type="dxa"/>
            <w:tcBorders>
              <w:top w:val="nil"/>
              <w:left w:val="nil"/>
              <w:bottom w:val="single" w:sz="4" w:space="0" w:color="auto"/>
              <w:right w:val="single" w:sz="4" w:space="0" w:color="auto"/>
            </w:tcBorders>
            <w:shd w:val="clear" w:color="auto" w:fill="F2F2F2" w:themeFill="background1" w:themeFillShade="F2"/>
            <w:noWrap/>
            <w:vAlign w:val="bottom"/>
            <w:hideMark/>
          </w:tcPr>
          <w:p w14:paraId="77193B4F"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0.05**</w:t>
            </w:r>
          </w:p>
        </w:tc>
      </w:tr>
      <w:tr w:rsidR="00161EDB" w:rsidRPr="000E14BA" w14:paraId="664EF07D" w14:textId="77777777" w:rsidTr="00161EDB">
        <w:trPr>
          <w:gridAfter w:val="1"/>
          <w:wAfter w:w="14" w:type="dxa"/>
          <w:trHeight w:val="206"/>
        </w:trPr>
        <w:tc>
          <w:tcPr>
            <w:tcW w:w="993" w:type="dxa"/>
            <w:tcBorders>
              <w:top w:val="single" w:sz="4" w:space="0" w:color="auto"/>
              <w:left w:val="single" w:sz="4" w:space="0" w:color="auto"/>
              <w:bottom w:val="nil"/>
              <w:right w:val="nil"/>
            </w:tcBorders>
            <w:noWrap/>
            <w:vAlign w:val="bottom"/>
            <w:hideMark/>
          </w:tcPr>
          <w:p w14:paraId="4AD3469D" w14:textId="5EA8C2B2"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TOT</w:t>
            </w:r>
            <w:r w:rsidR="008F3E21">
              <w:rPr>
                <w:rFonts w:ascii="Times New Roman" w:eastAsia="Times New Roman" w:hAnsi="Times New Roman" w:cs="Times New Roman"/>
                <w:color w:val="000000"/>
                <w:kern w:val="0"/>
                <w:sz w:val="16"/>
                <w:szCs w:val="16"/>
                <w:lang w:eastAsia="en-GB"/>
                <w14:ligatures w14:val="none"/>
              </w:rPr>
              <w:t>AL</w:t>
            </w:r>
          </w:p>
        </w:tc>
        <w:tc>
          <w:tcPr>
            <w:tcW w:w="993" w:type="dxa"/>
            <w:tcBorders>
              <w:top w:val="single" w:sz="4" w:space="0" w:color="auto"/>
              <w:left w:val="single" w:sz="4" w:space="0" w:color="auto"/>
              <w:bottom w:val="nil"/>
              <w:right w:val="single" w:sz="4" w:space="0" w:color="auto"/>
            </w:tcBorders>
            <w:noWrap/>
            <w:vAlign w:val="bottom"/>
            <w:hideMark/>
          </w:tcPr>
          <w:p w14:paraId="2648D326"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ECO</w:t>
            </w:r>
          </w:p>
        </w:tc>
        <w:tc>
          <w:tcPr>
            <w:tcW w:w="702" w:type="dxa"/>
            <w:tcBorders>
              <w:top w:val="single" w:sz="4" w:space="0" w:color="auto"/>
              <w:left w:val="single" w:sz="4" w:space="0" w:color="auto"/>
              <w:bottom w:val="nil"/>
              <w:right w:val="nil"/>
            </w:tcBorders>
            <w:noWrap/>
            <w:vAlign w:val="bottom"/>
            <w:hideMark/>
          </w:tcPr>
          <w:p w14:paraId="52D911AD"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211</w:t>
            </w:r>
          </w:p>
        </w:tc>
        <w:tc>
          <w:tcPr>
            <w:tcW w:w="999" w:type="dxa"/>
            <w:tcBorders>
              <w:top w:val="single" w:sz="4" w:space="0" w:color="auto"/>
              <w:left w:val="single" w:sz="4" w:space="0" w:color="auto"/>
              <w:bottom w:val="nil"/>
              <w:right w:val="single" w:sz="4" w:space="0" w:color="auto"/>
            </w:tcBorders>
            <w:noWrap/>
            <w:vAlign w:val="bottom"/>
            <w:hideMark/>
          </w:tcPr>
          <w:p w14:paraId="6C87EE84"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209</w:t>
            </w:r>
          </w:p>
        </w:tc>
        <w:tc>
          <w:tcPr>
            <w:tcW w:w="1134" w:type="dxa"/>
            <w:tcBorders>
              <w:top w:val="nil"/>
              <w:left w:val="nil"/>
              <w:bottom w:val="nil"/>
              <w:right w:val="nil"/>
            </w:tcBorders>
            <w:noWrap/>
            <w:vAlign w:val="bottom"/>
            <w:hideMark/>
          </w:tcPr>
          <w:p w14:paraId="35D62189"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204</w:t>
            </w:r>
          </w:p>
        </w:tc>
        <w:tc>
          <w:tcPr>
            <w:tcW w:w="1060" w:type="dxa"/>
            <w:tcBorders>
              <w:top w:val="single" w:sz="4" w:space="0" w:color="auto"/>
              <w:left w:val="single" w:sz="4" w:space="0" w:color="auto"/>
              <w:bottom w:val="nil"/>
              <w:right w:val="single" w:sz="4" w:space="0" w:color="auto"/>
            </w:tcBorders>
            <w:noWrap/>
            <w:vAlign w:val="bottom"/>
            <w:hideMark/>
          </w:tcPr>
          <w:p w14:paraId="72D147AD"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285</w:t>
            </w:r>
          </w:p>
        </w:tc>
        <w:tc>
          <w:tcPr>
            <w:tcW w:w="1200" w:type="dxa"/>
            <w:tcBorders>
              <w:top w:val="nil"/>
              <w:left w:val="nil"/>
              <w:bottom w:val="nil"/>
              <w:right w:val="nil"/>
            </w:tcBorders>
            <w:noWrap/>
            <w:vAlign w:val="bottom"/>
            <w:hideMark/>
          </w:tcPr>
          <w:p w14:paraId="61B7BFEA"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302</w:t>
            </w:r>
          </w:p>
        </w:tc>
        <w:tc>
          <w:tcPr>
            <w:tcW w:w="1200" w:type="dxa"/>
            <w:tcBorders>
              <w:top w:val="single" w:sz="4" w:space="0" w:color="auto"/>
              <w:left w:val="single" w:sz="4" w:space="0" w:color="auto"/>
              <w:bottom w:val="nil"/>
              <w:right w:val="single" w:sz="4" w:space="0" w:color="auto"/>
            </w:tcBorders>
            <w:noWrap/>
            <w:vAlign w:val="bottom"/>
            <w:hideMark/>
          </w:tcPr>
          <w:p w14:paraId="614A6ED0"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327</w:t>
            </w:r>
          </w:p>
        </w:tc>
        <w:tc>
          <w:tcPr>
            <w:tcW w:w="1200" w:type="dxa"/>
            <w:tcBorders>
              <w:top w:val="nil"/>
              <w:left w:val="nil"/>
              <w:bottom w:val="nil"/>
              <w:right w:val="nil"/>
            </w:tcBorders>
            <w:noWrap/>
            <w:vAlign w:val="bottom"/>
            <w:hideMark/>
          </w:tcPr>
          <w:p w14:paraId="7F8A1699"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347</w:t>
            </w:r>
          </w:p>
        </w:tc>
        <w:tc>
          <w:tcPr>
            <w:tcW w:w="1355" w:type="dxa"/>
            <w:tcBorders>
              <w:top w:val="single" w:sz="4" w:space="0" w:color="auto"/>
              <w:left w:val="single" w:sz="4" w:space="0" w:color="auto"/>
              <w:bottom w:val="nil"/>
              <w:right w:val="single" w:sz="4" w:space="0" w:color="auto"/>
            </w:tcBorders>
            <w:noWrap/>
            <w:vAlign w:val="bottom"/>
            <w:hideMark/>
          </w:tcPr>
          <w:p w14:paraId="6F91E124"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317</w:t>
            </w:r>
          </w:p>
        </w:tc>
        <w:tc>
          <w:tcPr>
            <w:tcW w:w="1434" w:type="dxa"/>
            <w:tcBorders>
              <w:top w:val="nil"/>
              <w:left w:val="nil"/>
              <w:bottom w:val="nil"/>
              <w:right w:val="nil"/>
            </w:tcBorders>
            <w:shd w:val="clear" w:color="auto" w:fill="F2F2F2" w:themeFill="background1" w:themeFillShade="F2"/>
            <w:noWrap/>
            <w:vAlign w:val="bottom"/>
            <w:hideMark/>
          </w:tcPr>
          <w:p w14:paraId="4A772221"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442</w:t>
            </w:r>
          </w:p>
        </w:tc>
        <w:tc>
          <w:tcPr>
            <w:tcW w:w="1434" w:type="dxa"/>
            <w:tcBorders>
              <w:top w:val="single" w:sz="4" w:space="0" w:color="auto"/>
              <w:left w:val="single" w:sz="4" w:space="0" w:color="auto"/>
              <w:bottom w:val="nil"/>
              <w:right w:val="single" w:sz="4" w:space="0" w:color="auto"/>
            </w:tcBorders>
            <w:shd w:val="clear" w:color="auto" w:fill="F2F2F2" w:themeFill="background1" w:themeFillShade="F2"/>
            <w:noWrap/>
            <w:vAlign w:val="bottom"/>
            <w:hideMark/>
          </w:tcPr>
          <w:p w14:paraId="57653629"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480</w:t>
            </w:r>
          </w:p>
        </w:tc>
        <w:tc>
          <w:tcPr>
            <w:tcW w:w="1439" w:type="dxa"/>
            <w:tcBorders>
              <w:top w:val="nil"/>
              <w:left w:val="nil"/>
              <w:bottom w:val="nil"/>
              <w:right w:val="single" w:sz="4" w:space="0" w:color="auto"/>
            </w:tcBorders>
            <w:shd w:val="clear" w:color="auto" w:fill="F2F2F2" w:themeFill="background1" w:themeFillShade="F2"/>
            <w:noWrap/>
            <w:vAlign w:val="bottom"/>
            <w:hideMark/>
          </w:tcPr>
          <w:p w14:paraId="60DBAB7E"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549</w:t>
            </w:r>
          </w:p>
        </w:tc>
      </w:tr>
      <w:tr w:rsidR="00161EDB" w:rsidRPr="000E14BA" w14:paraId="11265774"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7D6CE4F1"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Diff</w:t>
            </w:r>
          </w:p>
        </w:tc>
        <w:tc>
          <w:tcPr>
            <w:tcW w:w="993" w:type="dxa"/>
            <w:tcBorders>
              <w:top w:val="nil"/>
              <w:left w:val="single" w:sz="4" w:space="0" w:color="auto"/>
              <w:bottom w:val="nil"/>
              <w:right w:val="single" w:sz="4" w:space="0" w:color="auto"/>
            </w:tcBorders>
            <w:noWrap/>
            <w:vAlign w:val="bottom"/>
            <w:hideMark/>
          </w:tcPr>
          <w:p w14:paraId="5597E337"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nil"/>
              <w:right w:val="nil"/>
            </w:tcBorders>
            <w:noWrap/>
            <w:vAlign w:val="bottom"/>
            <w:hideMark/>
          </w:tcPr>
          <w:p w14:paraId="3EF4A3F3"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nil"/>
              <w:right w:val="single" w:sz="4" w:space="0" w:color="auto"/>
            </w:tcBorders>
            <w:noWrap/>
            <w:vAlign w:val="bottom"/>
            <w:hideMark/>
          </w:tcPr>
          <w:p w14:paraId="4A427B7E"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w:t>
            </w:r>
          </w:p>
        </w:tc>
        <w:tc>
          <w:tcPr>
            <w:tcW w:w="1134" w:type="dxa"/>
            <w:tcBorders>
              <w:top w:val="nil"/>
              <w:left w:val="nil"/>
              <w:bottom w:val="nil"/>
              <w:right w:val="nil"/>
            </w:tcBorders>
            <w:noWrap/>
            <w:vAlign w:val="bottom"/>
            <w:hideMark/>
          </w:tcPr>
          <w:p w14:paraId="73885EEC"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-7</w:t>
            </w:r>
          </w:p>
        </w:tc>
        <w:tc>
          <w:tcPr>
            <w:tcW w:w="1060" w:type="dxa"/>
            <w:tcBorders>
              <w:top w:val="nil"/>
              <w:left w:val="single" w:sz="4" w:space="0" w:color="auto"/>
              <w:bottom w:val="nil"/>
              <w:right w:val="single" w:sz="4" w:space="0" w:color="auto"/>
            </w:tcBorders>
            <w:noWrap/>
            <w:vAlign w:val="bottom"/>
            <w:hideMark/>
          </w:tcPr>
          <w:p w14:paraId="51AE6EE2"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74</w:t>
            </w:r>
          </w:p>
        </w:tc>
        <w:tc>
          <w:tcPr>
            <w:tcW w:w="1200" w:type="dxa"/>
            <w:tcBorders>
              <w:top w:val="nil"/>
              <w:left w:val="nil"/>
              <w:bottom w:val="nil"/>
              <w:right w:val="nil"/>
            </w:tcBorders>
            <w:noWrap/>
            <w:vAlign w:val="bottom"/>
            <w:hideMark/>
          </w:tcPr>
          <w:p w14:paraId="2BE0A45A"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91</w:t>
            </w:r>
          </w:p>
        </w:tc>
        <w:tc>
          <w:tcPr>
            <w:tcW w:w="1200" w:type="dxa"/>
            <w:tcBorders>
              <w:top w:val="nil"/>
              <w:left w:val="single" w:sz="4" w:space="0" w:color="auto"/>
              <w:bottom w:val="nil"/>
              <w:right w:val="single" w:sz="4" w:space="0" w:color="auto"/>
            </w:tcBorders>
            <w:noWrap/>
            <w:vAlign w:val="bottom"/>
            <w:hideMark/>
          </w:tcPr>
          <w:p w14:paraId="640DD8C6"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116</w:t>
            </w:r>
          </w:p>
        </w:tc>
        <w:tc>
          <w:tcPr>
            <w:tcW w:w="1200" w:type="dxa"/>
            <w:tcBorders>
              <w:top w:val="nil"/>
              <w:left w:val="nil"/>
              <w:bottom w:val="nil"/>
              <w:right w:val="nil"/>
            </w:tcBorders>
            <w:noWrap/>
            <w:vAlign w:val="bottom"/>
            <w:hideMark/>
          </w:tcPr>
          <w:p w14:paraId="02421A18"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136</w:t>
            </w:r>
          </w:p>
        </w:tc>
        <w:tc>
          <w:tcPr>
            <w:tcW w:w="1355" w:type="dxa"/>
            <w:tcBorders>
              <w:top w:val="nil"/>
              <w:left w:val="single" w:sz="4" w:space="0" w:color="auto"/>
              <w:bottom w:val="nil"/>
              <w:right w:val="single" w:sz="4" w:space="0" w:color="auto"/>
            </w:tcBorders>
            <w:noWrap/>
            <w:vAlign w:val="bottom"/>
            <w:hideMark/>
          </w:tcPr>
          <w:p w14:paraId="3CEFCF5B"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106</w:t>
            </w:r>
          </w:p>
        </w:tc>
        <w:tc>
          <w:tcPr>
            <w:tcW w:w="1434" w:type="dxa"/>
            <w:tcBorders>
              <w:top w:val="nil"/>
              <w:left w:val="nil"/>
              <w:bottom w:val="nil"/>
              <w:right w:val="nil"/>
            </w:tcBorders>
            <w:shd w:val="clear" w:color="auto" w:fill="F2F2F2" w:themeFill="background1" w:themeFillShade="F2"/>
            <w:noWrap/>
            <w:vAlign w:val="bottom"/>
            <w:hideMark/>
          </w:tcPr>
          <w:p w14:paraId="56F29839"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231</w:t>
            </w:r>
          </w:p>
        </w:tc>
        <w:tc>
          <w:tcPr>
            <w:tcW w:w="1434" w:type="dxa"/>
            <w:tcBorders>
              <w:top w:val="nil"/>
              <w:left w:val="single" w:sz="4" w:space="0" w:color="auto"/>
              <w:bottom w:val="nil"/>
              <w:right w:val="single" w:sz="4" w:space="0" w:color="auto"/>
            </w:tcBorders>
            <w:shd w:val="clear" w:color="auto" w:fill="F2F2F2" w:themeFill="background1" w:themeFillShade="F2"/>
            <w:noWrap/>
            <w:vAlign w:val="bottom"/>
            <w:hideMark/>
          </w:tcPr>
          <w:p w14:paraId="33C69C19"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269</w:t>
            </w:r>
          </w:p>
        </w:tc>
        <w:tc>
          <w:tcPr>
            <w:tcW w:w="1439" w:type="dxa"/>
            <w:tcBorders>
              <w:top w:val="nil"/>
              <w:left w:val="nil"/>
              <w:bottom w:val="nil"/>
              <w:right w:val="single" w:sz="4" w:space="0" w:color="auto"/>
            </w:tcBorders>
            <w:shd w:val="clear" w:color="auto" w:fill="F2F2F2" w:themeFill="background1" w:themeFillShade="F2"/>
            <w:noWrap/>
            <w:vAlign w:val="bottom"/>
            <w:hideMark/>
          </w:tcPr>
          <w:p w14:paraId="655F394E"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338</w:t>
            </w:r>
          </w:p>
        </w:tc>
      </w:tr>
      <w:tr w:rsidR="00161EDB" w:rsidRPr="000E14BA" w14:paraId="7F12932D"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06F5C91F"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P-Val</w:t>
            </w:r>
          </w:p>
        </w:tc>
        <w:tc>
          <w:tcPr>
            <w:tcW w:w="993" w:type="dxa"/>
            <w:tcBorders>
              <w:top w:val="nil"/>
              <w:left w:val="single" w:sz="4" w:space="0" w:color="auto"/>
              <w:bottom w:val="nil"/>
              <w:right w:val="single" w:sz="4" w:space="0" w:color="auto"/>
            </w:tcBorders>
            <w:noWrap/>
            <w:vAlign w:val="bottom"/>
            <w:hideMark/>
          </w:tcPr>
          <w:p w14:paraId="1E3164C8"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nil"/>
              <w:right w:val="nil"/>
            </w:tcBorders>
            <w:noWrap/>
            <w:vAlign w:val="bottom"/>
            <w:hideMark/>
          </w:tcPr>
          <w:p w14:paraId="67F4212C"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nil"/>
              <w:right w:val="single" w:sz="4" w:space="0" w:color="auto"/>
            </w:tcBorders>
            <w:noWrap/>
            <w:vAlign w:val="bottom"/>
            <w:hideMark/>
          </w:tcPr>
          <w:p w14:paraId="1BA990FE"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0.54</w:t>
            </w:r>
          </w:p>
        </w:tc>
        <w:tc>
          <w:tcPr>
            <w:tcW w:w="1134" w:type="dxa"/>
            <w:tcBorders>
              <w:top w:val="nil"/>
              <w:left w:val="nil"/>
              <w:bottom w:val="nil"/>
              <w:right w:val="nil"/>
            </w:tcBorders>
            <w:noWrap/>
            <w:vAlign w:val="bottom"/>
            <w:hideMark/>
          </w:tcPr>
          <w:p w14:paraId="532C2B5A"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0.51</w:t>
            </w:r>
          </w:p>
        </w:tc>
        <w:tc>
          <w:tcPr>
            <w:tcW w:w="1060" w:type="dxa"/>
            <w:tcBorders>
              <w:top w:val="nil"/>
              <w:left w:val="single" w:sz="4" w:space="0" w:color="auto"/>
              <w:bottom w:val="nil"/>
              <w:right w:val="single" w:sz="4" w:space="0" w:color="auto"/>
            </w:tcBorders>
            <w:noWrap/>
            <w:vAlign w:val="bottom"/>
            <w:hideMark/>
          </w:tcPr>
          <w:p w14:paraId="6087F5AF"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0.32</w:t>
            </w:r>
          </w:p>
        </w:tc>
        <w:tc>
          <w:tcPr>
            <w:tcW w:w="1200" w:type="dxa"/>
            <w:tcBorders>
              <w:top w:val="nil"/>
              <w:left w:val="nil"/>
              <w:bottom w:val="nil"/>
              <w:right w:val="nil"/>
            </w:tcBorders>
            <w:noWrap/>
            <w:vAlign w:val="bottom"/>
            <w:hideMark/>
          </w:tcPr>
          <w:p w14:paraId="5AE91A2E"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0.27</w:t>
            </w:r>
          </w:p>
        </w:tc>
        <w:tc>
          <w:tcPr>
            <w:tcW w:w="1200" w:type="dxa"/>
            <w:tcBorders>
              <w:top w:val="nil"/>
              <w:left w:val="single" w:sz="4" w:space="0" w:color="auto"/>
              <w:bottom w:val="nil"/>
              <w:right w:val="single" w:sz="4" w:space="0" w:color="auto"/>
            </w:tcBorders>
            <w:noWrap/>
            <w:vAlign w:val="bottom"/>
            <w:hideMark/>
          </w:tcPr>
          <w:p w14:paraId="3B9E4E39"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0.25</w:t>
            </w:r>
          </w:p>
        </w:tc>
        <w:tc>
          <w:tcPr>
            <w:tcW w:w="1200" w:type="dxa"/>
            <w:tcBorders>
              <w:top w:val="nil"/>
              <w:left w:val="nil"/>
              <w:bottom w:val="nil"/>
              <w:right w:val="nil"/>
            </w:tcBorders>
            <w:noWrap/>
            <w:vAlign w:val="bottom"/>
            <w:hideMark/>
          </w:tcPr>
          <w:p w14:paraId="432BAFAE"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0.16</w:t>
            </w:r>
          </w:p>
        </w:tc>
        <w:tc>
          <w:tcPr>
            <w:tcW w:w="1355" w:type="dxa"/>
            <w:tcBorders>
              <w:top w:val="nil"/>
              <w:left w:val="single" w:sz="4" w:space="0" w:color="auto"/>
              <w:bottom w:val="nil"/>
              <w:right w:val="single" w:sz="4" w:space="0" w:color="auto"/>
            </w:tcBorders>
            <w:noWrap/>
            <w:vAlign w:val="bottom"/>
            <w:hideMark/>
          </w:tcPr>
          <w:p w14:paraId="7DFF9148"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0.18</w:t>
            </w:r>
          </w:p>
        </w:tc>
        <w:tc>
          <w:tcPr>
            <w:tcW w:w="1434" w:type="dxa"/>
            <w:tcBorders>
              <w:top w:val="nil"/>
              <w:left w:val="nil"/>
              <w:bottom w:val="nil"/>
              <w:right w:val="nil"/>
            </w:tcBorders>
            <w:shd w:val="clear" w:color="auto" w:fill="F2F2F2" w:themeFill="background1" w:themeFillShade="F2"/>
            <w:noWrap/>
            <w:vAlign w:val="bottom"/>
            <w:hideMark/>
          </w:tcPr>
          <w:p w14:paraId="507566A6"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0.03**</w:t>
            </w:r>
          </w:p>
        </w:tc>
        <w:tc>
          <w:tcPr>
            <w:tcW w:w="1434" w:type="dxa"/>
            <w:tcBorders>
              <w:top w:val="nil"/>
              <w:left w:val="single" w:sz="4" w:space="0" w:color="auto"/>
              <w:bottom w:val="nil"/>
              <w:right w:val="single" w:sz="4" w:space="0" w:color="auto"/>
            </w:tcBorders>
            <w:shd w:val="clear" w:color="auto" w:fill="F2F2F2" w:themeFill="background1" w:themeFillShade="F2"/>
            <w:noWrap/>
            <w:vAlign w:val="bottom"/>
            <w:hideMark/>
          </w:tcPr>
          <w:p w14:paraId="42EFD2EF"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0.01***</w:t>
            </w:r>
          </w:p>
        </w:tc>
        <w:tc>
          <w:tcPr>
            <w:tcW w:w="1439" w:type="dxa"/>
            <w:tcBorders>
              <w:top w:val="nil"/>
              <w:left w:val="nil"/>
              <w:bottom w:val="nil"/>
              <w:right w:val="single" w:sz="4" w:space="0" w:color="auto"/>
            </w:tcBorders>
            <w:shd w:val="clear" w:color="auto" w:fill="F2F2F2" w:themeFill="background1" w:themeFillShade="F2"/>
            <w:noWrap/>
            <w:vAlign w:val="bottom"/>
            <w:hideMark/>
          </w:tcPr>
          <w:p w14:paraId="057BF27F"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0.00***</w:t>
            </w:r>
          </w:p>
        </w:tc>
      </w:tr>
      <w:tr w:rsidR="00161EDB" w:rsidRPr="000E14BA" w14:paraId="153050C0" w14:textId="77777777" w:rsidTr="00161EDB">
        <w:trPr>
          <w:gridAfter w:val="1"/>
          <w:wAfter w:w="14" w:type="dxa"/>
          <w:trHeight w:val="206"/>
        </w:trPr>
        <w:tc>
          <w:tcPr>
            <w:tcW w:w="993" w:type="dxa"/>
            <w:tcBorders>
              <w:top w:val="single" w:sz="4" w:space="0" w:color="auto"/>
              <w:left w:val="single" w:sz="4" w:space="0" w:color="auto"/>
              <w:bottom w:val="nil"/>
              <w:right w:val="nil"/>
            </w:tcBorders>
            <w:noWrap/>
            <w:vAlign w:val="bottom"/>
            <w:hideMark/>
          </w:tcPr>
          <w:p w14:paraId="06A52986" w14:textId="77777777" w:rsidR="00081488" w:rsidRPr="000E14BA" w:rsidRDefault="00081488" w:rsidP="00824FD7">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NAR</w:t>
            </w:r>
          </w:p>
        </w:tc>
        <w:tc>
          <w:tcPr>
            <w:tcW w:w="993" w:type="dxa"/>
            <w:tcBorders>
              <w:top w:val="single" w:sz="4" w:space="0" w:color="auto"/>
              <w:left w:val="single" w:sz="4" w:space="0" w:color="auto"/>
              <w:bottom w:val="nil"/>
              <w:right w:val="single" w:sz="4" w:space="0" w:color="auto"/>
            </w:tcBorders>
            <w:noWrap/>
            <w:vAlign w:val="bottom"/>
            <w:hideMark/>
          </w:tcPr>
          <w:p w14:paraId="0936BD0B"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ECO</w:t>
            </w:r>
          </w:p>
        </w:tc>
        <w:tc>
          <w:tcPr>
            <w:tcW w:w="702" w:type="dxa"/>
            <w:tcBorders>
              <w:top w:val="single" w:sz="4" w:space="0" w:color="auto"/>
              <w:left w:val="single" w:sz="4" w:space="0" w:color="auto"/>
              <w:bottom w:val="nil"/>
              <w:right w:val="nil"/>
            </w:tcBorders>
            <w:noWrap/>
            <w:vAlign w:val="bottom"/>
            <w:hideMark/>
          </w:tcPr>
          <w:p w14:paraId="13FF0DCA"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185</w:t>
            </w:r>
          </w:p>
        </w:tc>
        <w:tc>
          <w:tcPr>
            <w:tcW w:w="999" w:type="dxa"/>
            <w:tcBorders>
              <w:top w:val="single" w:sz="4" w:space="0" w:color="auto"/>
              <w:left w:val="single" w:sz="4" w:space="0" w:color="auto"/>
              <w:bottom w:val="nil"/>
              <w:right w:val="single" w:sz="4" w:space="0" w:color="auto"/>
            </w:tcBorders>
            <w:noWrap/>
            <w:vAlign w:val="bottom"/>
            <w:hideMark/>
          </w:tcPr>
          <w:p w14:paraId="3AC0BA1A"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184</w:t>
            </w:r>
          </w:p>
        </w:tc>
        <w:tc>
          <w:tcPr>
            <w:tcW w:w="1134" w:type="dxa"/>
            <w:tcBorders>
              <w:top w:val="single" w:sz="4" w:space="0" w:color="auto"/>
              <w:left w:val="nil"/>
              <w:bottom w:val="nil"/>
              <w:right w:val="nil"/>
            </w:tcBorders>
            <w:noWrap/>
            <w:vAlign w:val="bottom"/>
            <w:hideMark/>
          </w:tcPr>
          <w:p w14:paraId="0EB0485F"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175</w:t>
            </w:r>
          </w:p>
        </w:tc>
        <w:tc>
          <w:tcPr>
            <w:tcW w:w="1060" w:type="dxa"/>
            <w:tcBorders>
              <w:top w:val="single" w:sz="4" w:space="0" w:color="auto"/>
              <w:left w:val="single" w:sz="4" w:space="0" w:color="auto"/>
              <w:bottom w:val="nil"/>
              <w:right w:val="single" w:sz="4" w:space="0" w:color="auto"/>
            </w:tcBorders>
            <w:noWrap/>
            <w:vAlign w:val="bottom"/>
            <w:hideMark/>
          </w:tcPr>
          <w:p w14:paraId="1BD51E95"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245</w:t>
            </w:r>
          </w:p>
        </w:tc>
        <w:tc>
          <w:tcPr>
            <w:tcW w:w="1200" w:type="dxa"/>
            <w:tcBorders>
              <w:top w:val="single" w:sz="4" w:space="0" w:color="auto"/>
              <w:left w:val="nil"/>
              <w:bottom w:val="nil"/>
              <w:right w:val="nil"/>
            </w:tcBorders>
            <w:noWrap/>
            <w:vAlign w:val="bottom"/>
            <w:hideMark/>
          </w:tcPr>
          <w:p w14:paraId="5A030B33"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267</w:t>
            </w:r>
          </w:p>
        </w:tc>
        <w:tc>
          <w:tcPr>
            <w:tcW w:w="1200" w:type="dxa"/>
            <w:tcBorders>
              <w:top w:val="single" w:sz="4" w:space="0" w:color="auto"/>
              <w:left w:val="single" w:sz="4" w:space="0" w:color="auto"/>
              <w:bottom w:val="nil"/>
              <w:right w:val="single" w:sz="4" w:space="0" w:color="auto"/>
            </w:tcBorders>
            <w:noWrap/>
            <w:vAlign w:val="bottom"/>
            <w:hideMark/>
          </w:tcPr>
          <w:p w14:paraId="41D191E6"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284</w:t>
            </w:r>
          </w:p>
        </w:tc>
        <w:tc>
          <w:tcPr>
            <w:tcW w:w="1200" w:type="dxa"/>
            <w:tcBorders>
              <w:top w:val="single" w:sz="4" w:space="0" w:color="auto"/>
              <w:left w:val="nil"/>
              <w:bottom w:val="nil"/>
              <w:right w:val="nil"/>
            </w:tcBorders>
            <w:noWrap/>
            <w:vAlign w:val="bottom"/>
            <w:hideMark/>
          </w:tcPr>
          <w:p w14:paraId="1FD6ED63"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308</w:t>
            </w:r>
          </w:p>
        </w:tc>
        <w:tc>
          <w:tcPr>
            <w:tcW w:w="1355" w:type="dxa"/>
            <w:tcBorders>
              <w:top w:val="single" w:sz="4" w:space="0" w:color="auto"/>
              <w:left w:val="single" w:sz="4" w:space="0" w:color="auto"/>
              <w:bottom w:val="nil"/>
              <w:right w:val="single" w:sz="4" w:space="0" w:color="auto"/>
            </w:tcBorders>
            <w:noWrap/>
            <w:vAlign w:val="bottom"/>
            <w:hideMark/>
          </w:tcPr>
          <w:p w14:paraId="135DB7B9"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278</w:t>
            </w:r>
          </w:p>
        </w:tc>
        <w:tc>
          <w:tcPr>
            <w:tcW w:w="1434" w:type="dxa"/>
            <w:tcBorders>
              <w:top w:val="single" w:sz="4" w:space="0" w:color="auto"/>
              <w:left w:val="nil"/>
              <w:bottom w:val="nil"/>
              <w:right w:val="nil"/>
            </w:tcBorders>
            <w:shd w:val="clear" w:color="auto" w:fill="F2F2F2" w:themeFill="background1" w:themeFillShade="F2"/>
            <w:noWrap/>
            <w:vAlign w:val="bottom"/>
            <w:hideMark/>
          </w:tcPr>
          <w:p w14:paraId="0D5DF5FF"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390</w:t>
            </w:r>
          </w:p>
        </w:tc>
        <w:tc>
          <w:tcPr>
            <w:tcW w:w="1434" w:type="dxa"/>
            <w:tcBorders>
              <w:top w:val="single" w:sz="4" w:space="0" w:color="auto"/>
              <w:left w:val="single" w:sz="4" w:space="0" w:color="auto"/>
              <w:bottom w:val="nil"/>
              <w:right w:val="single" w:sz="4" w:space="0" w:color="auto"/>
            </w:tcBorders>
            <w:shd w:val="clear" w:color="auto" w:fill="F2F2F2" w:themeFill="background1" w:themeFillShade="F2"/>
            <w:noWrap/>
            <w:vAlign w:val="bottom"/>
            <w:hideMark/>
          </w:tcPr>
          <w:p w14:paraId="68B2FD8B"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431</w:t>
            </w:r>
          </w:p>
        </w:tc>
        <w:tc>
          <w:tcPr>
            <w:tcW w:w="1439" w:type="dxa"/>
            <w:tcBorders>
              <w:top w:val="single" w:sz="4" w:space="0" w:color="auto"/>
              <w:left w:val="nil"/>
              <w:bottom w:val="nil"/>
              <w:right w:val="single" w:sz="4" w:space="0" w:color="auto"/>
            </w:tcBorders>
            <w:shd w:val="clear" w:color="auto" w:fill="F2F2F2" w:themeFill="background1" w:themeFillShade="F2"/>
            <w:noWrap/>
            <w:vAlign w:val="bottom"/>
            <w:hideMark/>
          </w:tcPr>
          <w:p w14:paraId="35B5A965"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502</w:t>
            </w:r>
          </w:p>
        </w:tc>
      </w:tr>
      <w:tr w:rsidR="00161EDB" w:rsidRPr="000E14BA" w14:paraId="373B4045"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79968D0B"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Diff</w:t>
            </w:r>
          </w:p>
        </w:tc>
        <w:tc>
          <w:tcPr>
            <w:tcW w:w="993" w:type="dxa"/>
            <w:tcBorders>
              <w:top w:val="nil"/>
              <w:left w:val="single" w:sz="4" w:space="0" w:color="auto"/>
              <w:bottom w:val="nil"/>
              <w:right w:val="single" w:sz="4" w:space="0" w:color="auto"/>
            </w:tcBorders>
            <w:noWrap/>
            <w:vAlign w:val="bottom"/>
            <w:hideMark/>
          </w:tcPr>
          <w:p w14:paraId="1FADE126"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nil"/>
              <w:right w:val="nil"/>
            </w:tcBorders>
            <w:noWrap/>
            <w:vAlign w:val="bottom"/>
            <w:hideMark/>
          </w:tcPr>
          <w:p w14:paraId="6CA335E9"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nil"/>
              <w:right w:val="single" w:sz="4" w:space="0" w:color="auto"/>
            </w:tcBorders>
            <w:noWrap/>
            <w:vAlign w:val="bottom"/>
            <w:hideMark/>
          </w:tcPr>
          <w:p w14:paraId="4C5813F2"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w:t>
            </w:r>
          </w:p>
        </w:tc>
        <w:tc>
          <w:tcPr>
            <w:tcW w:w="1134" w:type="dxa"/>
            <w:tcBorders>
              <w:top w:val="nil"/>
              <w:left w:val="nil"/>
              <w:bottom w:val="nil"/>
              <w:right w:val="nil"/>
            </w:tcBorders>
            <w:noWrap/>
            <w:vAlign w:val="bottom"/>
            <w:hideMark/>
          </w:tcPr>
          <w:p w14:paraId="6A01FEC2"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-10</w:t>
            </w:r>
          </w:p>
        </w:tc>
        <w:tc>
          <w:tcPr>
            <w:tcW w:w="1060" w:type="dxa"/>
            <w:tcBorders>
              <w:top w:val="nil"/>
              <w:left w:val="single" w:sz="4" w:space="0" w:color="auto"/>
              <w:bottom w:val="nil"/>
              <w:right w:val="single" w:sz="4" w:space="0" w:color="auto"/>
            </w:tcBorders>
            <w:noWrap/>
            <w:vAlign w:val="bottom"/>
            <w:hideMark/>
          </w:tcPr>
          <w:p w14:paraId="69973C21"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60</w:t>
            </w:r>
          </w:p>
        </w:tc>
        <w:tc>
          <w:tcPr>
            <w:tcW w:w="1200" w:type="dxa"/>
            <w:tcBorders>
              <w:top w:val="nil"/>
              <w:left w:val="nil"/>
              <w:bottom w:val="nil"/>
              <w:right w:val="nil"/>
            </w:tcBorders>
            <w:noWrap/>
            <w:vAlign w:val="bottom"/>
            <w:hideMark/>
          </w:tcPr>
          <w:p w14:paraId="69EAAE27"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82</w:t>
            </w:r>
          </w:p>
        </w:tc>
        <w:tc>
          <w:tcPr>
            <w:tcW w:w="1200" w:type="dxa"/>
            <w:tcBorders>
              <w:top w:val="nil"/>
              <w:left w:val="single" w:sz="4" w:space="0" w:color="auto"/>
              <w:bottom w:val="nil"/>
              <w:right w:val="single" w:sz="4" w:space="0" w:color="auto"/>
            </w:tcBorders>
            <w:noWrap/>
            <w:vAlign w:val="bottom"/>
            <w:hideMark/>
          </w:tcPr>
          <w:p w14:paraId="6B280B25"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99</w:t>
            </w:r>
          </w:p>
        </w:tc>
        <w:tc>
          <w:tcPr>
            <w:tcW w:w="1200" w:type="dxa"/>
            <w:tcBorders>
              <w:top w:val="nil"/>
              <w:left w:val="nil"/>
              <w:bottom w:val="nil"/>
              <w:right w:val="nil"/>
            </w:tcBorders>
            <w:noWrap/>
            <w:vAlign w:val="bottom"/>
            <w:hideMark/>
          </w:tcPr>
          <w:p w14:paraId="7A4089BE"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123</w:t>
            </w:r>
          </w:p>
        </w:tc>
        <w:tc>
          <w:tcPr>
            <w:tcW w:w="1355" w:type="dxa"/>
            <w:tcBorders>
              <w:top w:val="nil"/>
              <w:left w:val="single" w:sz="4" w:space="0" w:color="auto"/>
              <w:bottom w:val="nil"/>
              <w:right w:val="single" w:sz="4" w:space="0" w:color="auto"/>
            </w:tcBorders>
            <w:noWrap/>
            <w:vAlign w:val="bottom"/>
            <w:hideMark/>
          </w:tcPr>
          <w:p w14:paraId="18F12F3E"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93</w:t>
            </w:r>
          </w:p>
        </w:tc>
        <w:tc>
          <w:tcPr>
            <w:tcW w:w="1434" w:type="dxa"/>
            <w:tcBorders>
              <w:top w:val="nil"/>
              <w:left w:val="nil"/>
              <w:bottom w:val="nil"/>
              <w:right w:val="nil"/>
            </w:tcBorders>
            <w:shd w:val="clear" w:color="auto" w:fill="F2F2F2" w:themeFill="background1" w:themeFillShade="F2"/>
            <w:noWrap/>
            <w:vAlign w:val="bottom"/>
            <w:hideMark/>
          </w:tcPr>
          <w:p w14:paraId="77AE22AE"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205</w:t>
            </w:r>
          </w:p>
        </w:tc>
        <w:tc>
          <w:tcPr>
            <w:tcW w:w="1434" w:type="dxa"/>
            <w:tcBorders>
              <w:top w:val="nil"/>
              <w:left w:val="single" w:sz="4" w:space="0" w:color="auto"/>
              <w:bottom w:val="nil"/>
              <w:right w:val="single" w:sz="4" w:space="0" w:color="auto"/>
            </w:tcBorders>
            <w:shd w:val="clear" w:color="auto" w:fill="F2F2F2" w:themeFill="background1" w:themeFillShade="F2"/>
            <w:noWrap/>
            <w:vAlign w:val="bottom"/>
            <w:hideMark/>
          </w:tcPr>
          <w:p w14:paraId="6E756026"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246</w:t>
            </w:r>
          </w:p>
        </w:tc>
        <w:tc>
          <w:tcPr>
            <w:tcW w:w="1439" w:type="dxa"/>
            <w:tcBorders>
              <w:top w:val="nil"/>
              <w:left w:val="nil"/>
              <w:bottom w:val="nil"/>
              <w:right w:val="single" w:sz="4" w:space="0" w:color="auto"/>
            </w:tcBorders>
            <w:shd w:val="clear" w:color="auto" w:fill="F2F2F2" w:themeFill="background1" w:themeFillShade="F2"/>
            <w:noWrap/>
            <w:vAlign w:val="bottom"/>
            <w:hideMark/>
          </w:tcPr>
          <w:p w14:paraId="27F68439"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317</w:t>
            </w:r>
          </w:p>
        </w:tc>
      </w:tr>
      <w:tr w:rsidR="00161EDB" w:rsidRPr="000E14BA" w14:paraId="45008772" w14:textId="77777777" w:rsidTr="00161EDB">
        <w:trPr>
          <w:gridAfter w:val="1"/>
          <w:wAfter w:w="14" w:type="dxa"/>
          <w:trHeight w:val="206"/>
        </w:trPr>
        <w:tc>
          <w:tcPr>
            <w:tcW w:w="993" w:type="dxa"/>
            <w:tcBorders>
              <w:top w:val="nil"/>
              <w:left w:val="single" w:sz="4" w:space="0" w:color="auto"/>
              <w:bottom w:val="single" w:sz="4" w:space="0" w:color="auto"/>
              <w:right w:val="nil"/>
            </w:tcBorders>
            <w:noWrap/>
            <w:vAlign w:val="bottom"/>
            <w:hideMark/>
          </w:tcPr>
          <w:p w14:paraId="771D6E6E"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P-Val</w:t>
            </w:r>
          </w:p>
        </w:tc>
        <w:tc>
          <w:tcPr>
            <w:tcW w:w="993" w:type="dxa"/>
            <w:tcBorders>
              <w:top w:val="nil"/>
              <w:left w:val="single" w:sz="4" w:space="0" w:color="auto"/>
              <w:bottom w:val="single" w:sz="4" w:space="0" w:color="auto"/>
              <w:right w:val="single" w:sz="4" w:space="0" w:color="auto"/>
            </w:tcBorders>
            <w:noWrap/>
            <w:vAlign w:val="bottom"/>
            <w:hideMark/>
          </w:tcPr>
          <w:p w14:paraId="3F226A39"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single" w:sz="4" w:space="0" w:color="auto"/>
              <w:right w:val="nil"/>
            </w:tcBorders>
            <w:noWrap/>
            <w:vAlign w:val="bottom"/>
            <w:hideMark/>
          </w:tcPr>
          <w:p w14:paraId="2651D4B7"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single" w:sz="4" w:space="0" w:color="auto"/>
              <w:right w:val="single" w:sz="4" w:space="0" w:color="auto"/>
            </w:tcBorders>
            <w:noWrap/>
            <w:vAlign w:val="bottom"/>
            <w:hideMark/>
          </w:tcPr>
          <w:p w14:paraId="2C5A3950"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0.49</w:t>
            </w:r>
          </w:p>
        </w:tc>
        <w:tc>
          <w:tcPr>
            <w:tcW w:w="1134" w:type="dxa"/>
            <w:tcBorders>
              <w:top w:val="nil"/>
              <w:left w:val="nil"/>
              <w:bottom w:val="single" w:sz="4" w:space="0" w:color="auto"/>
              <w:right w:val="nil"/>
            </w:tcBorders>
            <w:noWrap/>
            <w:vAlign w:val="bottom"/>
            <w:hideMark/>
          </w:tcPr>
          <w:p w14:paraId="1C557AD2"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0.41</w:t>
            </w:r>
          </w:p>
        </w:tc>
        <w:tc>
          <w:tcPr>
            <w:tcW w:w="1060" w:type="dxa"/>
            <w:tcBorders>
              <w:top w:val="nil"/>
              <w:left w:val="single" w:sz="4" w:space="0" w:color="auto"/>
              <w:bottom w:val="single" w:sz="4" w:space="0" w:color="auto"/>
              <w:right w:val="single" w:sz="4" w:space="0" w:color="auto"/>
            </w:tcBorders>
            <w:noWrap/>
            <w:vAlign w:val="bottom"/>
            <w:hideMark/>
          </w:tcPr>
          <w:p w14:paraId="16558C14"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0.29</w:t>
            </w:r>
          </w:p>
        </w:tc>
        <w:tc>
          <w:tcPr>
            <w:tcW w:w="1200" w:type="dxa"/>
            <w:tcBorders>
              <w:top w:val="nil"/>
              <w:left w:val="nil"/>
              <w:bottom w:val="single" w:sz="4" w:space="0" w:color="auto"/>
              <w:right w:val="nil"/>
            </w:tcBorders>
            <w:noWrap/>
            <w:vAlign w:val="bottom"/>
            <w:hideMark/>
          </w:tcPr>
          <w:p w14:paraId="6AEBA12C"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0.25</w:t>
            </w:r>
          </w:p>
        </w:tc>
        <w:tc>
          <w:tcPr>
            <w:tcW w:w="1200" w:type="dxa"/>
            <w:tcBorders>
              <w:top w:val="nil"/>
              <w:left w:val="single" w:sz="4" w:space="0" w:color="auto"/>
              <w:bottom w:val="single" w:sz="4" w:space="0" w:color="auto"/>
              <w:right w:val="single" w:sz="4" w:space="0" w:color="auto"/>
            </w:tcBorders>
            <w:noWrap/>
            <w:vAlign w:val="bottom"/>
            <w:hideMark/>
          </w:tcPr>
          <w:p w14:paraId="6C9300E1"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0.17</w:t>
            </w:r>
          </w:p>
        </w:tc>
        <w:tc>
          <w:tcPr>
            <w:tcW w:w="1200" w:type="dxa"/>
            <w:tcBorders>
              <w:top w:val="nil"/>
              <w:left w:val="nil"/>
              <w:bottom w:val="single" w:sz="4" w:space="0" w:color="auto"/>
              <w:right w:val="nil"/>
            </w:tcBorders>
            <w:noWrap/>
            <w:vAlign w:val="bottom"/>
            <w:hideMark/>
          </w:tcPr>
          <w:p w14:paraId="5E95A728"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0.16</w:t>
            </w:r>
          </w:p>
        </w:tc>
        <w:tc>
          <w:tcPr>
            <w:tcW w:w="1355" w:type="dxa"/>
            <w:tcBorders>
              <w:top w:val="nil"/>
              <w:left w:val="single" w:sz="4" w:space="0" w:color="auto"/>
              <w:bottom w:val="single" w:sz="4" w:space="0" w:color="auto"/>
              <w:right w:val="single" w:sz="4" w:space="0" w:color="auto"/>
            </w:tcBorders>
            <w:noWrap/>
            <w:vAlign w:val="bottom"/>
            <w:hideMark/>
          </w:tcPr>
          <w:p w14:paraId="2E3A8745"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0.17</w:t>
            </w:r>
          </w:p>
        </w:tc>
        <w:tc>
          <w:tcPr>
            <w:tcW w:w="1434" w:type="dxa"/>
            <w:tcBorders>
              <w:top w:val="nil"/>
              <w:left w:val="nil"/>
              <w:bottom w:val="single" w:sz="4" w:space="0" w:color="auto"/>
              <w:right w:val="nil"/>
            </w:tcBorders>
            <w:shd w:val="clear" w:color="auto" w:fill="F2F2F2" w:themeFill="background1" w:themeFillShade="F2"/>
            <w:noWrap/>
            <w:vAlign w:val="bottom"/>
            <w:hideMark/>
          </w:tcPr>
          <w:p w14:paraId="16641E76"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0.04**</w:t>
            </w:r>
          </w:p>
        </w:tc>
        <w:tc>
          <w:tcPr>
            <w:tcW w:w="1434"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9F157C8"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0.01***</w:t>
            </w:r>
          </w:p>
        </w:tc>
        <w:tc>
          <w:tcPr>
            <w:tcW w:w="1439" w:type="dxa"/>
            <w:tcBorders>
              <w:top w:val="nil"/>
              <w:left w:val="nil"/>
              <w:bottom w:val="single" w:sz="4" w:space="0" w:color="auto"/>
              <w:right w:val="single" w:sz="4" w:space="0" w:color="auto"/>
            </w:tcBorders>
            <w:shd w:val="clear" w:color="auto" w:fill="F2F2F2" w:themeFill="background1" w:themeFillShade="F2"/>
            <w:noWrap/>
            <w:vAlign w:val="bottom"/>
            <w:hideMark/>
          </w:tcPr>
          <w:p w14:paraId="5AC14F00" w14:textId="77777777" w:rsidR="00081488" w:rsidRPr="000E14BA" w:rsidRDefault="00081488" w:rsidP="00F40AF1">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0.00***</w:t>
            </w:r>
          </w:p>
        </w:tc>
      </w:tr>
      <w:tr w:rsidR="00161EDB" w:rsidRPr="000E14BA" w14:paraId="149EDD66"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4058EF17"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NUM</w:t>
            </w:r>
          </w:p>
        </w:tc>
        <w:tc>
          <w:tcPr>
            <w:tcW w:w="993" w:type="dxa"/>
            <w:tcBorders>
              <w:top w:val="nil"/>
              <w:left w:val="single" w:sz="4" w:space="0" w:color="auto"/>
              <w:bottom w:val="nil"/>
              <w:right w:val="single" w:sz="4" w:space="0" w:color="auto"/>
            </w:tcBorders>
            <w:noWrap/>
            <w:vAlign w:val="bottom"/>
            <w:hideMark/>
          </w:tcPr>
          <w:p w14:paraId="2ED9148E"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ECO</w:t>
            </w:r>
          </w:p>
        </w:tc>
        <w:tc>
          <w:tcPr>
            <w:tcW w:w="702" w:type="dxa"/>
            <w:tcBorders>
              <w:top w:val="nil"/>
              <w:left w:val="nil"/>
              <w:bottom w:val="nil"/>
              <w:right w:val="nil"/>
            </w:tcBorders>
            <w:noWrap/>
            <w:vAlign w:val="bottom"/>
            <w:hideMark/>
          </w:tcPr>
          <w:p w14:paraId="58F66533"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26</w:t>
            </w:r>
          </w:p>
        </w:tc>
        <w:tc>
          <w:tcPr>
            <w:tcW w:w="999" w:type="dxa"/>
            <w:tcBorders>
              <w:top w:val="nil"/>
              <w:left w:val="single" w:sz="4" w:space="0" w:color="auto"/>
              <w:bottom w:val="nil"/>
              <w:right w:val="single" w:sz="4" w:space="0" w:color="auto"/>
            </w:tcBorders>
            <w:noWrap/>
            <w:vAlign w:val="bottom"/>
            <w:hideMark/>
          </w:tcPr>
          <w:p w14:paraId="7F9538A7"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28</w:t>
            </w:r>
          </w:p>
        </w:tc>
        <w:tc>
          <w:tcPr>
            <w:tcW w:w="1134" w:type="dxa"/>
            <w:tcBorders>
              <w:top w:val="nil"/>
              <w:left w:val="nil"/>
              <w:bottom w:val="nil"/>
              <w:right w:val="nil"/>
            </w:tcBorders>
            <w:noWrap/>
            <w:vAlign w:val="bottom"/>
            <w:hideMark/>
          </w:tcPr>
          <w:p w14:paraId="1AAB6AC9"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29</w:t>
            </w:r>
          </w:p>
        </w:tc>
        <w:tc>
          <w:tcPr>
            <w:tcW w:w="1060" w:type="dxa"/>
            <w:tcBorders>
              <w:top w:val="nil"/>
              <w:left w:val="single" w:sz="4" w:space="0" w:color="auto"/>
              <w:bottom w:val="nil"/>
              <w:right w:val="single" w:sz="4" w:space="0" w:color="auto"/>
            </w:tcBorders>
            <w:noWrap/>
            <w:vAlign w:val="bottom"/>
            <w:hideMark/>
          </w:tcPr>
          <w:p w14:paraId="3D2C6E45"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40</w:t>
            </w:r>
          </w:p>
        </w:tc>
        <w:tc>
          <w:tcPr>
            <w:tcW w:w="1200" w:type="dxa"/>
            <w:tcBorders>
              <w:top w:val="nil"/>
              <w:left w:val="nil"/>
              <w:bottom w:val="nil"/>
              <w:right w:val="nil"/>
            </w:tcBorders>
            <w:noWrap/>
            <w:vAlign w:val="bottom"/>
            <w:hideMark/>
          </w:tcPr>
          <w:p w14:paraId="6C8F3151"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35</w:t>
            </w:r>
          </w:p>
        </w:tc>
        <w:tc>
          <w:tcPr>
            <w:tcW w:w="1200" w:type="dxa"/>
            <w:tcBorders>
              <w:top w:val="nil"/>
              <w:left w:val="single" w:sz="4" w:space="0" w:color="auto"/>
              <w:bottom w:val="nil"/>
              <w:right w:val="single" w:sz="4" w:space="0" w:color="auto"/>
            </w:tcBorders>
            <w:noWrap/>
            <w:vAlign w:val="bottom"/>
            <w:hideMark/>
          </w:tcPr>
          <w:p w14:paraId="4C63F1FA"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43</w:t>
            </w:r>
          </w:p>
        </w:tc>
        <w:tc>
          <w:tcPr>
            <w:tcW w:w="1200" w:type="dxa"/>
            <w:tcBorders>
              <w:top w:val="nil"/>
              <w:left w:val="nil"/>
              <w:bottom w:val="nil"/>
              <w:right w:val="nil"/>
            </w:tcBorders>
            <w:noWrap/>
            <w:vAlign w:val="bottom"/>
            <w:hideMark/>
          </w:tcPr>
          <w:p w14:paraId="3146DFE9"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39</w:t>
            </w:r>
          </w:p>
        </w:tc>
        <w:tc>
          <w:tcPr>
            <w:tcW w:w="1355" w:type="dxa"/>
            <w:tcBorders>
              <w:top w:val="nil"/>
              <w:left w:val="single" w:sz="4" w:space="0" w:color="auto"/>
              <w:bottom w:val="nil"/>
              <w:right w:val="single" w:sz="4" w:space="0" w:color="auto"/>
            </w:tcBorders>
            <w:noWrap/>
            <w:vAlign w:val="bottom"/>
            <w:hideMark/>
          </w:tcPr>
          <w:p w14:paraId="0708AA31"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39</w:t>
            </w:r>
          </w:p>
        </w:tc>
        <w:tc>
          <w:tcPr>
            <w:tcW w:w="1434" w:type="dxa"/>
            <w:tcBorders>
              <w:top w:val="nil"/>
              <w:left w:val="nil"/>
              <w:bottom w:val="nil"/>
              <w:right w:val="nil"/>
            </w:tcBorders>
            <w:noWrap/>
            <w:vAlign w:val="bottom"/>
            <w:hideMark/>
          </w:tcPr>
          <w:p w14:paraId="7275C448"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52</w:t>
            </w:r>
          </w:p>
        </w:tc>
        <w:tc>
          <w:tcPr>
            <w:tcW w:w="1434" w:type="dxa"/>
            <w:tcBorders>
              <w:top w:val="nil"/>
              <w:left w:val="single" w:sz="4" w:space="0" w:color="auto"/>
              <w:bottom w:val="nil"/>
              <w:right w:val="single" w:sz="4" w:space="0" w:color="auto"/>
            </w:tcBorders>
            <w:noWrap/>
            <w:vAlign w:val="bottom"/>
            <w:hideMark/>
          </w:tcPr>
          <w:p w14:paraId="2AF7FDFC"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49</w:t>
            </w:r>
          </w:p>
        </w:tc>
        <w:tc>
          <w:tcPr>
            <w:tcW w:w="1439" w:type="dxa"/>
            <w:tcBorders>
              <w:top w:val="nil"/>
              <w:left w:val="nil"/>
              <w:bottom w:val="nil"/>
              <w:right w:val="single" w:sz="4" w:space="0" w:color="auto"/>
            </w:tcBorders>
            <w:noWrap/>
            <w:vAlign w:val="bottom"/>
            <w:hideMark/>
          </w:tcPr>
          <w:p w14:paraId="06D781E5"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47</w:t>
            </w:r>
          </w:p>
        </w:tc>
      </w:tr>
      <w:tr w:rsidR="00161EDB" w:rsidRPr="000E14BA" w14:paraId="10B54491"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2DA0562A"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Diff</w:t>
            </w:r>
          </w:p>
        </w:tc>
        <w:tc>
          <w:tcPr>
            <w:tcW w:w="993" w:type="dxa"/>
            <w:tcBorders>
              <w:top w:val="nil"/>
              <w:left w:val="single" w:sz="4" w:space="0" w:color="auto"/>
              <w:bottom w:val="nil"/>
              <w:right w:val="single" w:sz="4" w:space="0" w:color="auto"/>
            </w:tcBorders>
            <w:noWrap/>
            <w:vAlign w:val="bottom"/>
            <w:hideMark/>
          </w:tcPr>
          <w:p w14:paraId="7B16675D"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nil"/>
              <w:right w:val="nil"/>
            </w:tcBorders>
            <w:noWrap/>
            <w:vAlign w:val="bottom"/>
            <w:hideMark/>
          </w:tcPr>
          <w:p w14:paraId="25886062"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nil"/>
              <w:right w:val="single" w:sz="4" w:space="0" w:color="auto"/>
            </w:tcBorders>
            <w:noWrap/>
            <w:vAlign w:val="bottom"/>
            <w:hideMark/>
          </w:tcPr>
          <w:p w14:paraId="7BE66458"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w:t>
            </w:r>
          </w:p>
        </w:tc>
        <w:tc>
          <w:tcPr>
            <w:tcW w:w="1134" w:type="dxa"/>
            <w:tcBorders>
              <w:top w:val="nil"/>
              <w:left w:val="nil"/>
              <w:bottom w:val="nil"/>
              <w:right w:val="nil"/>
            </w:tcBorders>
            <w:noWrap/>
            <w:vAlign w:val="bottom"/>
            <w:hideMark/>
          </w:tcPr>
          <w:p w14:paraId="50A46E84"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w:t>
            </w:r>
          </w:p>
        </w:tc>
        <w:tc>
          <w:tcPr>
            <w:tcW w:w="1060" w:type="dxa"/>
            <w:tcBorders>
              <w:top w:val="nil"/>
              <w:left w:val="single" w:sz="4" w:space="0" w:color="auto"/>
              <w:bottom w:val="nil"/>
              <w:right w:val="single" w:sz="4" w:space="0" w:color="auto"/>
            </w:tcBorders>
            <w:noWrap/>
            <w:vAlign w:val="bottom"/>
            <w:hideMark/>
          </w:tcPr>
          <w:p w14:paraId="4F30A32E"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11</w:t>
            </w:r>
          </w:p>
        </w:tc>
        <w:tc>
          <w:tcPr>
            <w:tcW w:w="1200" w:type="dxa"/>
            <w:tcBorders>
              <w:top w:val="nil"/>
              <w:left w:val="nil"/>
              <w:bottom w:val="nil"/>
              <w:right w:val="nil"/>
            </w:tcBorders>
            <w:noWrap/>
            <w:vAlign w:val="bottom"/>
            <w:hideMark/>
          </w:tcPr>
          <w:p w14:paraId="17F104C3"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-5</w:t>
            </w:r>
          </w:p>
        </w:tc>
        <w:tc>
          <w:tcPr>
            <w:tcW w:w="1200" w:type="dxa"/>
            <w:tcBorders>
              <w:top w:val="nil"/>
              <w:left w:val="single" w:sz="4" w:space="0" w:color="auto"/>
              <w:bottom w:val="nil"/>
              <w:right w:val="single" w:sz="4" w:space="0" w:color="auto"/>
            </w:tcBorders>
            <w:noWrap/>
            <w:vAlign w:val="bottom"/>
            <w:hideMark/>
          </w:tcPr>
          <w:p w14:paraId="145079A5"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8</w:t>
            </w:r>
          </w:p>
        </w:tc>
        <w:tc>
          <w:tcPr>
            <w:tcW w:w="1200" w:type="dxa"/>
            <w:tcBorders>
              <w:top w:val="nil"/>
              <w:left w:val="nil"/>
              <w:bottom w:val="nil"/>
              <w:right w:val="nil"/>
            </w:tcBorders>
            <w:noWrap/>
            <w:vAlign w:val="bottom"/>
            <w:hideMark/>
          </w:tcPr>
          <w:p w14:paraId="6E576962"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w:t>
            </w:r>
          </w:p>
        </w:tc>
        <w:tc>
          <w:tcPr>
            <w:tcW w:w="1355" w:type="dxa"/>
            <w:tcBorders>
              <w:top w:val="nil"/>
              <w:left w:val="single" w:sz="4" w:space="0" w:color="auto"/>
              <w:bottom w:val="nil"/>
              <w:right w:val="single" w:sz="4" w:space="0" w:color="auto"/>
            </w:tcBorders>
            <w:noWrap/>
            <w:vAlign w:val="bottom"/>
            <w:hideMark/>
          </w:tcPr>
          <w:p w14:paraId="2A72C884"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w:t>
            </w:r>
          </w:p>
        </w:tc>
        <w:tc>
          <w:tcPr>
            <w:tcW w:w="1434" w:type="dxa"/>
            <w:tcBorders>
              <w:top w:val="nil"/>
              <w:left w:val="nil"/>
              <w:bottom w:val="nil"/>
              <w:right w:val="nil"/>
            </w:tcBorders>
            <w:noWrap/>
            <w:vAlign w:val="bottom"/>
            <w:hideMark/>
          </w:tcPr>
          <w:p w14:paraId="108349CC"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13</w:t>
            </w:r>
          </w:p>
        </w:tc>
        <w:tc>
          <w:tcPr>
            <w:tcW w:w="1434" w:type="dxa"/>
            <w:tcBorders>
              <w:top w:val="nil"/>
              <w:left w:val="single" w:sz="4" w:space="0" w:color="auto"/>
              <w:bottom w:val="nil"/>
              <w:right w:val="single" w:sz="4" w:space="0" w:color="auto"/>
            </w:tcBorders>
            <w:noWrap/>
            <w:vAlign w:val="bottom"/>
            <w:hideMark/>
          </w:tcPr>
          <w:p w14:paraId="17B2C26C"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w:t>
            </w:r>
          </w:p>
        </w:tc>
        <w:tc>
          <w:tcPr>
            <w:tcW w:w="1439" w:type="dxa"/>
            <w:tcBorders>
              <w:top w:val="nil"/>
              <w:left w:val="nil"/>
              <w:bottom w:val="nil"/>
              <w:right w:val="single" w:sz="4" w:space="0" w:color="auto"/>
            </w:tcBorders>
            <w:noWrap/>
            <w:vAlign w:val="bottom"/>
            <w:hideMark/>
          </w:tcPr>
          <w:p w14:paraId="3FD95C43"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w:t>
            </w:r>
          </w:p>
        </w:tc>
      </w:tr>
      <w:tr w:rsidR="00161EDB" w:rsidRPr="000E14BA" w14:paraId="34A0C330" w14:textId="77777777" w:rsidTr="00161EDB">
        <w:trPr>
          <w:gridAfter w:val="1"/>
          <w:wAfter w:w="14" w:type="dxa"/>
          <w:trHeight w:val="206"/>
        </w:trPr>
        <w:tc>
          <w:tcPr>
            <w:tcW w:w="993" w:type="dxa"/>
            <w:tcBorders>
              <w:top w:val="nil"/>
              <w:left w:val="single" w:sz="4" w:space="0" w:color="auto"/>
              <w:bottom w:val="single" w:sz="4" w:space="0" w:color="auto"/>
              <w:right w:val="nil"/>
            </w:tcBorders>
            <w:noWrap/>
            <w:vAlign w:val="bottom"/>
            <w:hideMark/>
          </w:tcPr>
          <w:p w14:paraId="15143A6E"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P-Val</w:t>
            </w:r>
          </w:p>
        </w:tc>
        <w:tc>
          <w:tcPr>
            <w:tcW w:w="993" w:type="dxa"/>
            <w:tcBorders>
              <w:top w:val="nil"/>
              <w:left w:val="single" w:sz="4" w:space="0" w:color="auto"/>
              <w:bottom w:val="single" w:sz="4" w:space="0" w:color="auto"/>
              <w:right w:val="single" w:sz="4" w:space="0" w:color="auto"/>
            </w:tcBorders>
            <w:noWrap/>
            <w:vAlign w:val="bottom"/>
            <w:hideMark/>
          </w:tcPr>
          <w:p w14:paraId="441259F0"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single" w:sz="4" w:space="0" w:color="auto"/>
              <w:right w:val="nil"/>
            </w:tcBorders>
            <w:noWrap/>
            <w:vAlign w:val="bottom"/>
            <w:hideMark/>
          </w:tcPr>
          <w:p w14:paraId="0F112D13"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single" w:sz="4" w:space="0" w:color="auto"/>
              <w:right w:val="single" w:sz="4" w:space="0" w:color="auto"/>
            </w:tcBorders>
            <w:noWrap/>
            <w:vAlign w:val="bottom"/>
            <w:hideMark/>
          </w:tcPr>
          <w:p w14:paraId="20FAE00F"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0.41</w:t>
            </w:r>
          </w:p>
        </w:tc>
        <w:tc>
          <w:tcPr>
            <w:tcW w:w="1134" w:type="dxa"/>
            <w:tcBorders>
              <w:top w:val="nil"/>
              <w:left w:val="nil"/>
              <w:bottom w:val="single" w:sz="4" w:space="0" w:color="auto"/>
              <w:right w:val="nil"/>
            </w:tcBorders>
            <w:noWrap/>
            <w:vAlign w:val="bottom"/>
            <w:hideMark/>
          </w:tcPr>
          <w:p w14:paraId="53727517"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0.49</w:t>
            </w:r>
          </w:p>
        </w:tc>
        <w:tc>
          <w:tcPr>
            <w:tcW w:w="1060" w:type="dxa"/>
            <w:tcBorders>
              <w:top w:val="nil"/>
              <w:left w:val="single" w:sz="4" w:space="0" w:color="auto"/>
              <w:bottom w:val="single" w:sz="4" w:space="0" w:color="auto"/>
              <w:right w:val="single" w:sz="4" w:space="0" w:color="auto"/>
            </w:tcBorders>
            <w:noWrap/>
            <w:vAlign w:val="bottom"/>
            <w:hideMark/>
          </w:tcPr>
          <w:p w14:paraId="6902E4CB"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0.16</w:t>
            </w:r>
          </w:p>
        </w:tc>
        <w:tc>
          <w:tcPr>
            <w:tcW w:w="1200" w:type="dxa"/>
            <w:tcBorders>
              <w:top w:val="nil"/>
              <w:left w:val="nil"/>
              <w:bottom w:val="single" w:sz="4" w:space="0" w:color="auto"/>
              <w:right w:val="nil"/>
            </w:tcBorders>
            <w:noWrap/>
            <w:vAlign w:val="bottom"/>
            <w:hideMark/>
          </w:tcPr>
          <w:p w14:paraId="2F10401A"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0.35</w:t>
            </w:r>
          </w:p>
        </w:tc>
        <w:tc>
          <w:tcPr>
            <w:tcW w:w="1200" w:type="dxa"/>
            <w:tcBorders>
              <w:top w:val="nil"/>
              <w:left w:val="single" w:sz="4" w:space="0" w:color="auto"/>
              <w:bottom w:val="single" w:sz="4" w:space="0" w:color="auto"/>
              <w:right w:val="single" w:sz="4" w:space="0" w:color="auto"/>
            </w:tcBorders>
            <w:noWrap/>
            <w:vAlign w:val="bottom"/>
            <w:hideMark/>
          </w:tcPr>
          <w:p w14:paraId="1D77DEB1"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0.33</w:t>
            </w:r>
          </w:p>
        </w:tc>
        <w:tc>
          <w:tcPr>
            <w:tcW w:w="1200" w:type="dxa"/>
            <w:tcBorders>
              <w:top w:val="nil"/>
              <w:left w:val="nil"/>
              <w:bottom w:val="single" w:sz="4" w:space="0" w:color="auto"/>
              <w:right w:val="nil"/>
            </w:tcBorders>
            <w:noWrap/>
            <w:vAlign w:val="bottom"/>
            <w:hideMark/>
          </w:tcPr>
          <w:p w14:paraId="1AA6FD73"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0.37</w:t>
            </w:r>
          </w:p>
        </w:tc>
        <w:tc>
          <w:tcPr>
            <w:tcW w:w="1355" w:type="dxa"/>
            <w:tcBorders>
              <w:top w:val="nil"/>
              <w:left w:val="single" w:sz="4" w:space="0" w:color="auto"/>
              <w:bottom w:val="single" w:sz="4" w:space="0" w:color="auto"/>
              <w:right w:val="single" w:sz="4" w:space="0" w:color="auto"/>
            </w:tcBorders>
            <w:noWrap/>
            <w:vAlign w:val="bottom"/>
            <w:hideMark/>
          </w:tcPr>
          <w:p w14:paraId="1355F3C1"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0.61</w:t>
            </w:r>
          </w:p>
        </w:tc>
        <w:tc>
          <w:tcPr>
            <w:tcW w:w="1434" w:type="dxa"/>
            <w:tcBorders>
              <w:top w:val="nil"/>
              <w:left w:val="nil"/>
              <w:bottom w:val="single" w:sz="4" w:space="0" w:color="auto"/>
              <w:right w:val="nil"/>
            </w:tcBorders>
            <w:noWrap/>
            <w:vAlign w:val="bottom"/>
            <w:hideMark/>
          </w:tcPr>
          <w:p w14:paraId="6374F7D2"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0.13</w:t>
            </w:r>
          </w:p>
        </w:tc>
        <w:tc>
          <w:tcPr>
            <w:tcW w:w="1434" w:type="dxa"/>
            <w:tcBorders>
              <w:top w:val="nil"/>
              <w:left w:val="single" w:sz="4" w:space="0" w:color="auto"/>
              <w:bottom w:val="single" w:sz="4" w:space="0" w:color="auto"/>
              <w:right w:val="single" w:sz="4" w:space="0" w:color="auto"/>
            </w:tcBorders>
            <w:noWrap/>
            <w:vAlign w:val="bottom"/>
            <w:hideMark/>
          </w:tcPr>
          <w:p w14:paraId="195422C9"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0.36</w:t>
            </w:r>
          </w:p>
        </w:tc>
        <w:tc>
          <w:tcPr>
            <w:tcW w:w="1439" w:type="dxa"/>
            <w:tcBorders>
              <w:top w:val="nil"/>
              <w:left w:val="nil"/>
              <w:bottom w:val="single" w:sz="4" w:space="0" w:color="auto"/>
              <w:right w:val="single" w:sz="4" w:space="0" w:color="auto"/>
            </w:tcBorders>
            <w:noWrap/>
            <w:vAlign w:val="bottom"/>
            <w:hideMark/>
          </w:tcPr>
          <w:p w14:paraId="4BC73749"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0.41</w:t>
            </w:r>
          </w:p>
        </w:tc>
      </w:tr>
      <w:tr w:rsidR="00161EDB" w:rsidRPr="000E14BA" w14:paraId="1237E944"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166CCFD9" w14:textId="5A7E507B"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TOT</w:t>
            </w:r>
            <w:r w:rsidR="008F3E21">
              <w:rPr>
                <w:rFonts w:ascii="Times New Roman" w:eastAsia="Times New Roman" w:hAnsi="Times New Roman" w:cs="Times New Roman"/>
                <w:color w:val="000000"/>
                <w:kern w:val="0"/>
                <w:sz w:val="16"/>
                <w:szCs w:val="16"/>
                <w:lang w:eastAsia="en-GB"/>
                <w14:ligatures w14:val="none"/>
              </w:rPr>
              <w:t>AL</w:t>
            </w:r>
          </w:p>
        </w:tc>
        <w:tc>
          <w:tcPr>
            <w:tcW w:w="993" w:type="dxa"/>
            <w:tcBorders>
              <w:top w:val="nil"/>
              <w:left w:val="single" w:sz="4" w:space="0" w:color="auto"/>
              <w:bottom w:val="nil"/>
              <w:right w:val="single" w:sz="4" w:space="0" w:color="auto"/>
            </w:tcBorders>
            <w:noWrap/>
            <w:vAlign w:val="bottom"/>
            <w:hideMark/>
          </w:tcPr>
          <w:p w14:paraId="676E6F47"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ENVMGT</w:t>
            </w:r>
          </w:p>
        </w:tc>
        <w:tc>
          <w:tcPr>
            <w:tcW w:w="702" w:type="dxa"/>
            <w:tcBorders>
              <w:top w:val="nil"/>
              <w:left w:val="nil"/>
              <w:bottom w:val="nil"/>
              <w:right w:val="nil"/>
            </w:tcBorders>
            <w:noWrap/>
            <w:vAlign w:val="bottom"/>
            <w:hideMark/>
          </w:tcPr>
          <w:p w14:paraId="12AFE085"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38</w:t>
            </w:r>
          </w:p>
        </w:tc>
        <w:tc>
          <w:tcPr>
            <w:tcW w:w="999" w:type="dxa"/>
            <w:tcBorders>
              <w:top w:val="nil"/>
              <w:left w:val="single" w:sz="4" w:space="0" w:color="auto"/>
              <w:bottom w:val="nil"/>
              <w:right w:val="single" w:sz="4" w:space="0" w:color="auto"/>
            </w:tcBorders>
            <w:noWrap/>
            <w:vAlign w:val="bottom"/>
            <w:hideMark/>
          </w:tcPr>
          <w:p w14:paraId="00450D1C"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39</w:t>
            </w:r>
          </w:p>
        </w:tc>
        <w:tc>
          <w:tcPr>
            <w:tcW w:w="1134" w:type="dxa"/>
            <w:tcBorders>
              <w:top w:val="nil"/>
              <w:left w:val="nil"/>
              <w:bottom w:val="nil"/>
              <w:right w:val="nil"/>
            </w:tcBorders>
            <w:noWrap/>
            <w:vAlign w:val="bottom"/>
            <w:hideMark/>
          </w:tcPr>
          <w:p w14:paraId="7414A6E3"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40</w:t>
            </w:r>
          </w:p>
        </w:tc>
        <w:tc>
          <w:tcPr>
            <w:tcW w:w="1060" w:type="dxa"/>
            <w:tcBorders>
              <w:top w:val="nil"/>
              <w:left w:val="single" w:sz="4" w:space="0" w:color="auto"/>
              <w:bottom w:val="nil"/>
              <w:right w:val="single" w:sz="4" w:space="0" w:color="auto"/>
            </w:tcBorders>
            <w:noWrap/>
            <w:vAlign w:val="bottom"/>
            <w:hideMark/>
          </w:tcPr>
          <w:p w14:paraId="575349C0"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40</w:t>
            </w:r>
          </w:p>
        </w:tc>
        <w:tc>
          <w:tcPr>
            <w:tcW w:w="1200" w:type="dxa"/>
            <w:tcBorders>
              <w:top w:val="nil"/>
              <w:left w:val="nil"/>
              <w:bottom w:val="nil"/>
              <w:right w:val="nil"/>
            </w:tcBorders>
            <w:noWrap/>
            <w:vAlign w:val="bottom"/>
            <w:hideMark/>
          </w:tcPr>
          <w:p w14:paraId="31413992"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38</w:t>
            </w:r>
          </w:p>
        </w:tc>
        <w:tc>
          <w:tcPr>
            <w:tcW w:w="1200" w:type="dxa"/>
            <w:tcBorders>
              <w:top w:val="nil"/>
              <w:left w:val="single" w:sz="4" w:space="0" w:color="auto"/>
              <w:bottom w:val="nil"/>
              <w:right w:val="single" w:sz="4" w:space="0" w:color="auto"/>
            </w:tcBorders>
            <w:noWrap/>
            <w:vAlign w:val="bottom"/>
            <w:hideMark/>
          </w:tcPr>
          <w:p w14:paraId="2E4A6251"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65</w:t>
            </w:r>
          </w:p>
        </w:tc>
        <w:tc>
          <w:tcPr>
            <w:tcW w:w="1200" w:type="dxa"/>
            <w:tcBorders>
              <w:top w:val="nil"/>
              <w:left w:val="nil"/>
              <w:bottom w:val="nil"/>
              <w:right w:val="nil"/>
            </w:tcBorders>
            <w:noWrap/>
            <w:vAlign w:val="bottom"/>
            <w:hideMark/>
          </w:tcPr>
          <w:p w14:paraId="76AA93D1"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63</w:t>
            </w:r>
          </w:p>
        </w:tc>
        <w:tc>
          <w:tcPr>
            <w:tcW w:w="1355" w:type="dxa"/>
            <w:tcBorders>
              <w:top w:val="nil"/>
              <w:left w:val="single" w:sz="4" w:space="0" w:color="auto"/>
              <w:bottom w:val="nil"/>
              <w:right w:val="single" w:sz="4" w:space="0" w:color="auto"/>
            </w:tcBorders>
            <w:noWrap/>
            <w:vAlign w:val="bottom"/>
            <w:hideMark/>
          </w:tcPr>
          <w:p w14:paraId="08F5A354"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78</w:t>
            </w:r>
          </w:p>
        </w:tc>
        <w:tc>
          <w:tcPr>
            <w:tcW w:w="1434" w:type="dxa"/>
            <w:tcBorders>
              <w:top w:val="nil"/>
              <w:left w:val="nil"/>
              <w:bottom w:val="nil"/>
              <w:right w:val="nil"/>
            </w:tcBorders>
            <w:noWrap/>
            <w:vAlign w:val="bottom"/>
            <w:hideMark/>
          </w:tcPr>
          <w:p w14:paraId="52877E4B"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97</w:t>
            </w:r>
          </w:p>
        </w:tc>
        <w:tc>
          <w:tcPr>
            <w:tcW w:w="1434" w:type="dxa"/>
            <w:tcBorders>
              <w:top w:val="nil"/>
              <w:left w:val="single" w:sz="4" w:space="0" w:color="auto"/>
              <w:bottom w:val="nil"/>
              <w:right w:val="single" w:sz="4" w:space="0" w:color="auto"/>
            </w:tcBorders>
            <w:noWrap/>
            <w:vAlign w:val="bottom"/>
            <w:hideMark/>
          </w:tcPr>
          <w:p w14:paraId="3304E69A"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106</w:t>
            </w:r>
          </w:p>
        </w:tc>
        <w:tc>
          <w:tcPr>
            <w:tcW w:w="1439" w:type="dxa"/>
            <w:tcBorders>
              <w:top w:val="nil"/>
              <w:left w:val="nil"/>
              <w:bottom w:val="nil"/>
              <w:right w:val="single" w:sz="4" w:space="0" w:color="auto"/>
            </w:tcBorders>
            <w:shd w:val="clear" w:color="auto" w:fill="F2F2F2" w:themeFill="background1" w:themeFillShade="F2"/>
            <w:noWrap/>
            <w:vAlign w:val="bottom"/>
            <w:hideMark/>
          </w:tcPr>
          <w:p w14:paraId="5E0F763D"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127</w:t>
            </w:r>
          </w:p>
        </w:tc>
      </w:tr>
      <w:tr w:rsidR="00161EDB" w:rsidRPr="000E14BA" w14:paraId="15DD6785"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05FC86C9"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Diff</w:t>
            </w:r>
          </w:p>
        </w:tc>
        <w:tc>
          <w:tcPr>
            <w:tcW w:w="993" w:type="dxa"/>
            <w:tcBorders>
              <w:top w:val="nil"/>
              <w:left w:val="single" w:sz="4" w:space="0" w:color="auto"/>
              <w:bottom w:val="nil"/>
              <w:right w:val="single" w:sz="4" w:space="0" w:color="auto"/>
            </w:tcBorders>
            <w:noWrap/>
            <w:vAlign w:val="bottom"/>
            <w:hideMark/>
          </w:tcPr>
          <w:p w14:paraId="43CB7F85"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nil"/>
              <w:right w:val="nil"/>
            </w:tcBorders>
            <w:noWrap/>
            <w:vAlign w:val="bottom"/>
            <w:hideMark/>
          </w:tcPr>
          <w:p w14:paraId="70E7FB7D"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nil"/>
              <w:right w:val="single" w:sz="4" w:space="0" w:color="auto"/>
            </w:tcBorders>
            <w:noWrap/>
            <w:vAlign w:val="bottom"/>
            <w:hideMark/>
          </w:tcPr>
          <w:p w14:paraId="0EA7D303"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w:t>
            </w:r>
          </w:p>
        </w:tc>
        <w:tc>
          <w:tcPr>
            <w:tcW w:w="1134" w:type="dxa"/>
            <w:tcBorders>
              <w:top w:val="nil"/>
              <w:left w:val="nil"/>
              <w:bottom w:val="nil"/>
              <w:right w:val="nil"/>
            </w:tcBorders>
            <w:noWrap/>
            <w:vAlign w:val="bottom"/>
            <w:hideMark/>
          </w:tcPr>
          <w:p w14:paraId="5756E372"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w:t>
            </w:r>
          </w:p>
        </w:tc>
        <w:tc>
          <w:tcPr>
            <w:tcW w:w="1060" w:type="dxa"/>
            <w:tcBorders>
              <w:top w:val="nil"/>
              <w:left w:val="single" w:sz="4" w:space="0" w:color="auto"/>
              <w:bottom w:val="nil"/>
              <w:right w:val="single" w:sz="4" w:space="0" w:color="auto"/>
            </w:tcBorders>
            <w:noWrap/>
            <w:vAlign w:val="bottom"/>
            <w:hideMark/>
          </w:tcPr>
          <w:p w14:paraId="3B605F96"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w:t>
            </w:r>
          </w:p>
        </w:tc>
        <w:tc>
          <w:tcPr>
            <w:tcW w:w="1200" w:type="dxa"/>
            <w:tcBorders>
              <w:top w:val="nil"/>
              <w:left w:val="nil"/>
              <w:bottom w:val="nil"/>
              <w:right w:val="nil"/>
            </w:tcBorders>
            <w:noWrap/>
            <w:vAlign w:val="bottom"/>
            <w:hideMark/>
          </w:tcPr>
          <w:p w14:paraId="7B3FC8CB"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w:t>
            </w:r>
          </w:p>
        </w:tc>
        <w:tc>
          <w:tcPr>
            <w:tcW w:w="1200" w:type="dxa"/>
            <w:tcBorders>
              <w:top w:val="nil"/>
              <w:left w:val="single" w:sz="4" w:space="0" w:color="auto"/>
              <w:bottom w:val="nil"/>
              <w:right w:val="single" w:sz="4" w:space="0" w:color="auto"/>
            </w:tcBorders>
            <w:noWrap/>
            <w:vAlign w:val="bottom"/>
            <w:hideMark/>
          </w:tcPr>
          <w:p w14:paraId="590702A4"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27</w:t>
            </w:r>
          </w:p>
        </w:tc>
        <w:tc>
          <w:tcPr>
            <w:tcW w:w="1200" w:type="dxa"/>
            <w:tcBorders>
              <w:top w:val="nil"/>
              <w:left w:val="nil"/>
              <w:bottom w:val="nil"/>
              <w:right w:val="nil"/>
            </w:tcBorders>
            <w:noWrap/>
            <w:vAlign w:val="bottom"/>
            <w:hideMark/>
          </w:tcPr>
          <w:p w14:paraId="7CFD20D2"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25</w:t>
            </w:r>
          </w:p>
        </w:tc>
        <w:tc>
          <w:tcPr>
            <w:tcW w:w="1355" w:type="dxa"/>
            <w:tcBorders>
              <w:top w:val="nil"/>
              <w:left w:val="single" w:sz="4" w:space="0" w:color="auto"/>
              <w:bottom w:val="nil"/>
              <w:right w:val="single" w:sz="4" w:space="0" w:color="auto"/>
            </w:tcBorders>
            <w:noWrap/>
            <w:vAlign w:val="bottom"/>
            <w:hideMark/>
          </w:tcPr>
          <w:p w14:paraId="15E110ED"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40</w:t>
            </w:r>
          </w:p>
        </w:tc>
        <w:tc>
          <w:tcPr>
            <w:tcW w:w="1434" w:type="dxa"/>
            <w:tcBorders>
              <w:top w:val="nil"/>
              <w:left w:val="nil"/>
              <w:bottom w:val="nil"/>
              <w:right w:val="nil"/>
            </w:tcBorders>
            <w:noWrap/>
            <w:vAlign w:val="bottom"/>
            <w:hideMark/>
          </w:tcPr>
          <w:p w14:paraId="765318A7"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59</w:t>
            </w:r>
          </w:p>
        </w:tc>
        <w:tc>
          <w:tcPr>
            <w:tcW w:w="1434" w:type="dxa"/>
            <w:tcBorders>
              <w:top w:val="nil"/>
              <w:left w:val="single" w:sz="4" w:space="0" w:color="auto"/>
              <w:bottom w:val="nil"/>
              <w:right w:val="single" w:sz="4" w:space="0" w:color="auto"/>
            </w:tcBorders>
            <w:noWrap/>
            <w:vAlign w:val="bottom"/>
            <w:hideMark/>
          </w:tcPr>
          <w:p w14:paraId="6CE5C696"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68</w:t>
            </w:r>
          </w:p>
        </w:tc>
        <w:tc>
          <w:tcPr>
            <w:tcW w:w="1439" w:type="dxa"/>
            <w:tcBorders>
              <w:top w:val="nil"/>
              <w:left w:val="nil"/>
              <w:bottom w:val="nil"/>
              <w:right w:val="single" w:sz="4" w:space="0" w:color="auto"/>
            </w:tcBorders>
            <w:shd w:val="clear" w:color="auto" w:fill="F2F2F2" w:themeFill="background1" w:themeFillShade="F2"/>
            <w:noWrap/>
            <w:vAlign w:val="bottom"/>
            <w:hideMark/>
          </w:tcPr>
          <w:p w14:paraId="46005583"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89</w:t>
            </w:r>
          </w:p>
        </w:tc>
      </w:tr>
      <w:tr w:rsidR="00161EDB" w:rsidRPr="000E14BA" w14:paraId="74F9E786"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69D9267E"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P-Val</w:t>
            </w:r>
          </w:p>
        </w:tc>
        <w:tc>
          <w:tcPr>
            <w:tcW w:w="993" w:type="dxa"/>
            <w:tcBorders>
              <w:top w:val="nil"/>
              <w:left w:val="single" w:sz="4" w:space="0" w:color="auto"/>
              <w:bottom w:val="nil"/>
              <w:right w:val="single" w:sz="4" w:space="0" w:color="auto"/>
            </w:tcBorders>
            <w:noWrap/>
            <w:vAlign w:val="bottom"/>
            <w:hideMark/>
          </w:tcPr>
          <w:p w14:paraId="4AA68D0F"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nil"/>
              <w:right w:val="nil"/>
            </w:tcBorders>
            <w:noWrap/>
            <w:vAlign w:val="bottom"/>
            <w:hideMark/>
          </w:tcPr>
          <w:p w14:paraId="727E57C1"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nil"/>
              <w:right w:val="single" w:sz="4" w:space="0" w:color="auto"/>
            </w:tcBorders>
            <w:noWrap/>
            <w:vAlign w:val="bottom"/>
            <w:hideMark/>
          </w:tcPr>
          <w:p w14:paraId="73F9891C"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0.48</w:t>
            </w:r>
          </w:p>
        </w:tc>
        <w:tc>
          <w:tcPr>
            <w:tcW w:w="1134" w:type="dxa"/>
            <w:tcBorders>
              <w:top w:val="nil"/>
              <w:left w:val="nil"/>
              <w:bottom w:val="nil"/>
              <w:right w:val="nil"/>
            </w:tcBorders>
            <w:noWrap/>
            <w:vAlign w:val="bottom"/>
            <w:hideMark/>
          </w:tcPr>
          <w:p w14:paraId="470DFD12"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0.41</w:t>
            </w:r>
          </w:p>
        </w:tc>
        <w:tc>
          <w:tcPr>
            <w:tcW w:w="1060" w:type="dxa"/>
            <w:tcBorders>
              <w:top w:val="nil"/>
              <w:left w:val="single" w:sz="4" w:space="0" w:color="auto"/>
              <w:bottom w:val="nil"/>
              <w:right w:val="single" w:sz="4" w:space="0" w:color="auto"/>
            </w:tcBorders>
            <w:noWrap/>
            <w:vAlign w:val="bottom"/>
            <w:hideMark/>
          </w:tcPr>
          <w:p w14:paraId="7EB265CA"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0.41</w:t>
            </w:r>
          </w:p>
        </w:tc>
        <w:tc>
          <w:tcPr>
            <w:tcW w:w="1200" w:type="dxa"/>
            <w:tcBorders>
              <w:top w:val="nil"/>
              <w:left w:val="nil"/>
              <w:bottom w:val="nil"/>
              <w:right w:val="nil"/>
            </w:tcBorders>
            <w:noWrap/>
            <w:vAlign w:val="bottom"/>
            <w:hideMark/>
          </w:tcPr>
          <w:p w14:paraId="1CF7F6D0"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0.55</w:t>
            </w:r>
          </w:p>
        </w:tc>
        <w:tc>
          <w:tcPr>
            <w:tcW w:w="1200" w:type="dxa"/>
            <w:tcBorders>
              <w:top w:val="nil"/>
              <w:left w:val="single" w:sz="4" w:space="0" w:color="auto"/>
              <w:bottom w:val="nil"/>
              <w:right w:val="single" w:sz="4" w:space="0" w:color="auto"/>
            </w:tcBorders>
            <w:noWrap/>
            <w:vAlign w:val="bottom"/>
            <w:hideMark/>
          </w:tcPr>
          <w:p w14:paraId="6FC449EC"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0.13</w:t>
            </w:r>
          </w:p>
        </w:tc>
        <w:tc>
          <w:tcPr>
            <w:tcW w:w="1200" w:type="dxa"/>
            <w:tcBorders>
              <w:top w:val="nil"/>
              <w:left w:val="nil"/>
              <w:bottom w:val="nil"/>
              <w:right w:val="nil"/>
            </w:tcBorders>
            <w:noWrap/>
            <w:vAlign w:val="bottom"/>
            <w:hideMark/>
          </w:tcPr>
          <w:p w14:paraId="5854E40F"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0.15</w:t>
            </w:r>
          </w:p>
        </w:tc>
        <w:tc>
          <w:tcPr>
            <w:tcW w:w="1355" w:type="dxa"/>
            <w:tcBorders>
              <w:top w:val="nil"/>
              <w:left w:val="single" w:sz="4" w:space="0" w:color="auto"/>
              <w:bottom w:val="nil"/>
              <w:right w:val="single" w:sz="4" w:space="0" w:color="auto"/>
            </w:tcBorders>
            <w:noWrap/>
            <w:vAlign w:val="bottom"/>
            <w:hideMark/>
          </w:tcPr>
          <w:p w14:paraId="4BBE0112"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0.11</w:t>
            </w:r>
          </w:p>
        </w:tc>
        <w:tc>
          <w:tcPr>
            <w:tcW w:w="1434" w:type="dxa"/>
            <w:tcBorders>
              <w:top w:val="nil"/>
              <w:left w:val="nil"/>
              <w:bottom w:val="nil"/>
              <w:right w:val="nil"/>
            </w:tcBorders>
            <w:noWrap/>
            <w:vAlign w:val="bottom"/>
            <w:hideMark/>
          </w:tcPr>
          <w:p w14:paraId="533BDF69"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0.08***</w:t>
            </w:r>
          </w:p>
        </w:tc>
        <w:tc>
          <w:tcPr>
            <w:tcW w:w="1434" w:type="dxa"/>
            <w:tcBorders>
              <w:top w:val="nil"/>
              <w:left w:val="single" w:sz="4" w:space="0" w:color="auto"/>
              <w:bottom w:val="nil"/>
              <w:right w:val="single" w:sz="4" w:space="0" w:color="auto"/>
            </w:tcBorders>
            <w:noWrap/>
            <w:vAlign w:val="bottom"/>
            <w:hideMark/>
          </w:tcPr>
          <w:p w14:paraId="3AF6B11C"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0.07***</w:t>
            </w:r>
          </w:p>
        </w:tc>
        <w:tc>
          <w:tcPr>
            <w:tcW w:w="1439" w:type="dxa"/>
            <w:tcBorders>
              <w:top w:val="nil"/>
              <w:left w:val="nil"/>
              <w:bottom w:val="nil"/>
              <w:right w:val="single" w:sz="4" w:space="0" w:color="auto"/>
            </w:tcBorders>
            <w:shd w:val="clear" w:color="auto" w:fill="F2F2F2" w:themeFill="background1" w:themeFillShade="F2"/>
            <w:noWrap/>
            <w:vAlign w:val="bottom"/>
            <w:hideMark/>
          </w:tcPr>
          <w:p w14:paraId="24F56394"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0.05**</w:t>
            </w:r>
          </w:p>
        </w:tc>
      </w:tr>
      <w:tr w:rsidR="00161EDB" w:rsidRPr="000E14BA" w14:paraId="3BE8B866" w14:textId="77777777" w:rsidTr="00161EDB">
        <w:trPr>
          <w:gridAfter w:val="1"/>
          <w:wAfter w:w="14" w:type="dxa"/>
          <w:trHeight w:val="206"/>
        </w:trPr>
        <w:tc>
          <w:tcPr>
            <w:tcW w:w="993" w:type="dxa"/>
            <w:tcBorders>
              <w:top w:val="single" w:sz="4" w:space="0" w:color="auto"/>
              <w:left w:val="single" w:sz="4" w:space="0" w:color="auto"/>
              <w:bottom w:val="nil"/>
              <w:right w:val="nil"/>
            </w:tcBorders>
            <w:noWrap/>
            <w:vAlign w:val="bottom"/>
            <w:hideMark/>
          </w:tcPr>
          <w:p w14:paraId="3233F9D0"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NAR</w:t>
            </w:r>
          </w:p>
        </w:tc>
        <w:tc>
          <w:tcPr>
            <w:tcW w:w="993" w:type="dxa"/>
            <w:tcBorders>
              <w:top w:val="single" w:sz="4" w:space="0" w:color="auto"/>
              <w:left w:val="single" w:sz="4" w:space="0" w:color="auto"/>
              <w:bottom w:val="nil"/>
              <w:right w:val="single" w:sz="4" w:space="0" w:color="auto"/>
            </w:tcBorders>
            <w:noWrap/>
            <w:vAlign w:val="bottom"/>
            <w:hideMark/>
          </w:tcPr>
          <w:p w14:paraId="0F037D67"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ENVMGT</w:t>
            </w:r>
          </w:p>
        </w:tc>
        <w:tc>
          <w:tcPr>
            <w:tcW w:w="702" w:type="dxa"/>
            <w:tcBorders>
              <w:top w:val="single" w:sz="4" w:space="0" w:color="auto"/>
              <w:left w:val="single" w:sz="4" w:space="0" w:color="auto"/>
              <w:bottom w:val="nil"/>
              <w:right w:val="nil"/>
            </w:tcBorders>
            <w:noWrap/>
            <w:vAlign w:val="bottom"/>
            <w:hideMark/>
          </w:tcPr>
          <w:p w14:paraId="13EE8DEB"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32</w:t>
            </w:r>
          </w:p>
        </w:tc>
        <w:tc>
          <w:tcPr>
            <w:tcW w:w="999" w:type="dxa"/>
            <w:tcBorders>
              <w:top w:val="single" w:sz="4" w:space="0" w:color="auto"/>
              <w:left w:val="single" w:sz="4" w:space="0" w:color="auto"/>
              <w:bottom w:val="nil"/>
              <w:right w:val="single" w:sz="4" w:space="0" w:color="auto"/>
            </w:tcBorders>
            <w:noWrap/>
            <w:vAlign w:val="bottom"/>
            <w:hideMark/>
          </w:tcPr>
          <w:p w14:paraId="41C73E5F"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33</w:t>
            </w:r>
          </w:p>
        </w:tc>
        <w:tc>
          <w:tcPr>
            <w:tcW w:w="1134" w:type="dxa"/>
            <w:tcBorders>
              <w:top w:val="single" w:sz="4" w:space="0" w:color="auto"/>
              <w:left w:val="nil"/>
              <w:bottom w:val="nil"/>
              <w:right w:val="nil"/>
            </w:tcBorders>
            <w:noWrap/>
            <w:vAlign w:val="bottom"/>
            <w:hideMark/>
          </w:tcPr>
          <w:p w14:paraId="13B09FBA"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37</w:t>
            </w:r>
          </w:p>
        </w:tc>
        <w:tc>
          <w:tcPr>
            <w:tcW w:w="1060" w:type="dxa"/>
            <w:tcBorders>
              <w:top w:val="single" w:sz="4" w:space="0" w:color="auto"/>
              <w:left w:val="single" w:sz="4" w:space="0" w:color="auto"/>
              <w:bottom w:val="nil"/>
              <w:right w:val="single" w:sz="4" w:space="0" w:color="auto"/>
            </w:tcBorders>
            <w:noWrap/>
            <w:vAlign w:val="bottom"/>
            <w:hideMark/>
          </w:tcPr>
          <w:p w14:paraId="79EC548B"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36</w:t>
            </w:r>
          </w:p>
        </w:tc>
        <w:tc>
          <w:tcPr>
            <w:tcW w:w="1200" w:type="dxa"/>
            <w:tcBorders>
              <w:top w:val="single" w:sz="4" w:space="0" w:color="auto"/>
              <w:left w:val="nil"/>
              <w:bottom w:val="nil"/>
              <w:right w:val="nil"/>
            </w:tcBorders>
            <w:noWrap/>
            <w:vAlign w:val="bottom"/>
            <w:hideMark/>
          </w:tcPr>
          <w:p w14:paraId="7A745E9D"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32</w:t>
            </w:r>
          </w:p>
        </w:tc>
        <w:tc>
          <w:tcPr>
            <w:tcW w:w="1200" w:type="dxa"/>
            <w:tcBorders>
              <w:top w:val="single" w:sz="4" w:space="0" w:color="auto"/>
              <w:left w:val="single" w:sz="4" w:space="0" w:color="auto"/>
              <w:bottom w:val="nil"/>
              <w:right w:val="single" w:sz="4" w:space="0" w:color="auto"/>
            </w:tcBorders>
            <w:noWrap/>
            <w:vAlign w:val="bottom"/>
            <w:hideMark/>
          </w:tcPr>
          <w:p w14:paraId="5D5EB2A1"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60</w:t>
            </w:r>
          </w:p>
        </w:tc>
        <w:tc>
          <w:tcPr>
            <w:tcW w:w="1200" w:type="dxa"/>
            <w:tcBorders>
              <w:top w:val="single" w:sz="4" w:space="0" w:color="auto"/>
              <w:left w:val="nil"/>
              <w:bottom w:val="nil"/>
              <w:right w:val="nil"/>
            </w:tcBorders>
            <w:noWrap/>
            <w:vAlign w:val="bottom"/>
            <w:hideMark/>
          </w:tcPr>
          <w:p w14:paraId="14F7C599"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59</w:t>
            </w:r>
          </w:p>
        </w:tc>
        <w:tc>
          <w:tcPr>
            <w:tcW w:w="1355" w:type="dxa"/>
            <w:tcBorders>
              <w:top w:val="single" w:sz="4" w:space="0" w:color="auto"/>
              <w:left w:val="single" w:sz="4" w:space="0" w:color="auto"/>
              <w:bottom w:val="nil"/>
              <w:right w:val="single" w:sz="4" w:space="0" w:color="auto"/>
            </w:tcBorders>
            <w:noWrap/>
            <w:vAlign w:val="bottom"/>
            <w:hideMark/>
          </w:tcPr>
          <w:p w14:paraId="006442C5"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71</w:t>
            </w:r>
          </w:p>
        </w:tc>
        <w:tc>
          <w:tcPr>
            <w:tcW w:w="1434" w:type="dxa"/>
            <w:tcBorders>
              <w:top w:val="single" w:sz="4" w:space="0" w:color="auto"/>
              <w:left w:val="nil"/>
              <w:bottom w:val="nil"/>
              <w:right w:val="nil"/>
            </w:tcBorders>
            <w:noWrap/>
            <w:vAlign w:val="bottom"/>
            <w:hideMark/>
          </w:tcPr>
          <w:p w14:paraId="21623E49"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90</w:t>
            </w:r>
          </w:p>
        </w:tc>
        <w:tc>
          <w:tcPr>
            <w:tcW w:w="1434" w:type="dxa"/>
            <w:tcBorders>
              <w:top w:val="single" w:sz="4" w:space="0" w:color="auto"/>
              <w:left w:val="single" w:sz="4" w:space="0" w:color="auto"/>
              <w:bottom w:val="nil"/>
              <w:right w:val="single" w:sz="4" w:space="0" w:color="auto"/>
            </w:tcBorders>
            <w:noWrap/>
            <w:vAlign w:val="bottom"/>
            <w:hideMark/>
          </w:tcPr>
          <w:p w14:paraId="50FC2B45"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97</w:t>
            </w:r>
          </w:p>
        </w:tc>
        <w:tc>
          <w:tcPr>
            <w:tcW w:w="1439" w:type="dxa"/>
            <w:tcBorders>
              <w:top w:val="single" w:sz="4" w:space="0" w:color="auto"/>
              <w:left w:val="nil"/>
              <w:bottom w:val="nil"/>
              <w:right w:val="single" w:sz="4" w:space="0" w:color="auto"/>
            </w:tcBorders>
            <w:shd w:val="clear" w:color="auto" w:fill="F2F2F2" w:themeFill="background1" w:themeFillShade="F2"/>
            <w:noWrap/>
            <w:vAlign w:val="bottom"/>
            <w:hideMark/>
          </w:tcPr>
          <w:p w14:paraId="7514D97E"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119</w:t>
            </w:r>
          </w:p>
        </w:tc>
      </w:tr>
      <w:tr w:rsidR="00161EDB" w:rsidRPr="000E14BA" w14:paraId="6AB690C9"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69F7042F"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Diff</w:t>
            </w:r>
          </w:p>
        </w:tc>
        <w:tc>
          <w:tcPr>
            <w:tcW w:w="993" w:type="dxa"/>
            <w:tcBorders>
              <w:top w:val="nil"/>
              <w:left w:val="single" w:sz="4" w:space="0" w:color="auto"/>
              <w:bottom w:val="nil"/>
              <w:right w:val="single" w:sz="4" w:space="0" w:color="auto"/>
            </w:tcBorders>
            <w:noWrap/>
            <w:vAlign w:val="bottom"/>
            <w:hideMark/>
          </w:tcPr>
          <w:p w14:paraId="446864D4"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nil"/>
              <w:right w:val="nil"/>
            </w:tcBorders>
            <w:noWrap/>
            <w:vAlign w:val="bottom"/>
            <w:hideMark/>
          </w:tcPr>
          <w:p w14:paraId="73F0E61D"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nil"/>
              <w:right w:val="single" w:sz="4" w:space="0" w:color="auto"/>
            </w:tcBorders>
            <w:noWrap/>
            <w:vAlign w:val="bottom"/>
            <w:hideMark/>
          </w:tcPr>
          <w:p w14:paraId="7BB8E336"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w:t>
            </w:r>
          </w:p>
        </w:tc>
        <w:tc>
          <w:tcPr>
            <w:tcW w:w="1134" w:type="dxa"/>
            <w:tcBorders>
              <w:top w:val="nil"/>
              <w:left w:val="nil"/>
              <w:bottom w:val="nil"/>
              <w:right w:val="nil"/>
            </w:tcBorders>
            <w:noWrap/>
            <w:vAlign w:val="bottom"/>
            <w:hideMark/>
          </w:tcPr>
          <w:p w14:paraId="7EF19868"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5</w:t>
            </w:r>
          </w:p>
        </w:tc>
        <w:tc>
          <w:tcPr>
            <w:tcW w:w="1060" w:type="dxa"/>
            <w:tcBorders>
              <w:top w:val="nil"/>
              <w:left w:val="single" w:sz="4" w:space="0" w:color="auto"/>
              <w:bottom w:val="nil"/>
              <w:right w:val="single" w:sz="4" w:space="0" w:color="auto"/>
            </w:tcBorders>
            <w:noWrap/>
            <w:vAlign w:val="bottom"/>
            <w:hideMark/>
          </w:tcPr>
          <w:p w14:paraId="1570CF7C"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w:t>
            </w:r>
          </w:p>
        </w:tc>
        <w:tc>
          <w:tcPr>
            <w:tcW w:w="1200" w:type="dxa"/>
            <w:tcBorders>
              <w:top w:val="nil"/>
              <w:left w:val="nil"/>
              <w:bottom w:val="nil"/>
              <w:right w:val="nil"/>
            </w:tcBorders>
            <w:noWrap/>
            <w:vAlign w:val="bottom"/>
            <w:hideMark/>
          </w:tcPr>
          <w:p w14:paraId="23D48BB6"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w:t>
            </w:r>
          </w:p>
        </w:tc>
        <w:tc>
          <w:tcPr>
            <w:tcW w:w="1200" w:type="dxa"/>
            <w:tcBorders>
              <w:top w:val="nil"/>
              <w:left w:val="single" w:sz="4" w:space="0" w:color="auto"/>
              <w:bottom w:val="nil"/>
              <w:right w:val="single" w:sz="4" w:space="0" w:color="auto"/>
            </w:tcBorders>
            <w:noWrap/>
            <w:vAlign w:val="bottom"/>
            <w:hideMark/>
          </w:tcPr>
          <w:p w14:paraId="2C00796B"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28</w:t>
            </w:r>
          </w:p>
        </w:tc>
        <w:tc>
          <w:tcPr>
            <w:tcW w:w="1200" w:type="dxa"/>
            <w:tcBorders>
              <w:top w:val="nil"/>
              <w:left w:val="nil"/>
              <w:bottom w:val="nil"/>
              <w:right w:val="nil"/>
            </w:tcBorders>
            <w:noWrap/>
            <w:vAlign w:val="bottom"/>
            <w:hideMark/>
          </w:tcPr>
          <w:p w14:paraId="293ECF78"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27</w:t>
            </w:r>
          </w:p>
        </w:tc>
        <w:tc>
          <w:tcPr>
            <w:tcW w:w="1355" w:type="dxa"/>
            <w:tcBorders>
              <w:top w:val="nil"/>
              <w:left w:val="single" w:sz="4" w:space="0" w:color="auto"/>
              <w:bottom w:val="nil"/>
              <w:right w:val="single" w:sz="4" w:space="0" w:color="auto"/>
            </w:tcBorders>
            <w:noWrap/>
            <w:vAlign w:val="bottom"/>
            <w:hideMark/>
          </w:tcPr>
          <w:p w14:paraId="69AA0103"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39</w:t>
            </w:r>
          </w:p>
        </w:tc>
        <w:tc>
          <w:tcPr>
            <w:tcW w:w="1434" w:type="dxa"/>
            <w:tcBorders>
              <w:top w:val="nil"/>
              <w:left w:val="nil"/>
              <w:bottom w:val="nil"/>
              <w:right w:val="nil"/>
            </w:tcBorders>
            <w:noWrap/>
            <w:vAlign w:val="bottom"/>
            <w:hideMark/>
          </w:tcPr>
          <w:p w14:paraId="39F5C8CD"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58</w:t>
            </w:r>
          </w:p>
        </w:tc>
        <w:tc>
          <w:tcPr>
            <w:tcW w:w="1434" w:type="dxa"/>
            <w:tcBorders>
              <w:top w:val="nil"/>
              <w:left w:val="single" w:sz="4" w:space="0" w:color="auto"/>
              <w:bottom w:val="nil"/>
              <w:right w:val="single" w:sz="4" w:space="0" w:color="auto"/>
            </w:tcBorders>
            <w:noWrap/>
            <w:vAlign w:val="bottom"/>
            <w:hideMark/>
          </w:tcPr>
          <w:p w14:paraId="25252BDA"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65</w:t>
            </w:r>
          </w:p>
        </w:tc>
        <w:tc>
          <w:tcPr>
            <w:tcW w:w="1439" w:type="dxa"/>
            <w:tcBorders>
              <w:top w:val="nil"/>
              <w:left w:val="nil"/>
              <w:bottom w:val="nil"/>
              <w:right w:val="single" w:sz="4" w:space="0" w:color="auto"/>
            </w:tcBorders>
            <w:shd w:val="clear" w:color="auto" w:fill="F2F2F2" w:themeFill="background1" w:themeFillShade="F2"/>
            <w:noWrap/>
            <w:vAlign w:val="bottom"/>
            <w:hideMark/>
          </w:tcPr>
          <w:p w14:paraId="1E1019B2"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87</w:t>
            </w:r>
          </w:p>
        </w:tc>
      </w:tr>
      <w:tr w:rsidR="00161EDB" w:rsidRPr="000E14BA" w14:paraId="60695579" w14:textId="77777777" w:rsidTr="00161EDB">
        <w:trPr>
          <w:gridAfter w:val="1"/>
          <w:wAfter w:w="14" w:type="dxa"/>
          <w:trHeight w:val="206"/>
        </w:trPr>
        <w:tc>
          <w:tcPr>
            <w:tcW w:w="993" w:type="dxa"/>
            <w:tcBorders>
              <w:top w:val="nil"/>
              <w:left w:val="single" w:sz="4" w:space="0" w:color="auto"/>
              <w:bottom w:val="single" w:sz="4" w:space="0" w:color="auto"/>
              <w:right w:val="nil"/>
            </w:tcBorders>
            <w:noWrap/>
            <w:vAlign w:val="bottom"/>
            <w:hideMark/>
          </w:tcPr>
          <w:p w14:paraId="78DD6807"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P-Val</w:t>
            </w:r>
          </w:p>
        </w:tc>
        <w:tc>
          <w:tcPr>
            <w:tcW w:w="993" w:type="dxa"/>
            <w:tcBorders>
              <w:top w:val="nil"/>
              <w:left w:val="single" w:sz="4" w:space="0" w:color="auto"/>
              <w:bottom w:val="single" w:sz="4" w:space="0" w:color="auto"/>
              <w:right w:val="single" w:sz="4" w:space="0" w:color="auto"/>
            </w:tcBorders>
            <w:noWrap/>
            <w:vAlign w:val="bottom"/>
            <w:hideMark/>
          </w:tcPr>
          <w:p w14:paraId="60ECBBCB"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single" w:sz="4" w:space="0" w:color="auto"/>
              <w:right w:val="nil"/>
            </w:tcBorders>
            <w:noWrap/>
            <w:vAlign w:val="bottom"/>
            <w:hideMark/>
          </w:tcPr>
          <w:p w14:paraId="74ED4045"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single" w:sz="4" w:space="0" w:color="auto"/>
              <w:right w:val="single" w:sz="4" w:space="0" w:color="auto"/>
            </w:tcBorders>
            <w:noWrap/>
            <w:vAlign w:val="bottom"/>
            <w:hideMark/>
          </w:tcPr>
          <w:p w14:paraId="4CC79BFD"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0.43</w:t>
            </w:r>
          </w:p>
        </w:tc>
        <w:tc>
          <w:tcPr>
            <w:tcW w:w="1134" w:type="dxa"/>
            <w:tcBorders>
              <w:top w:val="nil"/>
              <w:left w:val="nil"/>
              <w:bottom w:val="single" w:sz="4" w:space="0" w:color="auto"/>
              <w:right w:val="nil"/>
            </w:tcBorders>
            <w:noWrap/>
            <w:vAlign w:val="bottom"/>
            <w:hideMark/>
          </w:tcPr>
          <w:p w14:paraId="20B81BBE"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0.45</w:t>
            </w:r>
          </w:p>
        </w:tc>
        <w:tc>
          <w:tcPr>
            <w:tcW w:w="1060" w:type="dxa"/>
            <w:tcBorders>
              <w:top w:val="nil"/>
              <w:left w:val="single" w:sz="4" w:space="0" w:color="auto"/>
              <w:bottom w:val="single" w:sz="4" w:space="0" w:color="auto"/>
              <w:right w:val="single" w:sz="4" w:space="0" w:color="auto"/>
            </w:tcBorders>
            <w:noWrap/>
            <w:vAlign w:val="bottom"/>
            <w:hideMark/>
          </w:tcPr>
          <w:p w14:paraId="520D11E7"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0.46</w:t>
            </w:r>
          </w:p>
        </w:tc>
        <w:tc>
          <w:tcPr>
            <w:tcW w:w="1200" w:type="dxa"/>
            <w:tcBorders>
              <w:top w:val="nil"/>
              <w:left w:val="nil"/>
              <w:bottom w:val="single" w:sz="4" w:space="0" w:color="auto"/>
              <w:right w:val="nil"/>
            </w:tcBorders>
            <w:noWrap/>
            <w:vAlign w:val="bottom"/>
            <w:hideMark/>
          </w:tcPr>
          <w:p w14:paraId="5A74A881"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0.56</w:t>
            </w:r>
          </w:p>
        </w:tc>
        <w:tc>
          <w:tcPr>
            <w:tcW w:w="1200" w:type="dxa"/>
            <w:tcBorders>
              <w:top w:val="nil"/>
              <w:left w:val="single" w:sz="4" w:space="0" w:color="auto"/>
              <w:bottom w:val="single" w:sz="4" w:space="0" w:color="auto"/>
              <w:right w:val="single" w:sz="4" w:space="0" w:color="auto"/>
            </w:tcBorders>
            <w:noWrap/>
            <w:vAlign w:val="bottom"/>
            <w:hideMark/>
          </w:tcPr>
          <w:p w14:paraId="487131AF"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0.13</w:t>
            </w:r>
          </w:p>
        </w:tc>
        <w:tc>
          <w:tcPr>
            <w:tcW w:w="1200" w:type="dxa"/>
            <w:tcBorders>
              <w:top w:val="nil"/>
              <w:left w:val="nil"/>
              <w:bottom w:val="single" w:sz="4" w:space="0" w:color="auto"/>
              <w:right w:val="nil"/>
            </w:tcBorders>
            <w:noWrap/>
            <w:vAlign w:val="bottom"/>
            <w:hideMark/>
          </w:tcPr>
          <w:p w14:paraId="398BD1BA"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0.14</w:t>
            </w:r>
          </w:p>
        </w:tc>
        <w:tc>
          <w:tcPr>
            <w:tcW w:w="1355" w:type="dxa"/>
            <w:tcBorders>
              <w:top w:val="nil"/>
              <w:left w:val="single" w:sz="4" w:space="0" w:color="auto"/>
              <w:bottom w:val="single" w:sz="4" w:space="0" w:color="auto"/>
              <w:right w:val="single" w:sz="4" w:space="0" w:color="auto"/>
            </w:tcBorders>
            <w:noWrap/>
            <w:vAlign w:val="bottom"/>
            <w:hideMark/>
          </w:tcPr>
          <w:p w14:paraId="43F9AD87"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0.12</w:t>
            </w:r>
          </w:p>
        </w:tc>
        <w:tc>
          <w:tcPr>
            <w:tcW w:w="1434" w:type="dxa"/>
            <w:tcBorders>
              <w:top w:val="nil"/>
              <w:left w:val="nil"/>
              <w:bottom w:val="single" w:sz="4" w:space="0" w:color="auto"/>
              <w:right w:val="nil"/>
            </w:tcBorders>
            <w:noWrap/>
            <w:vAlign w:val="bottom"/>
            <w:hideMark/>
          </w:tcPr>
          <w:p w14:paraId="5C82EF87"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0.06</w:t>
            </w:r>
          </w:p>
        </w:tc>
        <w:tc>
          <w:tcPr>
            <w:tcW w:w="1434" w:type="dxa"/>
            <w:tcBorders>
              <w:top w:val="nil"/>
              <w:left w:val="single" w:sz="4" w:space="0" w:color="auto"/>
              <w:bottom w:val="single" w:sz="4" w:space="0" w:color="auto"/>
              <w:right w:val="single" w:sz="4" w:space="0" w:color="auto"/>
            </w:tcBorders>
            <w:noWrap/>
            <w:vAlign w:val="bottom"/>
            <w:hideMark/>
          </w:tcPr>
          <w:p w14:paraId="262C05EE"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0.06</w:t>
            </w:r>
          </w:p>
        </w:tc>
        <w:tc>
          <w:tcPr>
            <w:tcW w:w="1439" w:type="dxa"/>
            <w:tcBorders>
              <w:top w:val="nil"/>
              <w:left w:val="nil"/>
              <w:bottom w:val="single" w:sz="4" w:space="0" w:color="auto"/>
              <w:right w:val="single" w:sz="4" w:space="0" w:color="auto"/>
            </w:tcBorders>
            <w:shd w:val="clear" w:color="auto" w:fill="F2F2F2" w:themeFill="background1" w:themeFillShade="F2"/>
            <w:noWrap/>
            <w:vAlign w:val="bottom"/>
            <w:hideMark/>
          </w:tcPr>
          <w:p w14:paraId="01EC46EB" w14:textId="77777777" w:rsidR="00081488" w:rsidRPr="000E14BA" w:rsidRDefault="00081488" w:rsidP="006B0C12">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0.05**</w:t>
            </w:r>
          </w:p>
        </w:tc>
      </w:tr>
      <w:tr w:rsidR="00161EDB" w:rsidRPr="000E14BA" w14:paraId="4B6B1F87"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4400F453"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NUM</w:t>
            </w:r>
          </w:p>
        </w:tc>
        <w:tc>
          <w:tcPr>
            <w:tcW w:w="993" w:type="dxa"/>
            <w:tcBorders>
              <w:top w:val="nil"/>
              <w:left w:val="single" w:sz="4" w:space="0" w:color="auto"/>
              <w:bottom w:val="nil"/>
              <w:right w:val="single" w:sz="4" w:space="0" w:color="auto"/>
            </w:tcBorders>
            <w:noWrap/>
            <w:vAlign w:val="bottom"/>
            <w:hideMark/>
          </w:tcPr>
          <w:p w14:paraId="73A9FE2C"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ENVMGT</w:t>
            </w:r>
          </w:p>
        </w:tc>
        <w:tc>
          <w:tcPr>
            <w:tcW w:w="702" w:type="dxa"/>
            <w:tcBorders>
              <w:top w:val="nil"/>
              <w:left w:val="nil"/>
              <w:bottom w:val="nil"/>
              <w:right w:val="nil"/>
            </w:tcBorders>
            <w:noWrap/>
            <w:vAlign w:val="bottom"/>
            <w:hideMark/>
          </w:tcPr>
          <w:p w14:paraId="5B88DF02"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6</w:t>
            </w:r>
          </w:p>
        </w:tc>
        <w:tc>
          <w:tcPr>
            <w:tcW w:w="999" w:type="dxa"/>
            <w:tcBorders>
              <w:top w:val="nil"/>
              <w:left w:val="single" w:sz="4" w:space="0" w:color="auto"/>
              <w:bottom w:val="nil"/>
              <w:right w:val="single" w:sz="4" w:space="0" w:color="auto"/>
            </w:tcBorders>
            <w:noWrap/>
            <w:vAlign w:val="bottom"/>
            <w:hideMark/>
          </w:tcPr>
          <w:p w14:paraId="2CE047D7"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w:t>
            </w:r>
          </w:p>
        </w:tc>
        <w:tc>
          <w:tcPr>
            <w:tcW w:w="1134" w:type="dxa"/>
            <w:tcBorders>
              <w:top w:val="nil"/>
              <w:left w:val="nil"/>
              <w:bottom w:val="nil"/>
              <w:right w:val="nil"/>
            </w:tcBorders>
            <w:noWrap/>
            <w:vAlign w:val="bottom"/>
            <w:hideMark/>
          </w:tcPr>
          <w:p w14:paraId="3330BD1A"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w:t>
            </w:r>
          </w:p>
        </w:tc>
        <w:tc>
          <w:tcPr>
            <w:tcW w:w="1060" w:type="dxa"/>
            <w:tcBorders>
              <w:top w:val="nil"/>
              <w:left w:val="single" w:sz="4" w:space="0" w:color="auto"/>
              <w:bottom w:val="nil"/>
              <w:right w:val="single" w:sz="4" w:space="0" w:color="auto"/>
            </w:tcBorders>
            <w:noWrap/>
            <w:vAlign w:val="bottom"/>
            <w:hideMark/>
          </w:tcPr>
          <w:p w14:paraId="6FD3588C"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w:t>
            </w:r>
          </w:p>
        </w:tc>
        <w:tc>
          <w:tcPr>
            <w:tcW w:w="1200" w:type="dxa"/>
            <w:tcBorders>
              <w:top w:val="nil"/>
              <w:left w:val="nil"/>
              <w:bottom w:val="nil"/>
              <w:right w:val="nil"/>
            </w:tcBorders>
            <w:noWrap/>
            <w:vAlign w:val="bottom"/>
            <w:hideMark/>
          </w:tcPr>
          <w:p w14:paraId="19F8E55A"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6</w:t>
            </w:r>
          </w:p>
        </w:tc>
        <w:tc>
          <w:tcPr>
            <w:tcW w:w="1200" w:type="dxa"/>
            <w:tcBorders>
              <w:top w:val="nil"/>
              <w:left w:val="single" w:sz="4" w:space="0" w:color="auto"/>
              <w:bottom w:val="nil"/>
              <w:right w:val="single" w:sz="4" w:space="0" w:color="auto"/>
            </w:tcBorders>
            <w:noWrap/>
            <w:vAlign w:val="bottom"/>
            <w:hideMark/>
          </w:tcPr>
          <w:p w14:paraId="7C837626"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5</w:t>
            </w:r>
          </w:p>
        </w:tc>
        <w:tc>
          <w:tcPr>
            <w:tcW w:w="1200" w:type="dxa"/>
            <w:tcBorders>
              <w:top w:val="nil"/>
              <w:left w:val="nil"/>
              <w:bottom w:val="nil"/>
              <w:right w:val="nil"/>
            </w:tcBorders>
            <w:noWrap/>
            <w:vAlign w:val="bottom"/>
            <w:hideMark/>
          </w:tcPr>
          <w:p w14:paraId="5A588272"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w:t>
            </w:r>
          </w:p>
        </w:tc>
        <w:tc>
          <w:tcPr>
            <w:tcW w:w="1355" w:type="dxa"/>
            <w:tcBorders>
              <w:top w:val="nil"/>
              <w:left w:val="single" w:sz="4" w:space="0" w:color="auto"/>
              <w:bottom w:val="nil"/>
              <w:right w:val="single" w:sz="4" w:space="0" w:color="auto"/>
            </w:tcBorders>
            <w:noWrap/>
            <w:vAlign w:val="bottom"/>
            <w:hideMark/>
          </w:tcPr>
          <w:p w14:paraId="109125F6"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7</w:t>
            </w:r>
          </w:p>
        </w:tc>
        <w:tc>
          <w:tcPr>
            <w:tcW w:w="1434" w:type="dxa"/>
            <w:tcBorders>
              <w:top w:val="nil"/>
              <w:left w:val="nil"/>
              <w:bottom w:val="nil"/>
              <w:right w:val="nil"/>
            </w:tcBorders>
            <w:noWrap/>
            <w:vAlign w:val="bottom"/>
            <w:hideMark/>
          </w:tcPr>
          <w:p w14:paraId="2B69F9FA"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7</w:t>
            </w:r>
          </w:p>
        </w:tc>
        <w:tc>
          <w:tcPr>
            <w:tcW w:w="1434" w:type="dxa"/>
            <w:tcBorders>
              <w:top w:val="nil"/>
              <w:left w:val="single" w:sz="4" w:space="0" w:color="auto"/>
              <w:bottom w:val="nil"/>
              <w:right w:val="single" w:sz="4" w:space="0" w:color="auto"/>
            </w:tcBorders>
            <w:noWrap/>
            <w:vAlign w:val="bottom"/>
            <w:hideMark/>
          </w:tcPr>
          <w:p w14:paraId="1BA7BAB9"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9</w:t>
            </w:r>
          </w:p>
        </w:tc>
        <w:tc>
          <w:tcPr>
            <w:tcW w:w="1439" w:type="dxa"/>
            <w:tcBorders>
              <w:top w:val="nil"/>
              <w:left w:val="nil"/>
              <w:bottom w:val="nil"/>
              <w:right w:val="single" w:sz="4" w:space="0" w:color="auto"/>
            </w:tcBorders>
            <w:noWrap/>
            <w:vAlign w:val="bottom"/>
            <w:hideMark/>
          </w:tcPr>
          <w:p w14:paraId="0CB308F4"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8</w:t>
            </w:r>
          </w:p>
        </w:tc>
      </w:tr>
      <w:tr w:rsidR="00161EDB" w:rsidRPr="000E14BA" w14:paraId="76B22B7C"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67A5624C"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Diff</w:t>
            </w:r>
          </w:p>
        </w:tc>
        <w:tc>
          <w:tcPr>
            <w:tcW w:w="993" w:type="dxa"/>
            <w:tcBorders>
              <w:top w:val="nil"/>
              <w:left w:val="single" w:sz="4" w:space="0" w:color="auto"/>
              <w:bottom w:val="nil"/>
              <w:right w:val="single" w:sz="4" w:space="0" w:color="auto"/>
            </w:tcBorders>
            <w:noWrap/>
            <w:vAlign w:val="bottom"/>
            <w:hideMark/>
          </w:tcPr>
          <w:p w14:paraId="4EB8D8CC"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nil"/>
              <w:right w:val="nil"/>
            </w:tcBorders>
            <w:noWrap/>
            <w:vAlign w:val="bottom"/>
            <w:hideMark/>
          </w:tcPr>
          <w:p w14:paraId="2461E620"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nil"/>
              <w:right w:val="single" w:sz="4" w:space="0" w:color="auto"/>
            </w:tcBorders>
            <w:noWrap/>
            <w:vAlign w:val="bottom"/>
            <w:hideMark/>
          </w:tcPr>
          <w:p w14:paraId="5AC60F33"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w:t>
            </w:r>
          </w:p>
        </w:tc>
        <w:tc>
          <w:tcPr>
            <w:tcW w:w="1134" w:type="dxa"/>
            <w:tcBorders>
              <w:top w:val="nil"/>
              <w:left w:val="nil"/>
              <w:bottom w:val="nil"/>
              <w:right w:val="nil"/>
            </w:tcBorders>
            <w:noWrap/>
            <w:vAlign w:val="bottom"/>
            <w:hideMark/>
          </w:tcPr>
          <w:p w14:paraId="7B41EC7E"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w:t>
            </w:r>
          </w:p>
        </w:tc>
        <w:tc>
          <w:tcPr>
            <w:tcW w:w="1060" w:type="dxa"/>
            <w:tcBorders>
              <w:top w:val="nil"/>
              <w:left w:val="single" w:sz="4" w:space="0" w:color="auto"/>
              <w:bottom w:val="nil"/>
              <w:right w:val="single" w:sz="4" w:space="0" w:color="auto"/>
            </w:tcBorders>
            <w:noWrap/>
            <w:vAlign w:val="bottom"/>
            <w:hideMark/>
          </w:tcPr>
          <w:p w14:paraId="2B1A9D3A"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w:t>
            </w:r>
          </w:p>
        </w:tc>
        <w:tc>
          <w:tcPr>
            <w:tcW w:w="1200" w:type="dxa"/>
            <w:tcBorders>
              <w:top w:val="nil"/>
              <w:left w:val="nil"/>
              <w:bottom w:val="nil"/>
              <w:right w:val="nil"/>
            </w:tcBorders>
            <w:noWrap/>
            <w:vAlign w:val="bottom"/>
            <w:hideMark/>
          </w:tcPr>
          <w:p w14:paraId="370E92DC"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w:t>
            </w:r>
          </w:p>
        </w:tc>
        <w:tc>
          <w:tcPr>
            <w:tcW w:w="1200" w:type="dxa"/>
            <w:tcBorders>
              <w:top w:val="nil"/>
              <w:left w:val="single" w:sz="4" w:space="0" w:color="auto"/>
              <w:bottom w:val="nil"/>
              <w:right w:val="single" w:sz="4" w:space="0" w:color="auto"/>
            </w:tcBorders>
            <w:noWrap/>
            <w:vAlign w:val="bottom"/>
            <w:hideMark/>
          </w:tcPr>
          <w:p w14:paraId="4524E520"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w:t>
            </w:r>
          </w:p>
        </w:tc>
        <w:tc>
          <w:tcPr>
            <w:tcW w:w="1200" w:type="dxa"/>
            <w:tcBorders>
              <w:top w:val="nil"/>
              <w:left w:val="nil"/>
              <w:bottom w:val="nil"/>
              <w:right w:val="nil"/>
            </w:tcBorders>
            <w:noWrap/>
            <w:vAlign w:val="bottom"/>
            <w:hideMark/>
          </w:tcPr>
          <w:p w14:paraId="3376E959"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w:t>
            </w:r>
          </w:p>
        </w:tc>
        <w:tc>
          <w:tcPr>
            <w:tcW w:w="1355" w:type="dxa"/>
            <w:tcBorders>
              <w:top w:val="nil"/>
              <w:left w:val="single" w:sz="4" w:space="0" w:color="auto"/>
              <w:bottom w:val="nil"/>
              <w:right w:val="single" w:sz="4" w:space="0" w:color="auto"/>
            </w:tcBorders>
            <w:noWrap/>
            <w:vAlign w:val="bottom"/>
            <w:hideMark/>
          </w:tcPr>
          <w:p w14:paraId="73E2C44F"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w:t>
            </w:r>
          </w:p>
        </w:tc>
        <w:tc>
          <w:tcPr>
            <w:tcW w:w="1434" w:type="dxa"/>
            <w:tcBorders>
              <w:top w:val="nil"/>
              <w:left w:val="nil"/>
              <w:bottom w:val="nil"/>
              <w:right w:val="nil"/>
            </w:tcBorders>
            <w:noWrap/>
            <w:vAlign w:val="bottom"/>
            <w:hideMark/>
          </w:tcPr>
          <w:p w14:paraId="5D9207C1"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w:t>
            </w:r>
          </w:p>
        </w:tc>
        <w:tc>
          <w:tcPr>
            <w:tcW w:w="1434" w:type="dxa"/>
            <w:tcBorders>
              <w:top w:val="nil"/>
              <w:left w:val="single" w:sz="4" w:space="0" w:color="auto"/>
              <w:bottom w:val="nil"/>
              <w:right w:val="single" w:sz="4" w:space="0" w:color="auto"/>
            </w:tcBorders>
            <w:noWrap/>
            <w:vAlign w:val="bottom"/>
            <w:hideMark/>
          </w:tcPr>
          <w:p w14:paraId="46405719"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w:t>
            </w:r>
          </w:p>
        </w:tc>
        <w:tc>
          <w:tcPr>
            <w:tcW w:w="1439" w:type="dxa"/>
            <w:tcBorders>
              <w:top w:val="nil"/>
              <w:left w:val="nil"/>
              <w:bottom w:val="nil"/>
              <w:right w:val="single" w:sz="4" w:space="0" w:color="auto"/>
            </w:tcBorders>
            <w:noWrap/>
            <w:vAlign w:val="bottom"/>
            <w:hideMark/>
          </w:tcPr>
          <w:p w14:paraId="2D5A27B6"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w:t>
            </w:r>
          </w:p>
        </w:tc>
      </w:tr>
      <w:tr w:rsidR="00161EDB" w:rsidRPr="000E14BA" w14:paraId="43864984"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2C3B20FF"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P-Val</w:t>
            </w:r>
          </w:p>
        </w:tc>
        <w:tc>
          <w:tcPr>
            <w:tcW w:w="993" w:type="dxa"/>
            <w:tcBorders>
              <w:top w:val="nil"/>
              <w:left w:val="single" w:sz="4" w:space="0" w:color="auto"/>
              <w:bottom w:val="nil"/>
              <w:right w:val="single" w:sz="4" w:space="0" w:color="auto"/>
            </w:tcBorders>
            <w:noWrap/>
            <w:vAlign w:val="bottom"/>
            <w:hideMark/>
          </w:tcPr>
          <w:p w14:paraId="736D8E4E"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nil"/>
              <w:right w:val="nil"/>
            </w:tcBorders>
            <w:noWrap/>
            <w:vAlign w:val="bottom"/>
            <w:hideMark/>
          </w:tcPr>
          <w:p w14:paraId="4CF944F7"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single" w:sz="4" w:space="0" w:color="auto"/>
              <w:right w:val="single" w:sz="4" w:space="0" w:color="auto"/>
            </w:tcBorders>
            <w:noWrap/>
            <w:vAlign w:val="bottom"/>
            <w:hideMark/>
          </w:tcPr>
          <w:p w14:paraId="11D790AC"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0.39</w:t>
            </w:r>
          </w:p>
        </w:tc>
        <w:tc>
          <w:tcPr>
            <w:tcW w:w="1134" w:type="dxa"/>
            <w:tcBorders>
              <w:top w:val="nil"/>
              <w:left w:val="nil"/>
              <w:bottom w:val="single" w:sz="4" w:space="0" w:color="auto"/>
              <w:right w:val="nil"/>
            </w:tcBorders>
            <w:noWrap/>
            <w:vAlign w:val="bottom"/>
            <w:hideMark/>
          </w:tcPr>
          <w:p w14:paraId="15D5E144"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0.33</w:t>
            </w:r>
          </w:p>
        </w:tc>
        <w:tc>
          <w:tcPr>
            <w:tcW w:w="1060" w:type="dxa"/>
            <w:tcBorders>
              <w:top w:val="nil"/>
              <w:left w:val="single" w:sz="4" w:space="0" w:color="auto"/>
              <w:bottom w:val="single" w:sz="4" w:space="0" w:color="auto"/>
              <w:right w:val="single" w:sz="4" w:space="0" w:color="auto"/>
            </w:tcBorders>
            <w:noWrap/>
            <w:vAlign w:val="bottom"/>
            <w:hideMark/>
          </w:tcPr>
          <w:p w14:paraId="492FABD2"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0.48</w:t>
            </w:r>
          </w:p>
        </w:tc>
        <w:tc>
          <w:tcPr>
            <w:tcW w:w="1200" w:type="dxa"/>
            <w:tcBorders>
              <w:top w:val="nil"/>
              <w:left w:val="nil"/>
              <w:bottom w:val="single" w:sz="4" w:space="0" w:color="auto"/>
              <w:right w:val="nil"/>
            </w:tcBorders>
            <w:noWrap/>
            <w:vAlign w:val="bottom"/>
            <w:hideMark/>
          </w:tcPr>
          <w:p w14:paraId="44DF6105"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0.46</w:t>
            </w:r>
          </w:p>
        </w:tc>
        <w:tc>
          <w:tcPr>
            <w:tcW w:w="1200" w:type="dxa"/>
            <w:tcBorders>
              <w:top w:val="nil"/>
              <w:left w:val="single" w:sz="4" w:space="0" w:color="auto"/>
              <w:bottom w:val="single" w:sz="4" w:space="0" w:color="auto"/>
              <w:right w:val="single" w:sz="4" w:space="0" w:color="auto"/>
            </w:tcBorders>
            <w:noWrap/>
            <w:vAlign w:val="bottom"/>
            <w:hideMark/>
          </w:tcPr>
          <w:p w14:paraId="4899CC77"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0.56</w:t>
            </w:r>
          </w:p>
        </w:tc>
        <w:tc>
          <w:tcPr>
            <w:tcW w:w="1200" w:type="dxa"/>
            <w:tcBorders>
              <w:top w:val="nil"/>
              <w:left w:val="nil"/>
              <w:bottom w:val="single" w:sz="4" w:space="0" w:color="auto"/>
              <w:right w:val="nil"/>
            </w:tcBorders>
            <w:noWrap/>
            <w:vAlign w:val="bottom"/>
            <w:hideMark/>
          </w:tcPr>
          <w:p w14:paraId="4F45CE4A"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0.49</w:t>
            </w:r>
          </w:p>
        </w:tc>
        <w:tc>
          <w:tcPr>
            <w:tcW w:w="1355" w:type="dxa"/>
            <w:tcBorders>
              <w:top w:val="nil"/>
              <w:left w:val="single" w:sz="4" w:space="0" w:color="auto"/>
              <w:bottom w:val="single" w:sz="4" w:space="0" w:color="auto"/>
              <w:right w:val="single" w:sz="4" w:space="0" w:color="auto"/>
            </w:tcBorders>
            <w:noWrap/>
            <w:vAlign w:val="bottom"/>
            <w:hideMark/>
          </w:tcPr>
          <w:p w14:paraId="4407DDA6"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0.55</w:t>
            </w:r>
          </w:p>
        </w:tc>
        <w:tc>
          <w:tcPr>
            <w:tcW w:w="1434" w:type="dxa"/>
            <w:tcBorders>
              <w:top w:val="nil"/>
              <w:left w:val="nil"/>
              <w:bottom w:val="single" w:sz="4" w:space="0" w:color="auto"/>
              <w:right w:val="nil"/>
            </w:tcBorders>
            <w:noWrap/>
            <w:vAlign w:val="bottom"/>
            <w:hideMark/>
          </w:tcPr>
          <w:p w14:paraId="7CCF114D"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0.53</w:t>
            </w:r>
          </w:p>
        </w:tc>
        <w:tc>
          <w:tcPr>
            <w:tcW w:w="1434" w:type="dxa"/>
            <w:tcBorders>
              <w:top w:val="nil"/>
              <w:left w:val="single" w:sz="4" w:space="0" w:color="auto"/>
              <w:bottom w:val="single" w:sz="4" w:space="0" w:color="auto"/>
              <w:right w:val="single" w:sz="4" w:space="0" w:color="auto"/>
            </w:tcBorders>
            <w:noWrap/>
            <w:vAlign w:val="bottom"/>
            <w:hideMark/>
          </w:tcPr>
          <w:p w14:paraId="2ED7BBAC"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0.43</w:t>
            </w:r>
          </w:p>
        </w:tc>
        <w:tc>
          <w:tcPr>
            <w:tcW w:w="1439" w:type="dxa"/>
            <w:tcBorders>
              <w:top w:val="nil"/>
              <w:left w:val="nil"/>
              <w:bottom w:val="single" w:sz="4" w:space="0" w:color="auto"/>
              <w:right w:val="single" w:sz="4" w:space="0" w:color="auto"/>
            </w:tcBorders>
            <w:noWrap/>
            <w:vAlign w:val="bottom"/>
            <w:hideMark/>
          </w:tcPr>
          <w:p w14:paraId="25478356"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0.46</w:t>
            </w:r>
          </w:p>
        </w:tc>
      </w:tr>
      <w:tr w:rsidR="00161EDB" w:rsidRPr="000E14BA" w14:paraId="5C2D1D35" w14:textId="77777777" w:rsidTr="00161EDB">
        <w:trPr>
          <w:gridAfter w:val="1"/>
          <w:wAfter w:w="14" w:type="dxa"/>
          <w:trHeight w:val="206"/>
        </w:trPr>
        <w:tc>
          <w:tcPr>
            <w:tcW w:w="993" w:type="dxa"/>
            <w:tcBorders>
              <w:top w:val="single" w:sz="4" w:space="0" w:color="auto"/>
              <w:left w:val="single" w:sz="4" w:space="0" w:color="auto"/>
              <w:bottom w:val="nil"/>
              <w:right w:val="nil"/>
            </w:tcBorders>
            <w:noWrap/>
            <w:vAlign w:val="bottom"/>
            <w:hideMark/>
          </w:tcPr>
          <w:p w14:paraId="11BF2D8A" w14:textId="0D72F117" w:rsidR="00081488" w:rsidRPr="000E14BA" w:rsidRDefault="008F3E21"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Pr>
                <w:rFonts w:ascii="Times New Roman" w:eastAsia="Times New Roman" w:hAnsi="Times New Roman" w:cs="Times New Roman"/>
                <w:color w:val="000000"/>
                <w:kern w:val="0"/>
                <w:sz w:val="16"/>
                <w:szCs w:val="16"/>
                <w:lang w:eastAsia="en-GB"/>
                <w14:ligatures w14:val="none"/>
              </w:rPr>
              <w:t>TOTAL</w:t>
            </w:r>
          </w:p>
        </w:tc>
        <w:tc>
          <w:tcPr>
            <w:tcW w:w="993" w:type="dxa"/>
            <w:tcBorders>
              <w:top w:val="single" w:sz="4" w:space="0" w:color="auto"/>
              <w:left w:val="single" w:sz="4" w:space="0" w:color="auto"/>
              <w:bottom w:val="nil"/>
              <w:right w:val="single" w:sz="4" w:space="0" w:color="auto"/>
            </w:tcBorders>
            <w:noWrap/>
            <w:vAlign w:val="bottom"/>
            <w:hideMark/>
          </w:tcPr>
          <w:p w14:paraId="6E42BFC7"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TOTAL</w:t>
            </w:r>
          </w:p>
        </w:tc>
        <w:tc>
          <w:tcPr>
            <w:tcW w:w="702" w:type="dxa"/>
            <w:tcBorders>
              <w:top w:val="single" w:sz="4" w:space="0" w:color="auto"/>
              <w:left w:val="single" w:sz="4" w:space="0" w:color="auto"/>
              <w:bottom w:val="nil"/>
              <w:right w:val="nil"/>
            </w:tcBorders>
            <w:noWrap/>
            <w:vAlign w:val="bottom"/>
            <w:hideMark/>
          </w:tcPr>
          <w:p w14:paraId="11C41B6C"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320</w:t>
            </w:r>
          </w:p>
        </w:tc>
        <w:tc>
          <w:tcPr>
            <w:tcW w:w="999" w:type="dxa"/>
            <w:tcBorders>
              <w:top w:val="single" w:sz="4" w:space="0" w:color="auto"/>
              <w:left w:val="single" w:sz="4" w:space="0" w:color="auto"/>
              <w:bottom w:val="nil"/>
              <w:right w:val="single" w:sz="4" w:space="0" w:color="auto"/>
            </w:tcBorders>
            <w:noWrap/>
            <w:vAlign w:val="bottom"/>
            <w:hideMark/>
          </w:tcPr>
          <w:p w14:paraId="2B5CC7E4" w14:textId="7263AF74" w:rsidR="00081488" w:rsidRPr="000E14BA" w:rsidRDefault="00466604"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Pr>
                <w:rFonts w:ascii="Times New Roman" w:eastAsia="Times New Roman" w:hAnsi="Times New Roman" w:cs="Times New Roman"/>
                <w:color w:val="000000"/>
                <w:kern w:val="0"/>
                <w:sz w:val="16"/>
                <w:szCs w:val="16"/>
                <w:lang w:eastAsia="en-GB"/>
                <w14:ligatures w14:val="none"/>
              </w:rPr>
              <w:t>3</w:t>
            </w:r>
            <w:r w:rsidR="00081488" w:rsidRPr="000E14BA">
              <w:rPr>
                <w:rFonts w:ascii="Times New Roman" w:eastAsia="Times New Roman" w:hAnsi="Times New Roman" w:cs="Times New Roman"/>
                <w:color w:val="000000"/>
                <w:kern w:val="0"/>
                <w:sz w:val="16"/>
                <w:szCs w:val="16"/>
                <w:lang w:eastAsia="en-GB"/>
                <w14:ligatures w14:val="none"/>
              </w:rPr>
              <w:t>18</w:t>
            </w:r>
          </w:p>
        </w:tc>
        <w:tc>
          <w:tcPr>
            <w:tcW w:w="1134" w:type="dxa"/>
            <w:tcBorders>
              <w:top w:val="nil"/>
              <w:left w:val="nil"/>
              <w:bottom w:val="nil"/>
              <w:right w:val="nil"/>
            </w:tcBorders>
            <w:noWrap/>
            <w:vAlign w:val="bottom"/>
            <w:hideMark/>
          </w:tcPr>
          <w:p w14:paraId="216D3E83"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327</w:t>
            </w:r>
          </w:p>
        </w:tc>
        <w:tc>
          <w:tcPr>
            <w:tcW w:w="1060" w:type="dxa"/>
            <w:tcBorders>
              <w:top w:val="single" w:sz="4" w:space="0" w:color="auto"/>
              <w:left w:val="single" w:sz="4" w:space="0" w:color="auto"/>
              <w:bottom w:val="nil"/>
              <w:right w:val="single" w:sz="4" w:space="0" w:color="auto"/>
            </w:tcBorders>
            <w:noWrap/>
            <w:vAlign w:val="bottom"/>
            <w:hideMark/>
          </w:tcPr>
          <w:p w14:paraId="7703E268"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442</w:t>
            </w:r>
          </w:p>
        </w:tc>
        <w:tc>
          <w:tcPr>
            <w:tcW w:w="1200" w:type="dxa"/>
            <w:tcBorders>
              <w:top w:val="nil"/>
              <w:left w:val="nil"/>
              <w:bottom w:val="nil"/>
              <w:right w:val="nil"/>
            </w:tcBorders>
            <w:noWrap/>
            <w:vAlign w:val="bottom"/>
            <w:hideMark/>
          </w:tcPr>
          <w:p w14:paraId="6B11A02C"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441</w:t>
            </w:r>
          </w:p>
        </w:tc>
        <w:tc>
          <w:tcPr>
            <w:tcW w:w="1200" w:type="dxa"/>
            <w:tcBorders>
              <w:top w:val="single" w:sz="4" w:space="0" w:color="auto"/>
              <w:left w:val="single" w:sz="4" w:space="0" w:color="auto"/>
              <w:bottom w:val="nil"/>
              <w:right w:val="single" w:sz="4" w:space="0" w:color="auto"/>
            </w:tcBorders>
            <w:noWrap/>
            <w:vAlign w:val="bottom"/>
            <w:hideMark/>
          </w:tcPr>
          <w:p w14:paraId="1E3AA382"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508</w:t>
            </w:r>
          </w:p>
        </w:tc>
        <w:tc>
          <w:tcPr>
            <w:tcW w:w="1200" w:type="dxa"/>
            <w:tcBorders>
              <w:top w:val="nil"/>
              <w:left w:val="nil"/>
              <w:bottom w:val="nil"/>
              <w:right w:val="nil"/>
            </w:tcBorders>
            <w:noWrap/>
            <w:vAlign w:val="bottom"/>
            <w:hideMark/>
          </w:tcPr>
          <w:p w14:paraId="4A9F7EE1"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550</w:t>
            </w:r>
          </w:p>
        </w:tc>
        <w:tc>
          <w:tcPr>
            <w:tcW w:w="1355" w:type="dxa"/>
            <w:tcBorders>
              <w:top w:val="single" w:sz="4" w:space="0" w:color="auto"/>
              <w:left w:val="single" w:sz="4" w:space="0" w:color="auto"/>
              <w:bottom w:val="nil"/>
              <w:right w:val="single" w:sz="4" w:space="0" w:color="auto"/>
            </w:tcBorders>
            <w:shd w:val="clear" w:color="auto" w:fill="F2F2F2" w:themeFill="background1" w:themeFillShade="F2"/>
            <w:noWrap/>
            <w:vAlign w:val="bottom"/>
            <w:hideMark/>
          </w:tcPr>
          <w:p w14:paraId="63D3509B"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720</w:t>
            </w:r>
          </w:p>
        </w:tc>
        <w:tc>
          <w:tcPr>
            <w:tcW w:w="1434" w:type="dxa"/>
            <w:tcBorders>
              <w:top w:val="nil"/>
              <w:left w:val="nil"/>
              <w:bottom w:val="nil"/>
              <w:right w:val="nil"/>
            </w:tcBorders>
            <w:shd w:val="clear" w:color="auto" w:fill="F2F2F2" w:themeFill="background1" w:themeFillShade="F2"/>
            <w:noWrap/>
            <w:vAlign w:val="bottom"/>
            <w:hideMark/>
          </w:tcPr>
          <w:p w14:paraId="3CC84677"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1063</w:t>
            </w:r>
          </w:p>
        </w:tc>
        <w:tc>
          <w:tcPr>
            <w:tcW w:w="1434" w:type="dxa"/>
            <w:tcBorders>
              <w:top w:val="single" w:sz="4" w:space="0" w:color="auto"/>
              <w:left w:val="single" w:sz="4" w:space="0" w:color="auto"/>
              <w:bottom w:val="nil"/>
              <w:right w:val="single" w:sz="4" w:space="0" w:color="auto"/>
            </w:tcBorders>
            <w:shd w:val="clear" w:color="auto" w:fill="F2F2F2" w:themeFill="background1" w:themeFillShade="F2"/>
            <w:noWrap/>
            <w:vAlign w:val="bottom"/>
            <w:hideMark/>
          </w:tcPr>
          <w:p w14:paraId="6A441C3E"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1103</w:t>
            </w:r>
          </w:p>
        </w:tc>
        <w:tc>
          <w:tcPr>
            <w:tcW w:w="1439" w:type="dxa"/>
            <w:tcBorders>
              <w:top w:val="nil"/>
              <w:left w:val="nil"/>
              <w:bottom w:val="nil"/>
              <w:right w:val="single" w:sz="4" w:space="0" w:color="auto"/>
            </w:tcBorders>
            <w:shd w:val="clear" w:color="auto" w:fill="F2F2F2" w:themeFill="background1" w:themeFillShade="F2"/>
            <w:noWrap/>
            <w:vAlign w:val="bottom"/>
            <w:hideMark/>
          </w:tcPr>
          <w:p w14:paraId="51FC6EA2"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1290</w:t>
            </w:r>
          </w:p>
        </w:tc>
      </w:tr>
      <w:tr w:rsidR="00161EDB" w:rsidRPr="000E14BA" w14:paraId="455F24E3"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49C66AB9"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Diff</w:t>
            </w:r>
          </w:p>
        </w:tc>
        <w:tc>
          <w:tcPr>
            <w:tcW w:w="993" w:type="dxa"/>
            <w:tcBorders>
              <w:top w:val="nil"/>
              <w:left w:val="single" w:sz="4" w:space="0" w:color="auto"/>
              <w:bottom w:val="nil"/>
              <w:right w:val="single" w:sz="4" w:space="0" w:color="auto"/>
            </w:tcBorders>
            <w:noWrap/>
            <w:vAlign w:val="bottom"/>
            <w:hideMark/>
          </w:tcPr>
          <w:p w14:paraId="5BF90755"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nil"/>
              <w:right w:val="nil"/>
            </w:tcBorders>
            <w:noWrap/>
            <w:vAlign w:val="bottom"/>
            <w:hideMark/>
          </w:tcPr>
          <w:p w14:paraId="7B9B36B2"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nil"/>
              <w:right w:val="single" w:sz="4" w:space="0" w:color="auto"/>
            </w:tcBorders>
            <w:noWrap/>
            <w:vAlign w:val="bottom"/>
            <w:hideMark/>
          </w:tcPr>
          <w:p w14:paraId="0C8E3D4F"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w:t>
            </w:r>
          </w:p>
        </w:tc>
        <w:tc>
          <w:tcPr>
            <w:tcW w:w="1134" w:type="dxa"/>
            <w:tcBorders>
              <w:top w:val="nil"/>
              <w:left w:val="nil"/>
              <w:bottom w:val="nil"/>
              <w:right w:val="nil"/>
            </w:tcBorders>
            <w:noWrap/>
            <w:vAlign w:val="bottom"/>
            <w:hideMark/>
          </w:tcPr>
          <w:p w14:paraId="47D2AFE1"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7</w:t>
            </w:r>
          </w:p>
        </w:tc>
        <w:tc>
          <w:tcPr>
            <w:tcW w:w="1060" w:type="dxa"/>
            <w:tcBorders>
              <w:top w:val="nil"/>
              <w:left w:val="single" w:sz="4" w:space="0" w:color="auto"/>
              <w:bottom w:val="nil"/>
              <w:right w:val="single" w:sz="4" w:space="0" w:color="auto"/>
            </w:tcBorders>
            <w:noWrap/>
            <w:vAlign w:val="bottom"/>
            <w:hideMark/>
          </w:tcPr>
          <w:p w14:paraId="78B21CB5"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122</w:t>
            </w:r>
          </w:p>
        </w:tc>
        <w:tc>
          <w:tcPr>
            <w:tcW w:w="1200" w:type="dxa"/>
            <w:tcBorders>
              <w:top w:val="nil"/>
              <w:left w:val="nil"/>
              <w:bottom w:val="nil"/>
              <w:right w:val="nil"/>
            </w:tcBorders>
            <w:noWrap/>
            <w:vAlign w:val="bottom"/>
            <w:hideMark/>
          </w:tcPr>
          <w:p w14:paraId="64044104"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121</w:t>
            </w:r>
          </w:p>
        </w:tc>
        <w:tc>
          <w:tcPr>
            <w:tcW w:w="1200" w:type="dxa"/>
            <w:tcBorders>
              <w:top w:val="nil"/>
              <w:left w:val="single" w:sz="4" w:space="0" w:color="auto"/>
              <w:bottom w:val="nil"/>
              <w:right w:val="single" w:sz="4" w:space="0" w:color="auto"/>
            </w:tcBorders>
            <w:noWrap/>
            <w:vAlign w:val="bottom"/>
            <w:hideMark/>
          </w:tcPr>
          <w:p w14:paraId="123F1AA3"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188</w:t>
            </w:r>
          </w:p>
        </w:tc>
        <w:tc>
          <w:tcPr>
            <w:tcW w:w="1200" w:type="dxa"/>
            <w:tcBorders>
              <w:top w:val="nil"/>
              <w:left w:val="nil"/>
              <w:bottom w:val="nil"/>
              <w:right w:val="nil"/>
            </w:tcBorders>
            <w:noWrap/>
            <w:vAlign w:val="bottom"/>
            <w:hideMark/>
          </w:tcPr>
          <w:p w14:paraId="19ED8D13"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230</w:t>
            </w:r>
          </w:p>
        </w:tc>
        <w:tc>
          <w:tcPr>
            <w:tcW w:w="1355" w:type="dxa"/>
            <w:tcBorders>
              <w:top w:val="nil"/>
              <w:left w:val="single" w:sz="4" w:space="0" w:color="auto"/>
              <w:bottom w:val="nil"/>
              <w:right w:val="single" w:sz="4" w:space="0" w:color="auto"/>
            </w:tcBorders>
            <w:shd w:val="clear" w:color="auto" w:fill="F2F2F2" w:themeFill="background1" w:themeFillShade="F2"/>
            <w:noWrap/>
            <w:vAlign w:val="bottom"/>
            <w:hideMark/>
          </w:tcPr>
          <w:p w14:paraId="4949CBAC"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400</w:t>
            </w:r>
          </w:p>
        </w:tc>
        <w:tc>
          <w:tcPr>
            <w:tcW w:w="1434" w:type="dxa"/>
            <w:tcBorders>
              <w:top w:val="nil"/>
              <w:left w:val="nil"/>
              <w:bottom w:val="nil"/>
              <w:right w:val="nil"/>
            </w:tcBorders>
            <w:shd w:val="clear" w:color="auto" w:fill="F2F2F2" w:themeFill="background1" w:themeFillShade="F2"/>
            <w:noWrap/>
            <w:vAlign w:val="bottom"/>
            <w:hideMark/>
          </w:tcPr>
          <w:p w14:paraId="2F17610C"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743</w:t>
            </w:r>
          </w:p>
        </w:tc>
        <w:tc>
          <w:tcPr>
            <w:tcW w:w="1434" w:type="dxa"/>
            <w:tcBorders>
              <w:top w:val="nil"/>
              <w:left w:val="single" w:sz="4" w:space="0" w:color="auto"/>
              <w:bottom w:val="nil"/>
              <w:right w:val="single" w:sz="4" w:space="0" w:color="auto"/>
            </w:tcBorders>
            <w:shd w:val="clear" w:color="auto" w:fill="F2F2F2" w:themeFill="background1" w:themeFillShade="F2"/>
            <w:noWrap/>
            <w:vAlign w:val="bottom"/>
            <w:hideMark/>
          </w:tcPr>
          <w:p w14:paraId="2EF2E1DA"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783</w:t>
            </w:r>
          </w:p>
        </w:tc>
        <w:tc>
          <w:tcPr>
            <w:tcW w:w="1439" w:type="dxa"/>
            <w:tcBorders>
              <w:top w:val="nil"/>
              <w:left w:val="nil"/>
              <w:bottom w:val="nil"/>
              <w:right w:val="single" w:sz="4" w:space="0" w:color="auto"/>
            </w:tcBorders>
            <w:shd w:val="clear" w:color="auto" w:fill="F2F2F2" w:themeFill="background1" w:themeFillShade="F2"/>
            <w:noWrap/>
            <w:vAlign w:val="bottom"/>
            <w:hideMark/>
          </w:tcPr>
          <w:p w14:paraId="36CF2F87"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970</w:t>
            </w:r>
          </w:p>
        </w:tc>
      </w:tr>
      <w:tr w:rsidR="00161EDB" w:rsidRPr="000E14BA" w14:paraId="5665F52A"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6E16DFF2"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P-Val</w:t>
            </w:r>
          </w:p>
        </w:tc>
        <w:tc>
          <w:tcPr>
            <w:tcW w:w="993" w:type="dxa"/>
            <w:tcBorders>
              <w:top w:val="nil"/>
              <w:left w:val="single" w:sz="4" w:space="0" w:color="auto"/>
              <w:bottom w:val="nil"/>
              <w:right w:val="single" w:sz="4" w:space="0" w:color="auto"/>
            </w:tcBorders>
            <w:noWrap/>
            <w:vAlign w:val="bottom"/>
            <w:hideMark/>
          </w:tcPr>
          <w:p w14:paraId="7E9A2BB0"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nil"/>
              <w:right w:val="nil"/>
            </w:tcBorders>
            <w:noWrap/>
            <w:vAlign w:val="bottom"/>
            <w:hideMark/>
          </w:tcPr>
          <w:p w14:paraId="7B8B0AFA"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nil"/>
              <w:right w:val="single" w:sz="4" w:space="0" w:color="auto"/>
            </w:tcBorders>
            <w:noWrap/>
            <w:vAlign w:val="bottom"/>
            <w:hideMark/>
          </w:tcPr>
          <w:p w14:paraId="20310565"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0.47</w:t>
            </w:r>
          </w:p>
        </w:tc>
        <w:tc>
          <w:tcPr>
            <w:tcW w:w="1134" w:type="dxa"/>
            <w:tcBorders>
              <w:top w:val="nil"/>
              <w:left w:val="nil"/>
              <w:bottom w:val="nil"/>
              <w:right w:val="nil"/>
            </w:tcBorders>
            <w:noWrap/>
            <w:vAlign w:val="bottom"/>
            <w:hideMark/>
          </w:tcPr>
          <w:p w14:paraId="13A8AED0"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0.38</w:t>
            </w:r>
          </w:p>
        </w:tc>
        <w:tc>
          <w:tcPr>
            <w:tcW w:w="1060" w:type="dxa"/>
            <w:tcBorders>
              <w:top w:val="nil"/>
              <w:left w:val="single" w:sz="4" w:space="0" w:color="auto"/>
              <w:bottom w:val="nil"/>
              <w:right w:val="single" w:sz="4" w:space="0" w:color="auto"/>
            </w:tcBorders>
            <w:noWrap/>
            <w:vAlign w:val="bottom"/>
            <w:hideMark/>
          </w:tcPr>
          <w:p w14:paraId="4947211A" w14:textId="77777777" w:rsidR="00081488" w:rsidRPr="000E14BA" w:rsidRDefault="00081488" w:rsidP="001F225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0.34</w:t>
            </w:r>
          </w:p>
        </w:tc>
        <w:tc>
          <w:tcPr>
            <w:tcW w:w="1200" w:type="dxa"/>
            <w:tcBorders>
              <w:top w:val="nil"/>
              <w:left w:val="nil"/>
              <w:bottom w:val="nil"/>
              <w:right w:val="nil"/>
            </w:tcBorders>
            <w:noWrap/>
            <w:vAlign w:val="bottom"/>
            <w:hideMark/>
          </w:tcPr>
          <w:p w14:paraId="48CDBD7C"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0.34</w:t>
            </w:r>
          </w:p>
        </w:tc>
        <w:tc>
          <w:tcPr>
            <w:tcW w:w="1200" w:type="dxa"/>
            <w:tcBorders>
              <w:top w:val="nil"/>
              <w:left w:val="single" w:sz="4" w:space="0" w:color="auto"/>
              <w:bottom w:val="nil"/>
              <w:right w:val="single" w:sz="4" w:space="0" w:color="auto"/>
            </w:tcBorders>
            <w:noWrap/>
            <w:vAlign w:val="bottom"/>
            <w:hideMark/>
          </w:tcPr>
          <w:p w14:paraId="17EB0C20"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0.20</w:t>
            </w:r>
          </w:p>
        </w:tc>
        <w:tc>
          <w:tcPr>
            <w:tcW w:w="1200" w:type="dxa"/>
            <w:tcBorders>
              <w:top w:val="nil"/>
              <w:left w:val="nil"/>
              <w:bottom w:val="nil"/>
              <w:right w:val="nil"/>
            </w:tcBorders>
            <w:noWrap/>
            <w:vAlign w:val="bottom"/>
            <w:hideMark/>
          </w:tcPr>
          <w:p w14:paraId="2F3CE571"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0.18</w:t>
            </w:r>
          </w:p>
        </w:tc>
        <w:tc>
          <w:tcPr>
            <w:tcW w:w="1355" w:type="dxa"/>
            <w:tcBorders>
              <w:top w:val="nil"/>
              <w:left w:val="single" w:sz="4" w:space="0" w:color="auto"/>
              <w:bottom w:val="nil"/>
              <w:right w:val="single" w:sz="4" w:space="0" w:color="auto"/>
            </w:tcBorders>
            <w:shd w:val="clear" w:color="auto" w:fill="F2F2F2" w:themeFill="background1" w:themeFillShade="F2"/>
            <w:noWrap/>
            <w:vAlign w:val="bottom"/>
            <w:hideMark/>
          </w:tcPr>
          <w:p w14:paraId="4E3AF445"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0.04**</w:t>
            </w:r>
          </w:p>
        </w:tc>
        <w:tc>
          <w:tcPr>
            <w:tcW w:w="1434" w:type="dxa"/>
            <w:tcBorders>
              <w:top w:val="nil"/>
              <w:left w:val="nil"/>
              <w:bottom w:val="nil"/>
              <w:right w:val="nil"/>
            </w:tcBorders>
            <w:shd w:val="clear" w:color="auto" w:fill="F2F2F2" w:themeFill="background1" w:themeFillShade="F2"/>
            <w:noWrap/>
            <w:vAlign w:val="bottom"/>
            <w:hideMark/>
          </w:tcPr>
          <w:p w14:paraId="46B9DB33"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0.00***</w:t>
            </w:r>
          </w:p>
        </w:tc>
        <w:tc>
          <w:tcPr>
            <w:tcW w:w="1434" w:type="dxa"/>
            <w:tcBorders>
              <w:top w:val="nil"/>
              <w:left w:val="single" w:sz="4" w:space="0" w:color="auto"/>
              <w:bottom w:val="nil"/>
              <w:right w:val="single" w:sz="4" w:space="0" w:color="auto"/>
            </w:tcBorders>
            <w:shd w:val="clear" w:color="auto" w:fill="F2F2F2" w:themeFill="background1" w:themeFillShade="F2"/>
            <w:noWrap/>
            <w:vAlign w:val="bottom"/>
            <w:hideMark/>
          </w:tcPr>
          <w:p w14:paraId="631B0F17"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0.00***</w:t>
            </w:r>
          </w:p>
        </w:tc>
        <w:tc>
          <w:tcPr>
            <w:tcW w:w="1439" w:type="dxa"/>
            <w:tcBorders>
              <w:top w:val="nil"/>
              <w:left w:val="nil"/>
              <w:bottom w:val="nil"/>
              <w:right w:val="single" w:sz="4" w:space="0" w:color="auto"/>
            </w:tcBorders>
            <w:shd w:val="clear" w:color="auto" w:fill="F2F2F2" w:themeFill="background1" w:themeFillShade="F2"/>
            <w:noWrap/>
            <w:vAlign w:val="bottom"/>
            <w:hideMark/>
          </w:tcPr>
          <w:p w14:paraId="201EBDD9"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0.00***</w:t>
            </w:r>
          </w:p>
        </w:tc>
      </w:tr>
      <w:tr w:rsidR="00161EDB" w:rsidRPr="000E14BA" w14:paraId="44BECA5C" w14:textId="77777777" w:rsidTr="00161EDB">
        <w:trPr>
          <w:gridAfter w:val="1"/>
          <w:wAfter w:w="14" w:type="dxa"/>
          <w:trHeight w:val="206"/>
        </w:trPr>
        <w:tc>
          <w:tcPr>
            <w:tcW w:w="993" w:type="dxa"/>
            <w:tcBorders>
              <w:top w:val="single" w:sz="4" w:space="0" w:color="auto"/>
              <w:left w:val="single" w:sz="4" w:space="0" w:color="auto"/>
              <w:bottom w:val="nil"/>
              <w:right w:val="nil"/>
            </w:tcBorders>
            <w:noWrap/>
            <w:vAlign w:val="bottom"/>
            <w:hideMark/>
          </w:tcPr>
          <w:p w14:paraId="207B231A"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NAR</w:t>
            </w:r>
          </w:p>
        </w:tc>
        <w:tc>
          <w:tcPr>
            <w:tcW w:w="993" w:type="dxa"/>
            <w:tcBorders>
              <w:top w:val="single" w:sz="4" w:space="0" w:color="auto"/>
              <w:left w:val="single" w:sz="4" w:space="0" w:color="auto"/>
              <w:bottom w:val="nil"/>
              <w:right w:val="single" w:sz="4" w:space="0" w:color="auto"/>
            </w:tcBorders>
            <w:noWrap/>
            <w:vAlign w:val="bottom"/>
            <w:hideMark/>
          </w:tcPr>
          <w:p w14:paraId="2EFE63EE"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TOTAL</w:t>
            </w:r>
          </w:p>
        </w:tc>
        <w:tc>
          <w:tcPr>
            <w:tcW w:w="702" w:type="dxa"/>
            <w:tcBorders>
              <w:top w:val="single" w:sz="4" w:space="0" w:color="auto"/>
              <w:left w:val="single" w:sz="4" w:space="0" w:color="auto"/>
              <w:bottom w:val="nil"/>
              <w:right w:val="nil"/>
            </w:tcBorders>
            <w:noWrap/>
            <w:vAlign w:val="bottom"/>
            <w:hideMark/>
          </w:tcPr>
          <w:p w14:paraId="704C5FE0"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272</w:t>
            </w:r>
          </w:p>
        </w:tc>
        <w:tc>
          <w:tcPr>
            <w:tcW w:w="999" w:type="dxa"/>
            <w:tcBorders>
              <w:top w:val="single" w:sz="4" w:space="0" w:color="auto"/>
              <w:left w:val="single" w:sz="4" w:space="0" w:color="auto"/>
              <w:bottom w:val="nil"/>
              <w:right w:val="single" w:sz="4" w:space="0" w:color="auto"/>
            </w:tcBorders>
            <w:noWrap/>
            <w:vAlign w:val="bottom"/>
            <w:hideMark/>
          </w:tcPr>
          <w:p w14:paraId="3D06F9FA"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273</w:t>
            </w:r>
          </w:p>
        </w:tc>
        <w:tc>
          <w:tcPr>
            <w:tcW w:w="1134" w:type="dxa"/>
            <w:tcBorders>
              <w:top w:val="single" w:sz="4" w:space="0" w:color="auto"/>
              <w:left w:val="nil"/>
              <w:bottom w:val="nil"/>
              <w:right w:val="nil"/>
            </w:tcBorders>
            <w:noWrap/>
            <w:vAlign w:val="bottom"/>
            <w:hideMark/>
          </w:tcPr>
          <w:p w14:paraId="4FB0D159"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278</w:t>
            </w:r>
          </w:p>
        </w:tc>
        <w:tc>
          <w:tcPr>
            <w:tcW w:w="1060" w:type="dxa"/>
            <w:tcBorders>
              <w:top w:val="single" w:sz="4" w:space="0" w:color="auto"/>
              <w:left w:val="single" w:sz="4" w:space="0" w:color="auto"/>
              <w:bottom w:val="nil"/>
              <w:right w:val="single" w:sz="4" w:space="0" w:color="auto"/>
            </w:tcBorders>
            <w:noWrap/>
            <w:vAlign w:val="bottom"/>
            <w:hideMark/>
          </w:tcPr>
          <w:p w14:paraId="4D5C21E4"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381</w:t>
            </w:r>
          </w:p>
        </w:tc>
        <w:tc>
          <w:tcPr>
            <w:tcW w:w="1200" w:type="dxa"/>
            <w:tcBorders>
              <w:top w:val="single" w:sz="4" w:space="0" w:color="auto"/>
              <w:left w:val="nil"/>
              <w:bottom w:val="nil"/>
              <w:right w:val="nil"/>
            </w:tcBorders>
            <w:noWrap/>
            <w:vAlign w:val="bottom"/>
            <w:hideMark/>
          </w:tcPr>
          <w:p w14:paraId="628D0A82"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382</w:t>
            </w:r>
          </w:p>
        </w:tc>
        <w:tc>
          <w:tcPr>
            <w:tcW w:w="1200" w:type="dxa"/>
            <w:tcBorders>
              <w:top w:val="single" w:sz="4" w:space="0" w:color="auto"/>
              <w:left w:val="single" w:sz="4" w:space="0" w:color="auto"/>
              <w:bottom w:val="nil"/>
              <w:right w:val="single" w:sz="4" w:space="0" w:color="auto"/>
            </w:tcBorders>
            <w:noWrap/>
            <w:vAlign w:val="bottom"/>
            <w:hideMark/>
          </w:tcPr>
          <w:p w14:paraId="57D8FF88"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437</w:t>
            </w:r>
          </w:p>
        </w:tc>
        <w:tc>
          <w:tcPr>
            <w:tcW w:w="1200" w:type="dxa"/>
            <w:tcBorders>
              <w:top w:val="single" w:sz="4" w:space="0" w:color="auto"/>
              <w:left w:val="nil"/>
              <w:bottom w:val="nil"/>
              <w:right w:val="nil"/>
            </w:tcBorders>
            <w:noWrap/>
            <w:vAlign w:val="bottom"/>
            <w:hideMark/>
          </w:tcPr>
          <w:p w14:paraId="3ACFEA3C"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496</w:t>
            </w:r>
          </w:p>
        </w:tc>
        <w:tc>
          <w:tcPr>
            <w:tcW w:w="1355" w:type="dxa"/>
            <w:tcBorders>
              <w:top w:val="single" w:sz="4" w:space="0" w:color="auto"/>
              <w:left w:val="single" w:sz="4" w:space="0" w:color="auto"/>
              <w:bottom w:val="nil"/>
              <w:right w:val="single" w:sz="4" w:space="0" w:color="auto"/>
            </w:tcBorders>
            <w:noWrap/>
            <w:vAlign w:val="bottom"/>
            <w:hideMark/>
          </w:tcPr>
          <w:p w14:paraId="5559D3DE"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582</w:t>
            </w:r>
          </w:p>
        </w:tc>
        <w:tc>
          <w:tcPr>
            <w:tcW w:w="1434" w:type="dxa"/>
            <w:tcBorders>
              <w:top w:val="single" w:sz="4" w:space="0" w:color="auto"/>
              <w:left w:val="nil"/>
              <w:bottom w:val="nil"/>
              <w:right w:val="nil"/>
            </w:tcBorders>
            <w:shd w:val="clear" w:color="auto" w:fill="F2F2F2" w:themeFill="background1" w:themeFillShade="F2"/>
            <w:noWrap/>
            <w:vAlign w:val="bottom"/>
            <w:hideMark/>
          </w:tcPr>
          <w:p w14:paraId="7221BDD8"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889</w:t>
            </w:r>
          </w:p>
        </w:tc>
        <w:tc>
          <w:tcPr>
            <w:tcW w:w="1434" w:type="dxa"/>
            <w:tcBorders>
              <w:top w:val="single" w:sz="4" w:space="0" w:color="auto"/>
              <w:left w:val="single" w:sz="4" w:space="0" w:color="auto"/>
              <w:bottom w:val="nil"/>
              <w:right w:val="single" w:sz="4" w:space="0" w:color="auto"/>
            </w:tcBorders>
            <w:shd w:val="clear" w:color="auto" w:fill="F2F2F2" w:themeFill="background1" w:themeFillShade="F2"/>
            <w:noWrap/>
            <w:vAlign w:val="bottom"/>
            <w:hideMark/>
          </w:tcPr>
          <w:p w14:paraId="137CEB47"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925</w:t>
            </w:r>
          </w:p>
        </w:tc>
        <w:tc>
          <w:tcPr>
            <w:tcW w:w="1439" w:type="dxa"/>
            <w:tcBorders>
              <w:top w:val="single" w:sz="4" w:space="0" w:color="auto"/>
              <w:left w:val="nil"/>
              <w:bottom w:val="nil"/>
              <w:right w:val="single" w:sz="4" w:space="0" w:color="auto"/>
            </w:tcBorders>
            <w:shd w:val="clear" w:color="auto" w:fill="F2F2F2" w:themeFill="background1" w:themeFillShade="F2"/>
            <w:noWrap/>
            <w:vAlign w:val="bottom"/>
            <w:hideMark/>
          </w:tcPr>
          <w:p w14:paraId="3A5AB42C"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1092</w:t>
            </w:r>
          </w:p>
        </w:tc>
      </w:tr>
      <w:tr w:rsidR="00161EDB" w:rsidRPr="000E14BA" w14:paraId="01D95E2E"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6666051C"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Diff</w:t>
            </w:r>
          </w:p>
        </w:tc>
        <w:tc>
          <w:tcPr>
            <w:tcW w:w="993" w:type="dxa"/>
            <w:tcBorders>
              <w:top w:val="nil"/>
              <w:left w:val="single" w:sz="4" w:space="0" w:color="auto"/>
              <w:bottom w:val="nil"/>
              <w:right w:val="single" w:sz="4" w:space="0" w:color="auto"/>
            </w:tcBorders>
            <w:noWrap/>
            <w:vAlign w:val="bottom"/>
            <w:hideMark/>
          </w:tcPr>
          <w:p w14:paraId="72DEED44"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nil"/>
              <w:right w:val="nil"/>
            </w:tcBorders>
            <w:noWrap/>
            <w:vAlign w:val="bottom"/>
            <w:hideMark/>
          </w:tcPr>
          <w:p w14:paraId="6D4151B2"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nil"/>
              <w:right w:val="single" w:sz="4" w:space="0" w:color="auto"/>
            </w:tcBorders>
            <w:noWrap/>
            <w:vAlign w:val="bottom"/>
            <w:hideMark/>
          </w:tcPr>
          <w:p w14:paraId="7DE80D93" w14:textId="77777777" w:rsidR="00081488" w:rsidRPr="000E14BA" w:rsidRDefault="00081488" w:rsidP="00280D6F">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w:t>
            </w:r>
          </w:p>
        </w:tc>
        <w:tc>
          <w:tcPr>
            <w:tcW w:w="1134" w:type="dxa"/>
            <w:tcBorders>
              <w:top w:val="nil"/>
              <w:left w:val="nil"/>
              <w:bottom w:val="nil"/>
              <w:right w:val="nil"/>
            </w:tcBorders>
            <w:noWrap/>
            <w:vAlign w:val="bottom"/>
            <w:hideMark/>
          </w:tcPr>
          <w:p w14:paraId="4A5DC09B"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6</w:t>
            </w:r>
          </w:p>
        </w:tc>
        <w:tc>
          <w:tcPr>
            <w:tcW w:w="1060" w:type="dxa"/>
            <w:tcBorders>
              <w:top w:val="nil"/>
              <w:left w:val="single" w:sz="4" w:space="0" w:color="auto"/>
              <w:bottom w:val="nil"/>
              <w:right w:val="single" w:sz="4" w:space="0" w:color="auto"/>
            </w:tcBorders>
            <w:noWrap/>
            <w:vAlign w:val="bottom"/>
            <w:hideMark/>
          </w:tcPr>
          <w:p w14:paraId="09B2CC0F"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109</w:t>
            </w:r>
          </w:p>
        </w:tc>
        <w:tc>
          <w:tcPr>
            <w:tcW w:w="1200" w:type="dxa"/>
            <w:tcBorders>
              <w:top w:val="nil"/>
              <w:left w:val="nil"/>
              <w:bottom w:val="nil"/>
              <w:right w:val="nil"/>
            </w:tcBorders>
            <w:noWrap/>
            <w:vAlign w:val="bottom"/>
            <w:hideMark/>
          </w:tcPr>
          <w:p w14:paraId="2B4B1572"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110</w:t>
            </w:r>
          </w:p>
        </w:tc>
        <w:tc>
          <w:tcPr>
            <w:tcW w:w="1200" w:type="dxa"/>
            <w:tcBorders>
              <w:top w:val="nil"/>
              <w:left w:val="single" w:sz="4" w:space="0" w:color="auto"/>
              <w:bottom w:val="nil"/>
              <w:right w:val="single" w:sz="4" w:space="0" w:color="auto"/>
            </w:tcBorders>
            <w:noWrap/>
            <w:vAlign w:val="bottom"/>
            <w:hideMark/>
          </w:tcPr>
          <w:p w14:paraId="7A828084"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165</w:t>
            </w:r>
          </w:p>
        </w:tc>
        <w:tc>
          <w:tcPr>
            <w:tcW w:w="1200" w:type="dxa"/>
            <w:tcBorders>
              <w:top w:val="nil"/>
              <w:left w:val="nil"/>
              <w:bottom w:val="nil"/>
              <w:right w:val="nil"/>
            </w:tcBorders>
            <w:noWrap/>
            <w:vAlign w:val="bottom"/>
            <w:hideMark/>
          </w:tcPr>
          <w:p w14:paraId="7B893A71"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224</w:t>
            </w:r>
          </w:p>
        </w:tc>
        <w:tc>
          <w:tcPr>
            <w:tcW w:w="1355" w:type="dxa"/>
            <w:tcBorders>
              <w:top w:val="nil"/>
              <w:left w:val="single" w:sz="4" w:space="0" w:color="auto"/>
              <w:bottom w:val="nil"/>
              <w:right w:val="single" w:sz="4" w:space="0" w:color="auto"/>
            </w:tcBorders>
            <w:noWrap/>
            <w:vAlign w:val="bottom"/>
            <w:hideMark/>
          </w:tcPr>
          <w:p w14:paraId="5A93EFDE"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310</w:t>
            </w:r>
          </w:p>
        </w:tc>
        <w:tc>
          <w:tcPr>
            <w:tcW w:w="1434" w:type="dxa"/>
            <w:tcBorders>
              <w:top w:val="nil"/>
              <w:left w:val="nil"/>
              <w:bottom w:val="nil"/>
              <w:right w:val="nil"/>
            </w:tcBorders>
            <w:shd w:val="clear" w:color="auto" w:fill="F2F2F2" w:themeFill="background1" w:themeFillShade="F2"/>
            <w:noWrap/>
            <w:vAlign w:val="bottom"/>
            <w:hideMark/>
          </w:tcPr>
          <w:p w14:paraId="78660A5C"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617</w:t>
            </w:r>
          </w:p>
        </w:tc>
        <w:tc>
          <w:tcPr>
            <w:tcW w:w="1434" w:type="dxa"/>
            <w:tcBorders>
              <w:top w:val="nil"/>
              <w:left w:val="single" w:sz="4" w:space="0" w:color="auto"/>
              <w:bottom w:val="nil"/>
              <w:right w:val="single" w:sz="4" w:space="0" w:color="auto"/>
            </w:tcBorders>
            <w:shd w:val="clear" w:color="auto" w:fill="F2F2F2" w:themeFill="background1" w:themeFillShade="F2"/>
            <w:noWrap/>
            <w:vAlign w:val="bottom"/>
            <w:hideMark/>
          </w:tcPr>
          <w:p w14:paraId="7DA86F24"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653</w:t>
            </w:r>
          </w:p>
        </w:tc>
        <w:tc>
          <w:tcPr>
            <w:tcW w:w="1439" w:type="dxa"/>
            <w:tcBorders>
              <w:top w:val="nil"/>
              <w:left w:val="nil"/>
              <w:bottom w:val="nil"/>
              <w:right w:val="single" w:sz="4" w:space="0" w:color="auto"/>
            </w:tcBorders>
            <w:shd w:val="clear" w:color="auto" w:fill="F2F2F2" w:themeFill="background1" w:themeFillShade="F2"/>
            <w:noWrap/>
            <w:vAlign w:val="bottom"/>
            <w:hideMark/>
          </w:tcPr>
          <w:p w14:paraId="41BCC4DE"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820</w:t>
            </w:r>
          </w:p>
        </w:tc>
      </w:tr>
      <w:tr w:rsidR="00161EDB" w:rsidRPr="000E14BA" w14:paraId="3F3382CC" w14:textId="77777777" w:rsidTr="00161EDB">
        <w:trPr>
          <w:gridAfter w:val="1"/>
          <w:wAfter w:w="14" w:type="dxa"/>
          <w:trHeight w:val="206"/>
        </w:trPr>
        <w:tc>
          <w:tcPr>
            <w:tcW w:w="993" w:type="dxa"/>
            <w:tcBorders>
              <w:top w:val="nil"/>
              <w:left w:val="single" w:sz="4" w:space="0" w:color="auto"/>
              <w:bottom w:val="single" w:sz="4" w:space="0" w:color="auto"/>
              <w:right w:val="nil"/>
            </w:tcBorders>
            <w:noWrap/>
            <w:vAlign w:val="bottom"/>
            <w:hideMark/>
          </w:tcPr>
          <w:p w14:paraId="0AFEC2E9"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P-Val</w:t>
            </w:r>
          </w:p>
        </w:tc>
        <w:tc>
          <w:tcPr>
            <w:tcW w:w="993" w:type="dxa"/>
            <w:tcBorders>
              <w:top w:val="nil"/>
              <w:left w:val="single" w:sz="4" w:space="0" w:color="auto"/>
              <w:bottom w:val="single" w:sz="4" w:space="0" w:color="auto"/>
              <w:right w:val="single" w:sz="4" w:space="0" w:color="auto"/>
            </w:tcBorders>
            <w:noWrap/>
            <w:vAlign w:val="bottom"/>
            <w:hideMark/>
          </w:tcPr>
          <w:p w14:paraId="6A8820F6"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single" w:sz="4" w:space="0" w:color="auto"/>
              <w:right w:val="nil"/>
            </w:tcBorders>
            <w:noWrap/>
            <w:vAlign w:val="bottom"/>
            <w:hideMark/>
          </w:tcPr>
          <w:p w14:paraId="036576AC"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single" w:sz="4" w:space="0" w:color="auto"/>
              <w:right w:val="single" w:sz="4" w:space="0" w:color="auto"/>
            </w:tcBorders>
            <w:noWrap/>
            <w:vAlign w:val="bottom"/>
            <w:hideMark/>
          </w:tcPr>
          <w:p w14:paraId="66864B98"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0.50</w:t>
            </w:r>
          </w:p>
        </w:tc>
        <w:tc>
          <w:tcPr>
            <w:tcW w:w="1134" w:type="dxa"/>
            <w:tcBorders>
              <w:top w:val="nil"/>
              <w:left w:val="nil"/>
              <w:bottom w:val="single" w:sz="4" w:space="0" w:color="auto"/>
              <w:right w:val="nil"/>
            </w:tcBorders>
            <w:noWrap/>
            <w:vAlign w:val="bottom"/>
            <w:hideMark/>
          </w:tcPr>
          <w:p w14:paraId="490EFF61" w14:textId="77777777" w:rsidR="00081488" w:rsidRPr="000E14BA" w:rsidRDefault="00081488" w:rsidP="00466604">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0.34</w:t>
            </w:r>
          </w:p>
        </w:tc>
        <w:tc>
          <w:tcPr>
            <w:tcW w:w="1060" w:type="dxa"/>
            <w:tcBorders>
              <w:top w:val="nil"/>
              <w:left w:val="single" w:sz="4" w:space="0" w:color="auto"/>
              <w:bottom w:val="single" w:sz="4" w:space="0" w:color="auto"/>
              <w:right w:val="single" w:sz="4" w:space="0" w:color="auto"/>
            </w:tcBorders>
            <w:noWrap/>
            <w:vAlign w:val="bottom"/>
            <w:hideMark/>
          </w:tcPr>
          <w:p w14:paraId="5F67FB10"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0.38</w:t>
            </w:r>
          </w:p>
        </w:tc>
        <w:tc>
          <w:tcPr>
            <w:tcW w:w="1200" w:type="dxa"/>
            <w:tcBorders>
              <w:top w:val="nil"/>
              <w:left w:val="nil"/>
              <w:bottom w:val="single" w:sz="4" w:space="0" w:color="auto"/>
              <w:right w:val="nil"/>
            </w:tcBorders>
            <w:noWrap/>
            <w:vAlign w:val="bottom"/>
            <w:hideMark/>
          </w:tcPr>
          <w:p w14:paraId="331771F3"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0.29</w:t>
            </w:r>
          </w:p>
        </w:tc>
        <w:tc>
          <w:tcPr>
            <w:tcW w:w="1200" w:type="dxa"/>
            <w:tcBorders>
              <w:top w:val="nil"/>
              <w:left w:val="single" w:sz="4" w:space="0" w:color="auto"/>
              <w:bottom w:val="single" w:sz="4" w:space="0" w:color="auto"/>
              <w:right w:val="single" w:sz="4" w:space="0" w:color="auto"/>
            </w:tcBorders>
            <w:noWrap/>
            <w:vAlign w:val="bottom"/>
            <w:hideMark/>
          </w:tcPr>
          <w:p w14:paraId="257B48A7"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0.28</w:t>
            </w:r>
          </w:p>
        </w:tc>
        <w:tc>
          <w:tcPr>
            <w:tcW w:w="1200" w:type="dxa"/>
            <w:tcBorders>
              <w:top w:val="nil"/>
              <w:left w:val="nil"/>
              <w:bottom w:val="single" w:sz="4" w:space="0" w:color="auto"/>
              <w:right w:val="nil"/>
            </w:tcBorders>
            <w:noWrap/>
            <w:vAlign w:val="bottom"/>
            <w:hideMark/>
          </w:tcPr>
          <w:p w14:paraId="059EEC30"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0.19</w:t>
            </w:r>
          </w:p>
        </w:tc>
        <w:tc>
          <w:tcPr>
            <w:tcW w:w="1355" w:type="dxa"/>
            <w:tcBorders>
              <w:top w:val="nil"/>
              <w:left w:val="single" w:sz="4" w:space="0" w:color="auto"/>
              <w:bottom w:val="single" w:sz="4" w:space="0" w:color="auto"/>
              <w:right w:val="single" w:sz="4" w:space="0" w:color="auto"/>
            </w:tcBorders>
            <w:noWrap/>
            <w:vAlign w:val="bottom"/>
            <w:hideMark/>
          </w:tcPr>
          <w:p w14:paraId="3CD7A5C9"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0.11</w:t>
            </w:r>
          </w:p>
        </w:tc>
        <w:tc>
          <w:tcPr>
            <w:tcW w:w="1434" w:type="dxa"/>
            <w:tcBorders>
              <w:top w:val="nil"/>
              <w:left w:val="nil"/>
              <w:bottom w:val="single" w:sz="4" w:space="0" w:color="auto"/>
              <w:right w:val="nil"/>
            </w:tcBorders>
            <w:shd w:val="clear" w:color="auto" w:fill="F2F2F2" w:themeFill="background1" w:themeFillShade="F2"/>
            <w:noWrap/>
            <w:vAlign w:val="bottom"/>
            <w:hideMark/>
          </w:tcPr>
          <w:p w14:paraId="37FFDA46"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0.00***</w:t>
            </w:r>
          </w:p>
        </w:tc>
        <w:tc>
          <w:tcPr>
            <w:tcW w:w="1434"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6D65897E"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0.00***</w:t>
            </w:r>
          </w:p>
        </w:tc>
        <w:tc>
          <w:tcPr>
            <w:tcW w:w="1439" w:type="dxa"/>
            <w:tcBorders>
              <w:top w:val="nil"/>
              <w:left w:val="nil"/>
              <w:bottom w:val="single" w:sz="4" w:space="0" w:color="auto"/>
              <w:right w:val="single" w:sz="4" w:space="0" w:color="auto"/>
            </w:tcBorders>
            <w:shd w:val="clear" w:color="auto" w:fill="F2F2F2" w:themeFill="background1" w:themeFillShade="F2"/>
            <w:noWrap/>
            <w:vAlign w:val="bottom"/>
            <w:hideMark/>
          </w:tcPr>
          <w:p w14:paraId="6B588D59"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0.00***</w:t>
            </w:r>
          </w:p>
        </w:tc>
      </w:tr>
      <w:tr w:rsidR="00161EDB" w:rsidRPr="000E14BA" w14:paraId="3F7B926B"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362DA281"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NUM</w:t>
            </w:r>
          </w:p>
        </w:tc>
        <w:tc>
          <w:tcPr>
            <w:tcW w:w="993" w:type="dxa"/>
            <w:tcBorders>
              <w:top w:val="nil"/>
              <w:left w:val="single" w:sz="4" w:space="0" w:color="auto"/>
              <w:bottom w:val="nil"/>
              <w:right w:val="single" w:sz="4" w:space="0" w:color="auto"/>
            </w:tcBorders>
            <w:noWrap/>
            <w:vAlign w:val="bottom"/>
            <w:hideMark/>
          </w:tcPr>
          <w:p w14:paraId="0FBFF2E7"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TOTAL</w:t>
            </w:r>
          </w:p>
        </w:tc>
        <w:tc>
          <w:tcPr>
            <w:tcW w:w="702" w:type="dxa"/>
            <w:tcBorders>
              <w:top w:val="nil"/>
              <w:left w:val="nil"/>
              <w:bottom w:val="nil"/>
              <w:right w:val="nil"/>
            </w:tcBorders>
            <w:noWrap/>
            <w:vAlign w:val="bottom"/>
            <w:hideMark/>
          </w:tcPr>
          <w:p w14:paraId="51D638B2"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48</w:t>
            </w:r>
          </w:p>
        </w:tc>
        <w:tc>
          <w:tcPr>
            <w:tcW w:w="999" w:type="dxa"/>
            <w:tcBorders>
              <w:top w:val="nil"/>
              <w:left w:val="single" w:sz="4" w:space="0" w:color="auto"/>
              <w:bottom w:val="nil"/>
              <w:right w:val="single" w:sz="4" w:space="0" w:color="auto"/>
            </w:tcBorders>
            <w:noWrap/>
            <w:vAlign w:val="bottom"/>
            <w:hideMark/>
          </w:tcPr>
          <w:p w14:paraId="2249E805"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45</w:t>
            </w:r>
          </w:p>
        </w:tc>
        <w:tc>
          <w:tcPr>
            <w:tcW w:w="1134" w:type="dxa"/>
            <w:tcBorders>
              <w:top w:val="nil"/>
              <w:left w:val="nil"/>
              <w:bottom w:val="nil"/>
              <w:right w:val="nil"/>
            </w:tcBorders>
            <w:noWrap/>
            <w:vAlign w:val="bottom"/>
            <w:hideMark/>
          </w:tcPr>
          <w:p w14:paraId="0856DC1D"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49</w:t>
            </w:r>
          </w:p>
        </w:tc>
        <w:tc>
          <w:tcPr>
            <w:tcW w:w="1060" w:type="dxa"/>
            <w:tcBorders>
              <w:top w:val="nil"/>
              <w:left w:val="single" w:sz="4" w:space="0" w:color="auto"/>
              <w:bottom w:val="nil"/>
              <w:right w:val="single" w:sz="4" w:space="0" w:color="auto"/>
            </w:tcBorders>
            <w:noWrap/>
            <w:vAlign w:val="bottom"/>
            <w:hideMark/>
          </w:tcPr>
          <w:p w14:paraId="07470547"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61</w:t>
            </w:r>
          </w:p>
        </w:tc>
        <w:tc>
          <w:tcPr>
            <w:tcW w:w="1200" w:type="dxa"/>
            <w:tcBorders>
              <w:top w:val="nil"/>
              <w:left w:val="nil"/>
              <w:bottom w:val="nil"/>
              <w:right w:val="nil"/>
            </w:tcBorders>
            <w:noWrap/>
            <w:vAlign w:val="bottom"/>
            <w:hideMark/>
          </w:tcPr>
          <w:p w14:paraId="4AA225DF"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59</w:t>
            </w:r>
          </w:p>
        </w:tc>
        <w:tc>
          <w:tcPr>
            <w:tcW w:w="1200" w:type="dxa"/>
            <w:tcBorders>
              <w:top w:val="nil"/>
              <w:left w:val="single" w:sz="4" w:space="0" w:color="auto"/>
              <w:bottom w:val="nil"/>
              <w:right w:val="single" w:sz="4" w:space="0" w:color="auto"/>
            </w:tcBorders>
            <w:noWrap/>
            <w:vAlign w:val="bottom"/>
            <w:hideMark/>
          </w:tcPr>
          <w:p w14:paraId="4993B4E0"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71</w:t>
            </w:r>
          </w:p>
        </w:tc>
        <w:tc>
          <w:tcPr>
            <w:tcW w:w="1200" w:type="dxa"/>
            <w:tcBorders>
              <w:top w:val="nil"/>
              <w:left w:val="nil"/>
              <w:bottom w:val="nil"/>
              <w:right w:val="nil"/>
            </w:tcBorders>
            <w:noWrap/>
            <w:vAlign w:val="bottom"/>
            <w:hideMark/>
          </w:tcPr>
          <w:p w14:paraId="428EDF8C"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54</w:t>
            </w:r>
          </w:p>
        </w:tc>
        <w:tc>
          <w:tcPr>
            <w:tcW w:w="1355" w:type="dxa"/>
            <w:tcBorders>
              <w:top w:val="nil"/>
              <w:left w:val="single" w:sz="4" w:space="0" w:color="auto"/>
              <w:bottom w:val="nil"/>
              <w:right w:val="single" w:sz="4" w:space="0" w:color="auto"/>
            </w:tcBorders>
            <w:shd w:val="clear" w:color="auto" w:fill="F2F2F2" w:themeFill="background1" w:themeFillShade="F2"/>
            <w:noWrap/>
            <w:vAlign w:val="bottom"/>
            <w:hideMark/>
          </w:tcPr>
          <w:p w14:paraId="7E22E675"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138</w:t>
            </w:r>
          </w:p>
        </w:tc>
        <w:tc>
          <w:tcPr>
            <w:tcW w:w="1434" w:type="dxa"/>
            <w:tcBorders>
              <w:top w:val="nil"/>
              <w:left w:val="nil"/>
              <w:bottom w:val="nil"/>
              <w:right w:val="nil"/>
            </w:tcBorders>
            <w:shd w:val="clear" w:color="auto" w:fill="F2F2F2" w:themeFill="background1" w:themeFillShade="F2"/>
            <w:noWrap/>
            <w:vAlign w:val="bottom"/>
            <w:hideMark/>
          </w:tcPr>
          <w:p w14:paraId="1BF00639"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174</w:t>
            </w:r>
          </w:p>
        </w:tc>
        <w:tc>
          <w:tcPr>
            <w:tcW w:w="1434" w:type="dxa"/>
            <w:tcBorders>
              <w:top w:val="nil"/>
              <w:left w:val="single" w:sz="4" w:space="0" w:color="auto"/>
              <w:bottom w:val="nil"/>
              <w:right w:val="single" w:sz="4" w:space="0" w:color="auto"/>
            </w:tcBorders>
            <w:shd w:val="clear" w:color="auto" w:fill="F2F2F2" w:themeFill="background1" w:themeFillShade="F2"/>
            <w:noWrap/>
            <w:vAlign w:val="bottom"/>
            <w:hideMark/>
          </w:tcPr>
          <w:p w14:paraId="622B8BF3"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178</w:t>
            </w:r>
          </w:p>
        </w:tc>
        <w:tc>
          <w:tcPr>
            <w:tcW w:w="1439" w:type="dxa"/>
            <w:tcBorders>
              <w:top w:val="nil"/>
              <w:left w:val="nil"/>
              <w:bottom w:val="nil"/>
              <w:right w:val="single" w:sz="4" w:space="0" w:color="auto"/>
            </w:tcBorders>
            <w:shd w:val="clear" w:color="auto" w:fill="F2F2F2" w:themeFill="background1" w:themeFillShade="F2"/>
            <w:noWrap/>
            <w:vAlign w:val="bottom"/>
            <w:hideMark/>
          </w:tcPr>
          <w:p w14:paraId="3BA4E1EA"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198</w:t>
            </w:r>
          </w:p>
        </w:tc>
      </w:tr>
      <w:tr w:rsidR="00161EDB" w:rsidRPr="000E14BA" w14:paraId="39C6EC73" w14:textId="77777777" w:rsidTr="00161EDB">
        <w:trPr>
          <w:gridAfter w:val="1"/>
          <w:wAfter w:w="14" w:type="dxa"/>
          <w:trHeight w:val="206"/>
        </w:trPr>
        <w:tc>
          <w:tcPr>
            <w:tcW w:w="993" w:type="dxa"/>
            <w:tcBorders>
              <w:top w:val="nil"/>
              <w:left w:val="single" w:sz="4" w:space="0" w:color="auto"/>
              <w:bottom w:val="nil"/>
              <w:right w:val="nil"/>
            </w:tcBorders>
            <w:noWrap/>
            <w:vAlign w:val="bottom"/>
            <w:hideMark/>
          </w:tcPr>
          <w:p w14:paraId="02ACE67F"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Diff</w:t>
            </w:r>
          </w:p>
        </w:tc>
        <w:tc>
          <w:tcPr>
            <w:tcW w:w="993" w:type="dxa"/>
            <w:tcBorders>
              <w:top w:val="nil"/>
              <w:left w:val="single" w:sz="4" w:space="0" w:color="auto"/>
              <w:bottom w:val="nil"/>
              <w:right w:val="single" w:sz="4" w:space="0" w:color="auto"/>
            </w:tcBorders>
            <w:noWrap/>
            <w:vAlign w:val="bottom"/>
            <w:hideMark/>
          </w:tcPr>
          <w:p w14:paraId="3E133E86"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nil"/>
              <w:right w:val="nil"/>
            </w:tcBorders>
            <w:noWrap/>
            <w:vAlign w:val="bottom"/>
            <w:hideMark/>
          </w:tcPr>
          <w:p w14:paraId="035270DB"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nil"/>
              <w:right w:val="single" w:sz="4" w:space="0" w:color="auto"/>
            </w:tcBorders>
            <w:noWrap/>
            <w:vAlign w:val="bottom"/>
            <w:hideMark/>
          </w:tcPr>
          <w:p w14:paraId="0CC02155"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w:t>
            </w:r>
          </w:p>
        </w:tc>
        <w:tc>
          <w:tcPr>
            <w:tcW w:w="1134" w:type="dxa"/>
            <w:tcBorders>
              <w:top w:val="nil"/>
              <w:left w:val="nil"/>
              <w:bottom w:val="nil"/>
              <w:right w:val="nil"/>
            </w:tcBorders>
            <w:noWrap/>
            <w:vAlign w:val="bottom"/>
            <w:hideMark/>
          </w:tcPr>
          <w:p w14:paraId="41CB6DF5"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w:t>
            </w:r>
          </w:p>
        </w:tc>
        <w:tc>
          <w:tcPr>
            <w:tcW w:w="1060" w:type="dxa"/>
            <w:tcBorders>
              <w:top w:val="nil"/>
              <w:left w:val="single" w:sz="4" w:space="0" w:color="auto"/>
              <w:bottom w:val="nil"/>
              <w:right w:val="single" w:sz="4" w:space="0" w:color="auto"/>
            </w:tcBorders>
            <w:noWrap/>
            <w:vAlign w:val="bottom"/>
            <w:hideMark/>
          </w:tcPr>
          <w:p w14:paraId="344623B1"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12</w:t>
            </w:r>
          </w:p>
        </w:tc>
        <w:tc>
          <w:tcPr>
            <w:tcW w:w="1200" w:type="dxa"/>
            <w:tcBorders>
              <w:top w:val="nil"/>
              <w:left w:val="nil"/>
              <w:bottom w:val="nil"/>
              <w:right w:val="nil"/>
            </w:tcBorders>
            <w:noWrap/>
            <w:vAlign w:val="bottom"/>
            <w:hideMark/>
          </w:tcPr>
          <w:p w14:paraId="01D403BD"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w:t>
            </w:r>
          </w:p>
        </w:tc>
        <w:tc>
          <w:tcPr>
            <w:tcW w:w="1200" w:type="dxa"/>
            <w:tcBorders>
              <w:top w:val="nil"/>
              <w:left w:val="single" w:sz="4" w:space="0" w:color="auto"/>
              <w:bottom w:val="nil"/>
              <w:right w:val="single" w:sz="4" w:space="0" w:color="auto"/>
            </w:tcBorders>
            <w:noWrap/>
            <w:vAlign w:val="bottom"/>
            <w:hideMark/>
          </w:tcPr>
          <w:p w14:paraId="3DA0133F"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12</w:t>
            </w:r>
          </w:p>
        </w:tc>
        <w:tc>
          <w:tcPr>
            <w:tcW w:w="1200" w:type="dxa"/>
            <w:tcBorders>
              <w:top w:val="nil"/>
              <w:left w:val="nil"/>
              <w:bottom w:val="nil"/>
              <w:right w:val="nil"/>
            </w:tcBorders>
            <w:noWrap/>
            <w:vAlign w:val="bottom"/>
            <w:hideMark/>
          </w:tcPr>
          <w:p w14:paraId="410F2A76"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-17</w:t>
            </w:r>
          </w:p>
        </w:tc>
        <w:tc>
          <w:tcPr>
            <w:tcW w:w="1355" w:type="dxa"/>
            <w:tcBorders>
              <w:top w:val="nil"/>
              <w:left w:val="single" w:sz="4" w:space="0" w:color="auto"/>
              <w:bottom w:val="nil"/>
              <w:right w:val="single" w:sz="4" w:space="0" w:color="auto"/>
            </w:tcBorders>
            <w:shd w:val="clear" w:color="auto" w:fill="F2F2F2" w:themeFill="background1" w:themeFillShade="F2"/>
            <w:noWrap/>
            <w:vAlign w:val="bottom"/>
            <w:hideMark/>
          </w:tcPr>
          <w:p w14:paraId="7DDCC1C9"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84</w:t>
            </w:r>
          </w:p>
        </w:tc>
        <w:tc>
          <w:tcPr>
            <w:tcW w:w="1434" w:type="dxa"/>
            <w:tcBorders>
              <w:top w:val="nil"/>
              <w:left w:val="nil"/>
              <w:bottom w:val="nil"/>
              <w:right w:val="nil"/>
            </w:tcBorders>
            <w:shd w:val="clear" w:color="auto" w:fill="F2F2F2" w:themeFill="background1" w:themeFillShade="F2"/>
            <w:noWrap/>
            <w:vAlign w:val="bottom"/>
            <w:hideMark/>
          </w:tcPr>
          <w:p w14:paraId="190342D1"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36</w:t>
            </w:r>
          </w:p>
        </w:tc>
        <w:tc>
          <w:tcPr>
            <w:tcW w:w="1434" w:type="dxa"/>
            <w:tcBorders>
              <w:top w:val="nil"/>
              <w:left w:val="single" w:sz="4" w:space="0" w:color="auto"/>
              <w:bottom w:val="nil"/>
              <w:right w:val="single" w:sz="4" w:space="0" w:color="auto"/>
            </w:tcBorders>
            <w:shd w:val="clear" w:color="auto" w:fill="F2F2F2" w:themeFill="background1" w:themeFillShade="F2"/>
            <w:noWrap/>
            <w:vAlign w:val="bottom"/>
            <w:hideMark/>
          </w:tcPr>
          <w:p w14:paraId="2D271D13"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4</w:t>
            </w:r>
          </w:p>
        </w:tc>
        <w:tc>
          <w:tcPr>
            <w:tcW w:w="1439" w:type="dxa"/>
            <w:tcBorders>
              <w:top w:val="nil"/>
              <w:left w:val="nil"/>
              <w:bottom w:val="nil"/>
              <w:right w:val="single" w:sz="4" w:space="0" w:color="auto"/>
            </w:tcBorders>
            <w:shd w:val="clear" w:color="auto" w:fill="F2F2F2" w:themeFill="background1" w:themeFillShade="F2"/>
            <w:noWrap/>
            <w:vAlign w:val="bottom"/>
            <w:hideMark/>
          </w:tcPr>
          <w:p w14:paraId="509330E0"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20</w:t>
            </w:r>
          </w:p>
        </w:tc>
      </w:tr>
      <w:tr w:rsidR="00161EDB" w:rsidRPr="000E14BA" w14:paraId="59B8975E" w14:textId="77777777" w:rsidTr="00161EDB">
        <w:trPr>
          <w:gridAfter w:val="1"/>
          <w:wAfter w:w="14" w:type="dxa"/>
          <w:trHeight w:val="206"/>
        </w:trPr>
        <w:tc>
          <w:tcPr>
            <w:tcW w:w="993" w:type="dxa"/>
            <w:tcBorders>
              <w:top w:val="nil"/>
              <w:left w:val="single" w:sz="4" w:space="0" w:color="auto"/>
              <w:bottom w:val="single" w:sz="4" w:space="0" w:color="auto"/>
              <w:right w:val="nil"/>
            </w:tcBorders>
            <w:noWrap/>
            <w:vAlign w:val="bottom"/>
            <w:hideMark/>
          </w:tcPr>
          <w:p w14:paraId="1F69C0E9"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P-Val</w:t>
            </w:r>
          </w:p>
        </w:tc>
        <w:tc>
          <w:tcPr>
            <w:tcW w:w="993" w:type="dxa"/>
            <w:tcBorders>
              <w:top w:val="nil"/>
              <w:left w:val="single" w:sz="4" w:space="0" w:color="auto"/>
              <w:bottom w:val="single" w:sz="4" w:space="0" w:color="auto"/>
              <w:right w:val="single" w:sz="4" w:space="0" w:color="auto"/>
            </w:tcBorders>
            <w:noWrap/>
            <w:vAlign w:val="bottom"/>
            <w:hideMark/>
          </w:tcPr>
          <w:p w14:paraId="371A68E9"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702" w:type="dxa"/>
            <w:tcBorders>
              <w:top w:val="nil"/>
              <w:left w:val="nil"/>
              <w:bottom w:val="single" w:sz="4" w:space="0" w:color="auto"/>
              <w:right w:val="nil"/>
            </w:tcBorders>
            <w:noWrap/>
            <w:vAlign w:val="bottom"/>
            <w:hideMark/>
          </w:tcPr>
          <w:p w14:paraId="0B378A50" w14:textId="77777777" w:rsidR="00081488" w:rsidRPr="000E14BA" w:rsidRDefault="00081488" w:rsidP="00153B01">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99" w:type="dxa"/>
            <w:tcBorders>
              <w:top w:val="nil"/>
              <w:left w:val="single" w:sz="4" w:space="0" w:color="auto"/>
              <w:bottom w:val="single" w:sz="4" w:space="0" w:color="auto"/>
              <w:right w:val="single" w:sz="4" w:space="0" w:color="auto"/>
            </w:tcBorders>
            <w:noWrap/>
            <w:vAlign w:val="bottom"/>
            <w:hideMark/>
          </w:tcPr>
          <w:p w14:paraId="6CC1E677" w14:textId="77777777" w:rsidR="00081488" w:rsidRPr="000E14BA" w:rsidRDefault="00081488" w:rsidP="000E14BA">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0.34</w:t>
            </w:r>
          </w:p>
        </w:tc>
        <w:tc>
          <w:tcPr>
            <w:tcW w:w="1134" w:type="dxa"/>
            <w:tcBorders>
              <w:top w:val="nil"/>
              <w:left w:val="nil"/>
              <w:bottom w:val="single" w:sz="4" w:space="0" w:color="auto"/>
              <w:right w:val="nil"/>
            </w:tcBorders>
            <w:noWrap/>
            <w:vAlign w:val="bottom"/>
            <w:hideMark/>
          </w:tcPr>
          <w:p w14:paraId="65B36767"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0.34</w:t>
            </w:r>
          </w:p>
        </w:tc>
        <w:tc>
          <w:tcPr>
            <w:tcW w:w="1060" w:type="dxa"/>
            <w:tcBorders>
              <w:top w:val="nil"/>
              <w:left w:val="single" w:sz="4" w:space="0" w:color="auto"/>
              <w:bottom w:val="single" w:sz="4" w:space="0" w:color="auto"/>
              <w:right w:val="single" w:sz="4" w:space="0" w:color="auto"/>
            </w:tcBorders>
            <w:noWrap/>
            <w:vAlign w:val="bottom"/>
            <w:hideMark/>
          </w:tcPr>
          <w:p w14:paraId="2E92C425"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0.32</w:t>
            </w:r>
          </w:p>
        </w:tc>
        <w:tc>
          <w:tcPr>
            <w:tcW w:w="1200" w:type="dxa"/>
            <w:tcBorders>
              <w:top w:val="nil"/>
              <w:left w:val="nil"/>
              <w:bottom w:val="single" w:sz="4" w:space="0" w:color="auto"/>
              <w:right w:val="nil"/>
            </w:tcBorders>
            <w:noWrap/>
            <w:vAlign w:val="bottom"/>
            <w:hideMark/>
          </w:tcPr>
          <w:p w14:paraId="4F7B7E3B"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0.33</w:t>
            </w:r>
          </w:p>
        </w:tc>
        <w:tc>
          <w:tcPr>
            <w:tcW w:w="1200" w:type="dxa"/>
            <w:tcBorders>
              <w:top w:val="nil"/>
              <w:left w:val="single" w:sz="4" w:space="0" w:color="auto"/>
              <w:bottom w:val="single" w:sz="4" w:space="0" w:color="auto"/>
              <w:right w:val="single" w:sz="4" w:space="0" w:color="auto"/>
            </w:tcBorders>
            <w:noWrap/>
            <w:vAlign w:val="bottom"/>
            <w:hideMark/>
          </w:tcPr>
          <w:p w14:paraId="4FA67F84"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0.29</w:t>
            </w:r>
          </w:p>
        </w:tc>
        <w:tc>
          <w:tcPr>
            <w:tcW w:w="1200" w:type="dxa"/>
            <w:tcBorders>
              <w:top w:val="nil"/>
              <w:left w:val="nil"/>
              <w:bottom w:val="single" w:sz="4" w:space="0" w:color="auto"/>
              <w:right w:val="nil"/>
            </w:tcBorders>
            <w:noWrap/>
            <w:vAlign w:val="bottom"/>
            <w:hideMark/>
          </w:tcPr>
          <w:p w14:paraId="4176BBE0"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0.33</w:t>
            </w:r>
          </w:p>
        </w:tc>
        <w:tc>
          <w:tcPr>
            <w:tcW w:w="1355"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31260D0"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0.04**</w:t>
            </w:r>
          </w:p>
        </w:tc>
        <w:tc>
          <w:tcPr>
            <w:tcW w:w="1434" w:type="dxa"/>
            <w:tcBorders>
              <w:top w:val="nil"/>
              <w:left w:val="nil"/>
              <w:bottom w:val="single" w:sz="4" w:space="0" w:color="auto"/>
              <w:right w:val="nil"/>
            </w:tcBorders>
            <w:shd w:val="clear" w:color="auto" w:fill="F2F2F2" w:themeFill="background1" w:themeFillShade="F2"/>
            <w:noWrap/>
            <w:vAlign w:val="bottom"/>
            <w:hideMark/>
          </w:tcPr>
          <w:p w14:paraId="7318B645"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0.00***</w:t>
            </w:r>
          </w:p>
        </w:tc>
        <w:tc>
          <w:tcPr>
            <w:tcW w:w="1434"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6156371"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0.00***</w:t>
            </w:r>
          </w:p>
        </w:tc>
        <w:tc>
          <w:tcPr>
            <w:tcW w:w="1439" w:type="dxa"/>
            <w:tcBorders>
              <w:top w:val="nil"/>
              <w:left w:val="nil"/>
              <w:bottom w:val="single" w:sz="4" w:space="0" w:color="auto"/>
              <w:right w:val="single" w:sz="4" w:space="0" w:color="auto"/>
            </w:tcBorders>
            <w:shd w:val="clear" w:color="auto" w:fill="F2F2F2" w:themeFill="background1" w:themeFillShade="F2"/>
            <w:noWrap/>
            <w:vAlign w:val="bottom"/>
            <w:hideMark/>
          </w:tcPr>
          <w:p w14:paraId="4D949F85" w14:textId="77777777" w:rsidR="00081488" w:rsidRPr="000E14BA" w:rsidRDefault="00081488" w:rsidP="00161EDB">
            <w:pPr>
              <w:spacing w:after="0" w:line="240" w:lineRule="auto"/>
              <w:ind w:firstLine="0"/>
              <w:rPr>
                <w:rFonts w:ascii="Times New Roman" w:eastAsia="Times New Roman" w:hAnsi="Times New Roman" w:cs="Times New Roman"/>
                <w:color w:val="000000"/>
                <w:kern w:val="0"/>
                <w:sz w:val="16"/>
                <w:szCs w:val="16"/>
                <w:lang w:eastAsia="en-GB"/>
                <w14:ligatures w14:val="none"/>
              </w:rPr>
            </w:pPr>
            <w:r w:rsidRPr="000E14BA">
              <w:rPr>
                <w:rFonts w:ascii="Times New Roman" w:eastAsia="Times New Roman" w:hAnsi="Times New Roman" w:cs="Times New Roman"/>
                <w:color w:val="000000"/>
                <w:kern w:val="0"/>
                <w:sz w:val="16"/>
                <w:szCs w:val="16"/>
                <w:lang w:eastAsia="en-GB"/>
                <w14:ligatures w14:val="none"/>
              </w:rPr>
              <w:t>0.00***</w:t>
            </w:r>
          </w:p>
        </w:tc>
      </w:tr>
    </w:tbl>
    <w:p w14:paraId="0F414316" w14:textId="5910D3B3" w:rsidR="00CD6EF3" w:rsidRPr="00CB1D16" w:rsidRDefault="00CD6EF3" w:rsidP="00CB1D16">
      <w:pPr>
        <w:suppressAutoHyphens/>
        <w:autoSpaceDN w:val="0"/>
        <w:ind w:firstLine="0"/>
        <w:textAlignment w:val="baseline"/>
        <w:rPr>
          <w:rFonts w:ascii="Times New Roman" w:eastAsia="Calibri" w:hAnsi="Times New Roman" w:cs="Times New Roman"/>
          <w:b/>
          <w:bCs/>
          <w:sz w:val="24"/>
          <w:szCs w:val="24"/>
        </w:rPr>
      </w:pPr>
    </w:p>
    <w:bookmarkEnd w:id="24"/>
    <w:p w14:paraId="0DA97CFC" w14:textId="77777777" w:rsidR="00CB1D16" w:rsidRPr="00CB1D16" w:rsidRDefault="00CB1D16" w:rsidP="00CB1D16">
      <w:pPr>
        <w:spacing w:after="200" w:line="240" w:lineRule="auto"/>
        <w:ind w:firstLine="0"/>
        <w:jc w:val="left"/>
        <w:rPr>
          <w:rFonts w:ascii="Times New Roman" w:eastAsia="Aptos" w:hAnsi="Times New Roman" w:cs="Times New Roman"/>
          <w:kern w:val="0"/>
          <w:sz w:val="24"/>
          <w:szCs w:val="24"/>
          <w:lang w:val="en-US"/>
          <w14:ligatures w14:val="none"/>
        </w:rPr>
      </w:pPr>
    </w:p>
    <w:p w14:paraId="40889B1D" w14:textId="77777777" w:rsidR="00D85630" w:rsidRPr="004E5EF9" w:rsidRDefault="00D85630" w:rsidP="00D85630">
      <w:pPr>
        <w:suppressAutoHyphens/>
        <w:autoSpaceDN w:val="0"/>
        <w:textAlignment w:val="baseline"/>
        <w:rPr>
          <w:rFonts w:ascii="Times New Roman" w:hAnsi="Times New Roman"/>
          <w:sz w:val="24"/>
          <w:szCs w:val="24"/>
        </w:rPr>
      </w:pPr>
    </w:p>
    <w:p w14:paraId="15708E7C" w14:textId="6E8F5FCA" w:rsidR="00146107" w:rsidRPr="004E5EF9" w:rsidRDefault="00146107" w:rsidP="00E970AF">
      <w:pPr>
        <w:suppressAutoHyphens/>
        <w:autoSpaceDN w:val="0"/>
        <w:textAlignment w:val="baseline"/>
        <w:rPr>
          <w:rFonts w:ascii="Times New Roman" w:hAnsi="Times New Roman"/>
          <w:sz w:val="24"/>
          <w:szCs w:val="24"/>
        </w:rPr>
      </w:pPr>
    </w:p>
    <w:p w14:paraId="42F4814B" w14:textId="77777777" w:rsidR="005E1454" w:rsidRPr="004E5EF9" w:rsidRDefault="005E1454" w:rsidP="006D3701">
      <w:pPr>
        <w:ind w:firstLine="0"/>
        <w:rPr>
          <w:rFonts w:ascii="Times New Roman" w:hAnsi="Times New Roman" w:cs="Times New Roman"/>
          <w:b/>
          <w:bCs/>
          <w:sz w:val="24"/>
          <w:szCs w:val="24"/>
        </w:rPr>
      </w:pPr>
    </w:p>
    <w:p w14:paraId="51828355" w14:textId="77777777" w:rsidR="00F024A8" w:rsidRPr="004E5EF9" w:rsidRDefault="00F024A8" w:rsidP="00000A83">
      <w:pPr>
        <w:spacing w:line="360" w:lineRule="auto"/>
        <w:jc w:val="center"/>
        <w:rPr>
          <w:rFonts w:ascii="Times New Roman" w:hAnsi="Times New Roman" w:cs="Times New Roman"/>
          <w:b/>
          <w:bCs/>
          <w:sz w:val="24"/>
          <w:szCs w:val="24"/>
        </w:rPr>
      </w:pPr>
    </w:p>
    <w:bookmarkEnd w:id="0"/>
    <w:p w14:paraId="477319C3" w14:textId="77777777" w:rsidR="00F024A8" w:rsidRDefault="00F024A8" w:rsidP="00000A83">
      <w:pPr>
        <w:spacing w:line="360" w:lineRule="auto"/>
        <w:jc w:val="center"/>
        <w:rPr>
          <w:rFonts w:ascii="Times New Roman" w:hAnsi="Times New Roman" w:cs="Times New Roman"/>
          <w:b/>
          <w:bCs/>
          <w:sz w:val="24"/>
          <w:szCs w:val="24"/>
        </w:rPr>
      </w:pPr>
    </w:p>
    <w:sectPr w:rsidR="00F024A8" w:rsidSect="00CD6EF3">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EF832" w14:textId="77777777" w:rsidR="008D1C86" w:rsidRPr="004E5EF9" w:rsidRDefault="008D1C86" w:rsidP="00712DAE">
      <w:pPr>
        <w:spacing w:after="0" w:line="240" w:lineRule="auto"/>
      </w:pPr>
      <w:r w:rsidRPr="004E5EF9">
        <w:separator/>
      </w:r>
    </w:p>
  </w:endnote>
  <w:endnote w:type="continuationSeparator" w:id="0">
    <w:p w14:paraId="3F1EDAD8" w14:textId="77777777" w:rsidR="008D1C86" w:rsidRPr="004E5EF9" w:rsidRDefault="008D1C86" w:rsidP="00712DAE">
      <w:pPr>
        <w:spacing w:after="0" w:line="240" w:lineRule="auto"/>
      </w:pPr>
      <w:r w:rsidRPr="004E5E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036135"/>
      <w:docPartObj>
        <w:docPartGallery w:val="Page Numbers (Bottom of Page)"/>
        <w:docPartUnique/>
      </w:docPartObj>
    </w:sdtPr>
    <w:sdtContent>
      <w:p w14:paraId="461D515E" w14:textId="5E66AD1B" w:rsidR="00F116DC" w:rsidRPr="004E5EF9" w:rsidRDefault="00F116DC">
        <w:pPr>
          <w:pStyle w:val="Footer"/>
          <w:jc w:val="center"/>
        </w:pPr>
        <w:r w:rsidRPr="004E5EF9">
          <w:fldChar w:fldCharType="begin"/>
        </w:r>
        <w:r w:rsidRPr="004E5EF9">
          <w:instrText xml:space="preserve"> PAGE   \* MERGEFORMAT </w:instrText>
        </w:r>
        <w:r w:rsidRPr="004E5EF9">
          <w:fldChar w:fldCharType="separate"/>
        </w:r>
        <w:r w:rsidRPr="004E5EF9">
          <w:t>2</w:t>
        </w:r>
        <w:r w:rsidRPr="004E5EF9">
          <w:fldChar w:fldCharType="end"/>
        </w:r>
      </w:p>
    </w:sdtContent>
  </w:sdt>
  <w:p w14:paraId="4F05E754" w14:textId="77777777" w:rsidR="00F116DC" w:rsidRPr="004E5EF9" w:rsidRDefault="00F11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598CA" w14:textId="77777777" w:rsidR="008D1C86" w:rsidRPr="004E5EF9" w:rsidRDefault="008D1C86" w:rsidP="00712DAE">
      <w:pPr>
        <w:spacing w:after="0" w:line="240" w:lineRule="auto"/>
      </w:pPr>
      <w:r w:rsidRPr="004E5EF9">
        <w:separator/>
      </w:r>
    </w:p>
  </w:footnote>
  <w:footnote w:type="continuationSeparator" w:id="0">
    <w:p w14:paraId="5D0DC7FE" w14:textId="77777777" w:rsidR="008D1C86" w:rsidRPr="004E5EF9" w:rsidRDefault="008D1C86" w:rsidP="00712DAE">
      <w:pPr>
        <w:spacing w:after="0" w:line="240" w:lineRule="auto"/>
      </w:pPr>
      <w:r w:rsidRPr="004E5EF9">
        <w:continuationSeparator/>
      </w:r>
    </w:p>
  </w:footnote>
  <w:footnote w:id="1">
    <w:p w14:paraId="2993788F" w14:textId="4D3371EF" w:rsidR="00944AFB" w:rsidRPr="00944AFB" w:rsidRDefault="00944AFB">
      <w:pPr>
        <w:pStyle w:val="FootnoteText"/>
        <w:rPr>
          <w:rFonts w:ascii="Times New Roman" w:hAnsi="Times New Roman" w:cs="Times New Roman"/>
          <w:lang w:val="en-US"/>
        </w:rPr>
      </w:pPr>
      <w:r>
        <w:rPr>
          <w:rStyle w:val="FootnoteReference"/>
        </w:rPr>
        <w:footnoteRef/>
      </w:r>
      <w:r>
        <w:t xml:space="preserve"> </w:t>
      </w:r>
      <w:hyperlink r:id="rId1" w:history="1">
        <w:r w:rsidRPr="00944AFB">
          <w:rPr>
            <w:rFonts w:ascii="Times New Roman" w:eastAsia="Calibri" w:hAnsi="Times New Roman" w:cs="Times New Roman"/>
            <w:color w:val="0563C1"/>
            <w:kern w:val="2"/>
            <w:u w:val="single"/>
            <w14:ligatures w14:val="standardContextual"/>
          </w:rPr>
          <w:t>https://cividata.org/en/united-kingdom/</w:t>
        </w:r>
      </w:hyperlink>
      <w:r>
        <w:rPr>
          <w:rFonts w:ascii="Times New Roman" w:eastAsia="Calibri" w:hAnsi="Times New Roman" w:cs="Times New Roman"/>
          <w:kern w:val="2"/>
          <w14:ligatures w14:val="standardContextual"/>
        </w:rPr>
        <w:t xml:space="preserve"> . These data is an open database </w:t>
      </w:r>
      <w:r w:rsidR="00420933">
        <w:rPr>
          <w:rFonts w:ascii="Times New Roman" w:eastAsia="Calibri" w:hAnsi="Times New Roman" w:cs="Times New Roman"/>
          <w:kern w:val="2"/>
          <w14:ligatures w14:val="standardContextual"/>
        </w:rPr>
        <w:t xml:space="preserve">Wiki data, largely </w:t>
      </w:r>
      <w:r>
        <w:rPr>
          <w:rFonts w:ascii="Times New Roman" w:eastAsia="Calibri" w:hAnsi="Times New Roman" w:cs="Times New Roman"/>
          <w:kern w:val="2"/>
          <w14:ligatures w14:val="standardContextual"/>
        </w:rPr>
        <w:t>drawn from NGOs tax documents or annual reports.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DAA71F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27904CB"/>
    <w:multiLevelType w:val="hybridMultilevel"/>
    <w:tmpl w:val="295AD4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34C261C"/>
    <w:multiLevelType w:val="multilevel"/>
    <w:tmpl w:val="7F488C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 w15:restartNumberingAfterBreak="0">
    <w:nsid w:val="04AE4704"/>
    <w:multiLevelType w:val="hybridMultilevel"/>
    <w:tmpl w:val="374EFADC"/>
    <w:lvl w:ilvl="0" w:tplc="20000019">
      <w:start w:val="1"/>
      <w:numFmt w:val="lowerLetter"/>
      <w:lvlText w:val="%1."/>
      <w:lvlJc w:val="left"/>
      <w:pPr>
        <w:ind w:left="769" w:hanging="360"/>
      </w:pPr>
    </w:lvl>
    <w:lvl w:ilvl="1" w:tplc="20000019" w:tentative="1">
      <w:start w:val="1"/>
      <w:numFmt w:val="lowerLetter"/>
      <w:lvlText w:val="%2."/>
      <w:lvlJc w:val="left"/>
      <w:pPr>
        <w:ind w:left="1489" w:hanging="360"/>
      </w:pPr>
    </w:lvl>
    <w:lvl w:ilvl="2" w:tplc="2000001B" w:tentative="1">
      <w:start w:val="1"/>
      <w:numFmt w:val="lowerRoman"/>
      <w:lvlText w:val="%3."/>
      <w:lvlJc w:val="right"/>
      <w:pPr>
        <w:ind w:left="2209" w:hanging="180"/>
      </w:pPr>
    </w:lvl>
    <w:lvl w:ilvl="3" w:tplc="2000000F" w:tentative="1">
      <w:start w:val="1"/>
      <w:numFmt w:val="decimal"/>
      <w:lvlText w:val="%4."/>
      <w:lvlJc w:val="left"/>
      <w:pPr>
        <w:ind w:left="2929" w:hanging="360"/>
      </w:pPr>
    </w:lvl>
    <w:lvl w:ilvl="4" w:tplc="20000019" w:tentative="1">
      <w:start w:val="1"/>
      <w:numFmt w:val="lowerLetter"/>
      <w:lvlText w:val="%5."/>
      <w:lvlJc w:val="left"/>
      <w:pPr>
        <w:ind w:left="3649" w:hanging="360"/>
      </w:pPr>
    </w:lvl>
    <w:lvl w:ilvl="5" w:tplc="2000001B" w:tentative="1">
      <w:start w:val="1"/>
      <w:numFmt w:val="lowerRoman"/>
      <w:lvlText w:val="%6."/>
      <w:lvlJc w:val="right"/>
      <w:pPr>
        <w:ind w:left="4369" w:hanging="180"/>
      </w:pPr>
    </w:lvl>
    <w:lvl w:ilvl="6" w:tplc="2000000F" w:tentative="1">
      <w:start w:val="1"/>
      <w:numFmt w:val="decimal"/>
      <w:lvlText w:val="%7."/>
      <w:lvlJc w:val="left"/>
      <w:pPr>
        <w:ind w:left="5089" w:hanging="360"/>
      </w:pPr>
    </w:lvl>
    <w:lvl w:ilvl="7" w:tplc="20000019" w:tentative="1">
      <w:start w:val="1"/>
      <w:numFmt w:val="lowerLetter"/>
      <w:lvlText w:val="%8."/>
      <w:lvlJc w:val="left"/>
      <w:pPr>
        <w:ind w:left="5809" w:hanging="360"/>
      </w:pPr>
    </w:lvl>
    <w:lvl w:ilvl="8" w:tplc="2000001B" w:tentative="1">
      <w:start w:val="1"/>
      <w:numFmt w:val="lowerRoman"/>
      <w:lvlText w:val="%9."/>
      <w:lvlJc w:val="right"/>
      <w:pPr>
        <w:ind w:left="6529" w:hanging="180"/>
      </w:pPr>
    </w:lvl>
  </w:abstractNum>
  <w:abstractNum w:abstractNumId="4" w15:restartNumberingAfterBreak="0">
    <w:nsid w:val="0B6711B6"/>
    <w:multiLevelType w:val="hybridMultilevel"/>
    <w:tmpl w:val="5C42CEBE"/>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E034CDA"/>
    <w:multiLevelType w:val="multilevel"/>
    <w:tmpl w:val="6DAE4B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967591"/>
    <w:multiLevelType w:val="multilevel"/>
    <w:tmpl w:val="1500F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6254EA"/>
    <w:multiLevelType w:val="hybridMultilevel"/>
    <w:tmpl w:val="26AACDDE"/>
    <w:lvl w:ilvl="0" w:tplc="C5EED14E">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16B8589E"/>
    <w:multiLevelType w:val="hybridMultilevel"/>
    <w:tmpl w:val="CA326FE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AD93362"/>
    <w:multiLevelType w:val="hybridMultilevel"/>
    <w:tmpl w:val="45A654BA"/>
    <w:lvl w:ilvl="0" w:tplc="23F4C384">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15:restartNumberingAfterBreak="0">
    <w:nsid w:val="1C616FAB"/>
    <w:multiLevelType w:val="hybridMultilevel"/>
    <w:tmpl w:val="73AC18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D876A09"/>
    <w:multiLevelType w:val="multilevel"/>
    <w:tmpl w:val="5B4274C2"/>
    <w:lvl w:ilvl="0">
      <w:start w:val="1"/>
      <w:numFmt w:val="decimal"/>
      <w:lvlText w:val="%1.0"/>
      <w:lvlJc w:val="left"/>
      <w:pPr>
        <w:ind w:left="3720" w:hanging="360"/>
      </w:pPr>
      <w:rPr>
        <w:rFonts w:hint="default"/>
      </w:rPr>
    </w:lvl>
    <w:lvl w:ilvl="1">
      <w:start w:val="1"/>
      <w:numFmt w:val="decimal"/>
      <w:lvlText w:val="%1.%2"/>
      <w:lvlJc w:val="left"/>
      <w:pPr>
        <w:ind w:left="4440" w:hanging="36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624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040" w:hanging="1080"/>
      </w:pPr>
      <w:rPr>
        <w:rFonts w:hint="default"/>
      </w:rPr>
    </w:lvl>
    <w:lvl w:ilvl="6">
      <w:start w:val="1"/>
      <w:numFmt w:val="decimal"/>
      <w:lvlText w:val="%1.%2.%3.%4.%5.%6.%7"/>
      <w:lvlJc w:val="left"/>
      <w:pPr>
        <w:ind w:left="912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0920" w:hanging="1800"/>
      </w:pPr>
      <w:rPr>
        <w:rFonts w:hint="default"/>
      </w:rPr>
    </w:lvl>
  </w:abstractNum>
  <w:abstractNum w:abstractNumId="12" w15:restartNumberingAfterBreak="0">
    <w:nsid w:val="234547C8"/>
    <w:multiLevelType w:val="hybridMultilevel"/>
    <w:tmpl w:val="EC6EBA2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88C2AAB"/>
    <w:multiLevelType w:val="hybridMultilevel"/>
    <w:tmpl w:val="4B00BDCC"/>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9AF6768"/>
    <w:multiLevelType w:val="multilevel"/>
    <w:tmpl w:val="C784978C"/>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9BE08B8"/>
    <w:multiLevelType w:val="multilevel"/>
    <w:tmpl w:val="6DAE4B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6807A8"/>
    <w:multiLevelType w:val="multilevel"/>
    <w:tmpl w:val="6DAE4B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EEC552F"/>
    <w:multiLevelType w:val="hybridMultilevel"/>
    <w:tmpl w:val="29305AA6"/>
    <w:lvl w:ilvl="0" w:tplc="FDD461D0">
      <w:start w:val="1"/>
      <w:numFmt w:val="decimal"/>
      <w:lvlText w:val="%1."/>
      <w:lvlJc w:val="left"/>
      <w:pPr>
        <w:ind w:left="1080" w:hanging="360"/>
      </w:pPr>
      <w:rPr>
        <w:rFonts w:hint="default"/>
        <w:b w:val="0"/>
        <w:bCs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8" w15:restartNumberingAfterBreak="0">
    <w:nsid w:val="316B2076"/>
    <w:multiLevelType w:val="multilevel"/>
    <w:tmpl w:val="95CAF1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4B17BB"/>
    <w:multiLevelType w:val="multilevel"/>
    <w:tmpl w:val="6DAE4B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4350A1"/>
    <w:multiLevelType w:val="hybridMultilevel"/>
    <w:tmpl w:val="EC8A001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DC44410"/>
    <w:multiLevelType w:val="multilevel"/>
    <w:tmpl w:val="CF1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D4626A"/>
    <w:multiLevelType w:val="hybridMultilevel"/>
    <w:tmpl w:val="A482B73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63E6B42"/>
    <w:multiLevelType w:val="hybridMultilevel"/>
    <w:tmpl w:val="2604EBC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84708F6"/>
    <w:multiLevelType w:val="multilevel"/>
    <w:tmpl w:val="DFBC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1244E5"/>
    <w:multiLevelType w:val="hybridMultilevel"/>
    <w:tmpl w:val="24D201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FA40F53"/>
    <w:multiLevelType w:val="hybridMultilevel"/>
    <w:tmpl w:val="35C08054"/>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7" w15:restartNumberingAfterBreak="0">
    <w:nsid w:val="51C11878"/>
    <w:multiLevelType w:val="hybridMultilevel"/>
    <w:tmpl w:val="DBD2B4BA"/>
    <w:lvl w:ilvl="0" w:tplc="20000019">
      <w:start w:val="1"/>
      <w:numFmt w:val="lowerLetter"/>
      <w:lvlText w:val="%1."/>
      <w:lvlJc w:val="left"/>
      <w:pPr>
        <w:ind w:left="643" w:hanging="360"/>
      </w:p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8" w15:restartNumberingAfterBreak="0">
    <w:nsid w:val="52F964D0"/>
    <w:multiLevelType w:val="hybridMultilevel"/>
    <w:tmpl w:val="2F18FE96"/>
    <w:lvl w:ilvl="0" w:tplc="2000000F">
      <w:start w:val="1"/>
      <w:numFmt w:val="decimal"/>
      <w:lvlText w:val="%1."/>
      <w:lvlJc w:val="left"/>
      <w:pPr>
        <w:ind w:left="502" w:hanging="360"/>
      </w:pPr>
      <w:rPr>
        <w:rFonts w:hint="default"/>
        <w:b w:val="0"/>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9" w15:restartNumberingAfterBreak="0">
    <w:nsid w:val="590446C5"/>
    <w:multiLevelType w:val="hybridMultilevel"/>
    <w:tmpl w:val="1318F240"/>
    <w:lvl w:ilvl="0" w:tplc="E2B61C7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D7641EB"/>
    <w:multiLevelType w:val="hybridMultilevel"/>
    <w:tmpl w:val="AEE050C4"/>
    <w:lvl w:ilvl="0" w:tplc="B90C9ED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088129B"/>
    <w:multiLevelType w:val="hybridMultilevel"/>
    <w:tmpl w:val="16CACA9A"/>
    <w:lvl w:ilvl="0" w:tplc="20000017">
      <w:start w:val="1"/>
      <w:numFmt w:val="lowerLetter"/>
      <w:lvlText w:val="%1)"/>
      <w:lvlJc w:val="left"/>
      <w:pPr>
        <w:ind w:left="785" w:hanging="360"/>
      </w:p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32" w15:restartNumberingAfterBreak="0">
    <w:nsid w:val="623841F9"/>
    <w:multiLevelType w:val="hybridMultilevel"/>
    <w:tmpl w:val="667C3212"/>
    <w:lvl w:ilvl="0" w:tplc="09403696">
      <w:start w:val="1"/>
      <w:numFmt w:val="upperLetter"/>
      <w:lvlText w:val="%1."/>
      <w:lvlJc w:val="left"/>
      <w:pPr>
        <w:ind w:left="1080" w:hanging="360"/>
      </w:pPr>
      <w:rPr>
        <w:rFonts w:hint="default"/>
        <w:color w:val="0000FF"/>
        <w:u w:val="singl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3" w15:restartNumberingAfterBreak="0">
    <w:nsid w:val="67AD2D55"/>
    <w:multiLevelType w:val="hybridMultilevel"/>
    <w:tmpl w:val="B7388F8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8293B4A"/>
    <w:multiLevelType w:val="hybridMultilevel"/>
    <w:tmpl w:val="957C25A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87D4F52"/>
    <w:multiLevelType w:val="hybridMultilevel"/>
    <w:tmpl w:val="A802D9F6"/>
    <w:lvl w:ilvl="0" w:tplc="393C2760">
      <w:start w:val="1"/>
      <w:numFmt w:val="decimal"/>
      <w:lvlText w:val="%1."/>
      <w:lvlJc w:val="left"/>
      <w:pPr>
        <w:ind w:left="1020" w:hanging="360"/>
      </w:pPr>
    </w:lvl>
    <w:lvl w:ilvl="1" w:tplc="F364C708">
      <w:start w:val="1"/>
      <w:numFmt w:val="decimal"/>
      <w:lvlText w:val="%2."/>
      <w:lvlJc w:val="left"/>
      <w:pPr>
        <w:ind w:left="1020" w:hanging="360"/>
      </w:pPr>
    </w:lvl>
    <w:lvl w:ilvl="2" w:tplc="34A0338E">
      <w:start w:val="1"/>
      <w:numFmt w:val="decimal"/>
      <w:lvlText w:val="%3."/>
      <w:lvlJc w:val="left"/>
      <w:pPr>
        <w:ind w:left="1020" w:hanging="360"/>
      </w:pPr>
    </w:lvl>
    <w:lvl w:ilvl="3" w:tplc="1F5207BE">
      <w:start w:val="1"/>
      <w:numFmt w:val="decimal"/>
      <w:lvlText w:val="%4."/>
      <w:lvlJc w:val="left"/>
      <w:pPr>
        <w:ind w:left="1020" w:hanging="360"/>
      </w:pPr>
    </w:lvl>
    <w:lvl w:ilvl="4" w:tplc="58808B3A">
      <w:start w:val="1"/>
      <w:numFmt w:val="decimal"/>
      <w:lvlText w:val="%5."/>
      <w:lvlJc w:val="left"/>
      <w:pPr>
        <w:ind w:left="1020" w:hanging="360"/>
      </w:pPr>
    </w:lvl>
    <w:lvl w:ilvl="5" w:tplc="AAC4A08A">
      <w:start w:val="1"/>
      <w:numFmt w:val="decimal"/>
      <w:lvlText w:val="%6."/>
      <w:lvlJc w:val="left"/>
      <w:pPr>
        <w:ind w:left="1020" w:hanging="360"/>
      </w:pPr>
    </w:lvl>
    <w:lvl w:ilvl="6" w:tplc="75802F3A">
      <w:start w:val="1"/>
      <w:numFmt w:val="decimal"/>
      <w:lvlText w:val="%7."/>
      <w:lvlJc w:val="left"/>
      <w:pPr>
        <w:ind w:left="1020" w:hanging="360"/>
      </w:pPr>
    </w:lvl>
    <w:lvl w:ilvl="7" w:tplc="4516A804">
      <w:start w:val="1"/>
      <w:numFmt w:val="decimal"/>
      <w:lvlText w:val="%8."/>
      <w:lvlJc w:val="left"/>
      <w:pPr>
        <w:ind w:left="1020" w:hanging="360"/>
      </w:pPr>
    </w:lvl>
    <w:lvl w:ilvl="8" w:tplc="16B22220">
      <w:start w:val="1"/>
      <w:numFmt w:val="decimal"/>
      <w:lvlText w:val="%9."/>
      <w:lvlJc w:val="left"/>
      <w:pPr>
        <w:ind w:left="1020" w:hanging="360"/>
      </w:pPr>
    </w:lvl>
  </w:abstractNum>
  <w:abstractNum w:abstractNumId="36" w15:restartNumberingAfterBreak="0">
    <w:nsid w:val="6C066B07"/>
    <w:multiLevelType w:val="hybridMultilevel"/>
    <w:tmpl w:val="981AAD3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CE3034A"/>
    <w:multiLevelType w:val="hybridMultilevel"/>
    <w:tmpl w:val="62D4B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CF5A0F"/>
    <w:multiLevelType w:val="hybridMultilevel"/>
    <w:tmpl w:val="4AECD6F0"/>
    <w:lvl w:ilvl="0" w:tplc="4E883E3E">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9" w15:restartNumberingAfterBreak="0">
    <w:nsid w:val="77A55009"/>
    <w:multiLevelType w:val="multilevel"/>
    <w:tmpl w:val="6DAE4B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8D26B7B"/>
    <w:multiLevelType w:val="multilevel"/>
    <w:tmpl w:val="6DAE4B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AB0140D"/>
    <w:multiLevelType w:val="hybridMultilevel"/>
    <w:tmpl w:val="C9B4832C"/>
    <w:lvl w:ilvl="0" w:tplc="A112D1A2">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2" w15:restartNumberingAfterBreak="0">
    <w:nsid w:val="7BBE0DF2"/>
    <w:multiLevelType w:val="hybridMultilevel"/>
    <w:tmpl w:val="136EB974"/>
    <w:lvl w:ilvl="0" w:tplc="5C406AB4">
      <w:start w:val="1"/>
      <w:numFmt w:val="decimal"/>
      <w:lvlText w:val="%1."/>
      <w:lvlJc w:val="left"/>
      <w:pPr>
        <w:ind w:left="420" w:hanging="360"/>
      </w:pPr>
      <w:rPr>
        <w:rFonts w:hint="default"/>
        <w:b w:val="0"/>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43" w15:restartNumberingAfterBreak="0">
    <w:nsid w:val="7CFF125B"/>
    <w:multiLevelType w:val="hybridMultilevel"/>
    <w:tmpl w:val="C3983CD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7D561E48"/>
    <w:multiLevelType w:val="hybridMultilevel"/>
    <w:tmpl w:val="DE3083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81791763">
    <w:abstractNumId w:val="11"/>
  </w:num>
  <w:num w:numId="2" w16cid:durableId="584654031">
    <w:abstractNumId w:val="2"/>
  </w:num>
  <w:num w:numId="3" w16cid:durableId="772288746">
    <w:abstractNumId w:val="40"/>
  </w:num>
  <w:num w:numId="4" w16cid:durableId="1145320071">
    <w:abstractNumId w:val="18"/>
  </w:num>
  <w:num w:numId="5" w16cid:durableId="827670083">
    <w:abstractNumId w:val="16"/>
  </w:num>
  <w:num w:numId="6" w16cid:durableId="1163738368">
    <w:abstractNumId w:val="5"/>
  </w:num>
  <w:num w:numId="7" w16cid:durableId="1851407886">
    <w:abstractNumId w:val="15"/>
  </w:num>
  <w:num w:numId="8" w16cid:durableId="1304238690">
    <w:abstractNumId w:val="39"/>
  </w:num>
  <w:num w:numId="9" w16cid:durableId="1496067573">
    <w:abstractNumId w:val="19"/>
  </w:num>
  <w:num w:numId="10" w16cid:durableId="1150176126">
    <w:abstractNumId w:val="43"/>
  </w:num>
  <w:num w:numId="11" w16cid:durableId="1606884740">
    <w:abstractNumId w:val="23"/>
  </w:num>
  <w:num w:numId="12" w16cid:durableId="1985500083">
    <w:abstractNumId w:val="30"/>
  </w:num>
  <w:num w:numId="13" w16cid:durableId="1307973126">
    <w:abstractNumId w:val="41"/>
  </w:num>
  <w:num w:numId="14" w16cid:durableId="644823123">
    <w:abstractNumId w:val="9"/>
  </w:num>
  <w:num w:numId="15" w16cid:durableId="322245117">
    <w:abstractNumId w:val="38"/>
  </w:num>
  <w:num w:numId="16" w16cid:durableId="1466197649">
    <w:abstractNumId w:val="10"/>
  </w:num>
  <w:num w:numId="17" w16cid:durableId="187063255">
    <w:abstractNumId w:val="31"/>
  </w:num>
  <w:num w:numId="18" w16cid:durableId="238711965">
    <w:abstractNumId w:val="29"/>
  </w:num>
  <w:num w:numId="19" w16cid:durableId="219949547">
    <w:abstractNumId w:val="3"/>
  </w:num>
  <w:num w:numId="20" w16cid:durableId="1226062116">
    <w:abstractNumId w:val="22"/>
  </w:num>
  <w:num w:numId="21" w16cid:durableId="1262758373">
    <w:abstractNumId w:val="28"/>
  </w:num>
  <w:num w:numId="22" w16cid:durableId="1601983287">
    <w:abstractNumId w:val="42"/>
  </w:num>
  <w:num w:numId="23" w16cid:durableId="846090938">
    <w:abstractNumId w:val="4"/>
  </w:num>
  <w:num w:numId="24" w16cid:durableId="1729919070">
    <w:abstractNumId w:val="25"/>
  </w:num>
  <w:num w:numId="25" w16cid:durableId="71196375">
    <w:abstractNumId w:val="17"/>
  </w:num>
  <w:num w:numId="26" w16cid:durableId="742146520">
    <w:abstractNumId w:val="27"/>
  </w:num>
  <w:num w:numId="27" w16cid:durableId="763038857">
    <w:abstractNumId w:val="13"/>
  </w:num>
  <w:num w:numId="28" w16cid:durableId="113253730">
    <w:abstractNumId w:val="8"/>
  </w:num>
  <w:num w:numId="29" w16cid:durableId="1925458472">
    <w:abstractNumId w:val="33"/>
  </w:num>
  <w:num w:numId="30" w16cid:durableId="219287111">
    <w:abstractNumId w:val="20"/>
  </w:num>
  <w:num w:numId="31" w16cid:durableId="1830289922">
    <w:abstractNumId w:val="36"/>
  </w:num>
  <w:num w:numId="32" w16cid:durableId="1202934682">
    <w:abstractNumId w:val="26"/>
  </w:num>
  <w:num w:numId="33" w16cid:durableId="2058551313">
    <w:abstractNumId w:val="12"/>
  </w:num>
  <w:num w:numId="34" w16cid:durableId="732506282">
    <w:abstractNumId w:val="14"/>
  </w:num>
  <w:num w:numId="35" w16cid:durableId="21395973">
    <w:abstractNumId w:val="34"/>
  </w:num>
  <w:num w:numId="36" w16cid:durableId="42140851">
    <w:abstractNumId w:val="1"/>
  </w:num>
  <w:num w:numId="37" w16cid:durableId="2078936153">
    <w:abstractNumId w:val="7"/>
  </w:num>
  <w:num w:numId="38" w16cid:durableId="638533228">
    <w:abstractNumId w:val="32"/>
  </w:num>
  <w:num w:numId="39" w16cid:durableId="201140003">
    <w:abstractNumId w:val="37"/>
  </w:num>
  <w:num w:numId="40" w16cid:durableId="1491864875">
    <w:abstractNumId w:val="44"/>
  </w:num>
  <w:num w:numId="41" w16cid:durableId="1186678349">
    <w:abstractNumId w:val="35"/>
  </w:num>
  <w:num w:numId="42" w16cid:durableId="454452132">
    <w:abstractNumId w:val="24"/>
  </w:num>
  <w:num w:numId="43" w16cid:durableId="249971177">
    <w:abstractNumId w:val="6"/>
  </w:num>
  <w:num w:numId="44" w16cid:durableId="2085683635">
    <w:abstractNumId w:val="0"/>
  </w:num>
  <w:num w:numId="45" w16cid:durableId="6478265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64"/>
    <w:rsid w:val="0000018D"/>
    <w:rsid w:val="00000292"/>
    <w:rsid w:val="00000368"/>
    <w:rsid w:val="0000054E"/>
    <w:rsid w:val="000009C0"/>
    <w:rsid w:val="00000A83"/>
    <w:rsid w:val="000013AA"/>
    <w:rsid w:val="0000338A"/>
    <w:rsid w:val="0000371F"/>
    <w:rsid w:val="00003833"/>
    <w:rsid w:val="00003CC7"/>
    <w:rsid w:val="00004D66"/>
    <w:rsid w:val="00006515"/>
    <w:rsid w:val="00006B55"/>
    <w:rsid w:val="00007C7F"/>
    <w:rsid w:val="000101A0"/>
    <w:rsid w:val="00010F2F"/>
    <w:rsid w:val="00011B2D"/>
    <w:rsid w:val="00011FBE"/>
    <w:rsid w:val="000124B2"/>
    <w:rsid w:val="00012C3A"/>
    <w:rsid w:val="00013825"/>
    <w:rsid w:val="00013D79"/>
    <w:rsid w:val="000145BD"/>
    <w:rsid w:val="00015299"/>
    <w:rsid w:val="00015375"/>
    <w:rsid w:val="00015565"/>
    <w:rsid w:val="00015574"/>
    <w:rsid w:val="00015BED"/>
    <w:rsid w:val="00016405"/>
    <w:rsid w:val="0001724E"/>
    <w:rsid w:val="00021093"/>
    <w:rsid w:val="00021122"/>
    <w:rsid w:val="00021E1C"/>
    <w:rsid w:val="00021F49"/>
    <w:rsid w:val="00022935"/>
    <w:rsid w:val="00022C30"/>
    <w:rsid w:val="00023E29"/>
    <w:rsid w:val="000251D6"/>
    <w:rsid w:val="00025230"/>
    <w:rsid w:val="00025D70"/>
    <w:rsid w:val="000262FE"/>
    <w:rsid w:val="00026CB2"/>
    <w:rsid w:val="00026F74"/>
    <w:rsid w:val="00026FE0"/>
    <w:rsid w:val="00030087"/>
    <w:rsid w:val="000308C2"/>
    <w:rsid w:val="00033C6F"/>
    <w:rsid w:val="00034173"/>
    <w:rsid w:val="000345CC"/>
    <w:rsid w:val="00035481"/>
    <w:rsid w:val="00035DF7"/>
    <w:rsid w:val="0003631F"/>
    <w:rsid w:val="000365C4"/>
    <w:rsid w:val="00036F45"/>
    <w:rsid w:val="00036F9F"/>
    <w:rsid w:val="0003749E"/>
    <w:rsid w:val="00041E3F"/>
    <w:rsid w:val="00042016"/>
    <w:rsid w:val="00042601"/>
    <w:rsid w:val="000427DA"/>
    <w:rsid w:val="000446FD"/>
    <w:rsid w:val="00045028"/>
    <w:rsid w:val="00047231"/>
    <w:rsid w:val="00050814"/>
    <w:rsid w:val="00051060"/>
    <w:rsid w:val="0005352D"/>
    <w:rsid w:val="0005466C"/>
    <w:rsid w:val="000556BF"/>
    <w:rsid w:val="00055A72"/>
    <w:rsid w:val="00057E1F"/>
    <w:rsid w:val="0006003D"/>
    <w:rsid w:val="0006072C"/>
    <w:rsid w:val="00060EA0"/>
    <w:rsid w:val="00064DCD"/>
    <w:rsid w:val="00065BD8"/>
    <w:rsid w:val="000662A2"/>
    <w:rsid w:val="00066D23"/>
    <w:rsid w:val="000677C2"/>
    <w:rsid w:val="000710DC"/>
    <w:rsid w:val="0007120E"/>
    <w:rsid w:val="00071BCE"/>
    <w:rsid w:val="00072166"/>
    <w:rsid w:val="00072899"/>
    <w:rsid w:val="00072B4F"/>
    <w:rsid w:val="0007603D"/>
    <w:rsid w:val="00076891"/>
    <w:rsid w:val="0008095C"/>
    <w:rsid w:val="00080AA4"/>
    <w:rsid w:val="00080D4F"/>
    <w:rsid w:val="00081488"/>
    <w:rsid w:val="000821E2"/>
    <w:rsid w:val="00082821"/>
    <w:rsid w:val="00083883"/>
    <w:rsid w:val="00084C6A"/>
    <w:rsid w:val="000859F7"/>
    <w:rsid w:val="00085E36"/>
    <w:rsid w:val="00086C78"/>
    <w:rsid w:val="00086D97"/>
    <w:rsid w:val="00086FCF"/>
    <w:rsid w:val="00090AE8"/>
    <w:rsid w:val="00091751"/>
    <w:rsid w:val="0009372F"/>
    <w:rsid w:val="0009410F"/>
    <w:rsid w:val="0009574D"/>
    <w:rsid w:val="0009575C"/>
    <w:rsid w:val="000972EE"/>
    <w:rsid w:val="00097551"/>
    <w:rsid w:val="0009779B"/>
    <w:rsid w:val="000978A2"/>
    <w:rsid w:val="000A088F"/>
    <w:rsid w:val="000A0E2C"/>
    <w:rsid w:val="000A15A3"/>
    <w:rsid w:val="000A1673"/>
    <w:rsid w:val="000A1CB5"/>
    <w:rsid w:val="000A20F0"/>
    <w:rsid w:val="000A4159"/>
    <w:rsid w:val="000A43CC"/>
    <w:rsid w:val="000A44D0"/>
    <w:rsid w:val="000A4943"/>
    <w:rsid w:val="000A54B2"/>
    <w:rsid w:val="000A5751"/>
    <w:rsid w:val="000B0A36"/>
    <w:rsid w:val="000B0CFF"/>
    <w:rsid w:val="000B2525"/>
    <w:rsid w:val="000B3B31"/>
    <w:rsid w:val="000B3E24"/>
    <w:rsid w:val="000B4262"/>
    <w:rsid w:val="000B52B7"/>
    <w:rsid w:val="000B556C"/>
    <w:rsid w:val="000B643F"/>
    <w:rsid w:val="000B7299"/>
    <w:rsid w:val="000B771B"/>
    <w:rsid w:val="000B7795"/>
    <w:rsid w:val="000B7C74"/>
    <w:rsid w:val="000C17D9"/>
    <w:rsid w:val="000C1928"/>
    <w:rsid w:val="000C250A"/>
    <w:rsid w:val="000C340E"/>
    <w:rsid w:val="000C35E9"/>
    <w:rsid w:val="000C42D5"/>
    <w:rsid w:val="000C4E8F"/>
    <w:rsid w:val="000C5C03"/>
    <w:rsid w:val="000C6D47"/>
    <w:rsid w:val="000C75EF"/>
    <w:rsid w:val="000D07D9"/>
    <w:rsid w:val="000D3C86"/>
    <w:rsid w:val="000D46E1"/>
    <w:rsid w:val="000D5F27"/>
    <w:rsid w:val="000D6236"/>
    <w:rsid w:val="000D68C2"/>
    <w:rsid w:val="000D6C0B"/>
    <w:rsid w:val="000D7C1A"/>
    <w:rsid w:val="000E14BA"/>
    <w:rsid w:val="000E1AB8"/>
    <w:rsid w:val="000E2A0B"/>
    <w:rsid w:val="000E30A0"/>
    <w:rsid w:val="000E44D8"/>
    <w:rsid w:val="000E47B4"/>
    <w:rsid w:val="000E6508"/>
    <w:rsid w:val="000E6729"/>
    <w:rsid w:val="000E683C"/>
    <w:rsid w:val="000E6AF0"/>
    <w:rsid w:val="000F0CE2"/>
    <w:rsid w:val="000F1E69"/>
    <w:rsid w:val="000F210F"/>
    <w:rsid w:val="000F2400"/>
    <w:rsid w:val="000F2760"/>
    <w:rsid w:val="000F304D"/>
    <w:rsid w:val="000F32EE"/>
    <w:rsid w:val="000F362D"/>
    <w:rsid w:val="000F3719"/>
    <w:rsid w:val="000F4117"/>
    <w:rsid w:val="000F42F7"/>
    <w:rsid w:val="000F5844"/>
    <w:rsid w:val="000F58D7"/>
    <w:rsid w:val="000F6194"/>
    <w:rsid w:val="000F61A4"/>
    <w:rsid w:val="000F6BD3"/>
    <w:rsid w:val="000F6DCA"/>
    <w:rsid w:val="000F7298"/>
    <w:rsid w:val="0010022B"/>
    <w:rsid w:val="00100A16"/>
    <w:rsid w:val="00101A50"/>
    <w:rsid w:val="00101E0F"/>
    <w:rsid w:val="00103EC3"/>
    <w:rsid w:val="00104523"/>
    <w:rsid w:val="00104B0B"/>
    <w:rsid w:val="00107448"/>
    <w:rsid w:val="00110465"/>
    <w:rsid w:val="001114C8"/>
    <w:rsid w:val="00111C1C"/>
    <w:rsid w:val="00111FCB"/>
    <w:rsid w:val="00113D03"/>
    <w:rsid w:val="00114459"/>
    <w:rsid w:val="001150B7"/>
    <w:rsid w:val="001151F7"/>
    <w:rsid w:val="0011583A"/>
    <w:rsid w:val="001162F5"/>
    <w:rsid w:val="00116661"/>
    <w:rsid w:val="00116F5A"/>
    <w:rsid w:val="0011713D"/>
    <w:rsid w:val="00117A85"/>
    <w:rsid w:val="00117D12"/>
    <w:rsid w:val="00117FE7"/>
    <w:rsid w:val="00120034"/>
    <w:rsid w:val="00121A05"/>
    <w:rsid w:val="00122913"/>
    <w:rsid w:val="00123105"/>
    <w:rsid w:val="0012343A"/>
    <w:rsid w:val="00123FB0"/>
    <w:rsid w:val="00124A75"/>
    <w:rsid w:val="00124B75"/>
    <w:rsid w:val="00125030"/>
    <w:rsid w:val="00125031"/>
    <w:rsid w:val="0012575C"/>
    <w:rsid w:val="00125DFD"/>
    <w:rsid w:val="001275C7"/>
    <w:rsid w:val="00130EAF"/>
    <w:rsid w:val="00132762"/>
    <w:rsid w:val="00133599"/>
    <w:rsid w:val="001337E1"/>
    <w:rsid w:val="0013453B"/>
    <w:rsid w:val="00135504"/>
    <w:rsid w:val="00136462"/>
    <w:rsid w:val="00136648"/>
    <w:rsid w:val="00136722"/>
    <w:rsid w:val="00136B80"/>
    <w:rsid w:val="00136D96"/>
    <w:rsid w:val="00137586"/>
    <w:rsid w:val="00140781"/>
    <w:rsid w:val="00140905"/>
    <w:rsid w:val="001422C8"/>
    <w:rsid w:val="0014251F"/>
    <w:rsid w:val="001432AF"/>
    <w:rsid w:val="00143614"/>
    <w:rsid w:val="00143E50"/>
    <w:rsid w:val="001448DD"/>
    <w:rsid w:val="00144AE3"/>
    <w:rsid w:val="00144C5E"/>
    <w:rsid w:val="00146107"/>
    <w:rsid w:val="00146130"/>
    <w:rsid w:val="00146467"/>
    <w:rsid w:val="001511FF"/>
    <w:rsid w:val="001524EF"/>
    <w:rsid w:val="00152C15"/>
    <w:rsid w:val="00152C55"/>
    <w:rsid w:val="00153464"/>
    <w:rsid w:val="00153CF0"/>
    <w:rsid w:val="00154368"/>
    <w:rsid w:val="001549EC"/>
    <w:rsid w:val="00155397"/>
    <w:rsid w:val="00156AD8"/>
    <w:rsid w:val="001575AC"/>
    <w:rsid w:val="00160184"/>
    <w:rsid w:val="001603E9"/>
    <w:rsid w:val="001614CD"/>
    <w:rsid w:val="00161C7E"/>
    <w:rsid w:val="00161EDB"/>
    <w:rsid w:val="001623F1"/>
    <w:rsid w:val="0016287F"/>
    <w:rsid w:val="001635AF"/>
    <w:rsid w:val="0016488D"/>
    <w:rsid w:val="00165F75"/>
    <w:rsid w:val="00166338"/>
    <w:rsid w:val="001670B2"/>
    <w:rsid w:val="00167215"/>
    <w:rsid w:val="00167462"/>
    <w:rsid w:val="00167893"/>
    <w:rsid w:val="00167979"/>
    <w:rsid w:val="00170413"/>
    <w:rsid w:val="00171628"/>
    <w:rsid w:val="0017172B"/>
    <w:rsid w:val="0017270E"/>
    <w:rsid w:val="00172DDC"/>
    <w:rsid w:val="00172E8A"/>
    <w:rsid w:val="001736B5"/>
    <w:rsid w:val="00173A0D"/>
    <w:rsid w:val="001759CE"/>
    <w:rsid w:val="00175C54"/>
    <w:rsid w:val="00176EF6"/>
    <w:rsid w:val="00176F54"/>
    <w:rsid w:val="001777F6"/>
    <w:rsid w:val="00177EAA"/>
    <w:rsid w:val="00180844"/>
    <w:rsid w:val="0018104E"/>
    <w:rsid w:val="001837FE"/>
    <w:rsid w:val="001854FF"/>
    <w:rsid w:val="00186331"/>
    <w:rsid w:val="00187DC6"/>
    <w:rsid w:val="00190666"/>
    <w:rsid w:val="001907FA"/>
    <w:rsid w:val="00191105"/>
    <w:rsid w:val="00192CE4"/>
    <w:rsid w:val="00193D70"/>
    <w:rsid w:val="00193D78"/>
    <w:rsid w:val="00194745"/>
    <w:rsid w:val="001947D0"/>
    <w:rsid w:val="001954D0"/>
    <w:rsid w:val="00195DDA"/>
    <w:rsid w:val="00196436"/>
    <w:rsid w:val="001A074C"/>
    <w:rsid w:val="001A2392"/>
    <w:rsid w:val="001A28B6"/>
    <w:rsid w:val="001A3083"/>
    <w:rsid w:val="001A4133"/>
    <w:rsid w:val="001A4404"/>
    <w:rsid w:val="001A6219"/>
    <w:rsid w:val="001A6FDC"/>
    <w:rsid w:val="001A7462"/>
    <w:rsid w:val="001A74BB"/>
    <w:rsid w:val="001A7934"/>
    <w:rsid w:val="001B0C7B"/>
    <w:rsid w:val="001B1EBD"/>
    <w:rsid w:val="001B4AC8"/>
    <w:rsid w:val="001C0356"/>
    <w:rsid w:val="001C0390"/>
    <w:rsid w:val="001C0AE0"/>
    <w:rsid w:val="001C14D1"/>
    <w:rsid w:val="001C1567"/>
    <w:rsid w:val="001C1A5C"/>
    <w:rsid w:val="001C2B25"/>
    <w:rsid w:val="001C3625"/>
    <w:rsid w:val="001C3AE5"/>
    <w:rsid w:val="001C436A"/>
    <w:rsid w:val="001C4C16"/>
    <w:rsid w:val="001C53BE"/>
    <w:rsid w:val="001C5BBB"/>
    <w:rsid w:val="001C5D99"/>
    <w:rsid w:val="001C77AB"/>
    <w:rsid w:val="001C7E40"/>
    <w:rsid w:val="001C7EB8"/>
    <w:rsid w:val="001D0926"/>
    <w:rsid w:val="001D0AFE"/>
    <w:rsid w:val="001D1FBD"/>
    <w:rsid w:val="001D2788"/>
    <w:rsid w:val="001D2993"/>
    <w:rsid w:val="001D40DC"/>
    <w:rsid w:val="001D5CE3"/>
    <w:rsid w:val="001D6093"/>
    <w:rsid w:val="001D620B"/>
    <w:rsid w:val="001D709A"/>
    <w:rsid w:val="001D713C"/>
    <w:rsid w:val="001D78DC"/>
    <w:rsid w:val="001E026E"/>
    <w:rsid w:val="001E07A4"/>
    <w:rsid w:val="001E124C"/>
    <w:rsid w:val="001E1703"/>
    <w:rsid w:val="001E1A50"/>
    <w:rsid w:val="001E2296"/>
    <w:rsid w:val="001E2599"/>
    <w:rsid w:val="001E2C74"/>
    <w:rsid w:val="001E4B4E"/>
    <w:rsid w:val="001E62F5"/>
    <w:rsid w:val="001E639E"/>
    <w:rsid w:val="001E74C6"/>
    <w:rsid w:val="001F029E"/>
    <w:rsid w:val="001F0AF4"/>
    <w:rsid w:val="001F15E8"/>
    <w:rsid w:val="001F161C"/>
    <w:rsid w:val="001F2254"/>
    <w:rsid w:val="001F23BB"/>
    <w:rsid w:val="001F2B6C"/>
    <w:rsid w:val="001F3256"/>
    <w:rsid w:val="001F33E0"/>
    <w:rsid w:val="001F355E"/>
    <w:rsid w:val="001F3916"/>
    <w:rsid w:val="001F398A"/>
    <w:rsid w:val="001F3992"/>
    <w:rsid w:val="001F437A"/>
    <w:rsid w:val="001F43B1"/>
    <w:rsid w:val="001F5645"/>
    <w:rsid w:val="001F61BC"/>
    <w:rsid w:val="001F6293"/>
    <w:rsid w:val="00200402"/>
    <w:rsid w:val="00200CEF"/>
    <w:rsid w:val="002018A0"/>
    <w:rsid w:val="0020257D"/>
    <w:rsid w:val="0020385D"/>
    <w:rsid w:val="002047E4"/>
    <w:rsid w:val="0020485C"/>
    <w:rsid w:val="00204CED"/>
    <w:rsid w:val="002057FC"/>
    <w:rsid w:val="00205845"/>
    <w:rsid w:val="00206FC3"/>
    <w:rsid w:val="00207477"/>
    <w:rsid w:val="00210251"/>
    <w:rsid w:val="00210B70"/>
    <w:rsid w:val="00211296"/>
    <w:rsid w:val="00211C72"/>
    <w:rsid w:val="00211EF7"/>
    <w:rsid w:val="00211FA6"/>
    <w:rsid w:val="00212195"/>
    <w:rsid w:val="00214B8B"/>
    <w:rsid w:val="00214C6F"/>
    <w:rsid w:val="002151E6"/>
    <w:rsid w:val="002156B1"/>
    <w:rsid w:val="00215F30"/>
    <w:rsid w:val="00216058"/>
    <w:rsid w:val="002160DB"/>
    <w:rsid w:val="00216E7B"/>
    <w:rsid w:val="00217B08"/>
    <w:rsid w:val="00220577"/>
    <w:rsid w:val="00221394"/>
    <w:rsid w:val="00221D25"/>
    <w:rsid w:val="00221F6E"/>
    <w:rsid w:val="00223104"/>
    <w:rsid w:val="0022353D"/>
    <w:rsid w:val="00223A69"/>
    <w:rsid w:val="00224F37"/>
    <w:rsid w:val="002262C2"/>
    <w:rsid w:val="0022640A"/>
    <w:rsid w:val="002268FD"/>
    <w:rsid w:val="0022728C"/>
    <w:rsid w:val="0023041B"/>
    <w:rsid w:val="00230BE6"/>
    <w:rsid w:val="002323FB"/>
    <w:rsid w:val="00234457"/>
    <w:rsid w:val="00234470"/>
    <w:rsid w:val="002350C7"/>
    <w:rsid w:val="00235585"/>
    <w:rsid w:val="002358E0"/>
    <w:rsid w:val="00236AA3"/>
    <w:rsid w:val="002372BA"/>
    <w:rsid w:val="002374B3"/>
    <w:rsid w:val="002408DE"/>
    <w:rsid w:val="00241DBB"/>
    <w:rsid w:val="00241F85"/>
    <w:rsid w:val="00242C4D"/>
    <w:rsid w:val="00242DDF"/>
    <w:rsid w:val="00243871"/>
    <w:rsid w:val="00243E32"/>
    <w:rsid w:val="00243F40"/>
    <w:rsid w:val="002444B6"/>
    <w:rsid w:val="00244B48"/>
    <w:rsid w:val="00244BB5"/>
    <w:rsid w:val="00245136"/>
    <w:rsid w:val="0024524B"/>
    <w:rsid w:val="00246DF7"/>
    <w:rsid w:val="00247481"/>
    <w:rsid w:val="00247A83"/>
    <w:rsid w:val="00250A31"/>
    <w:rsid w:val="00251030"/>
    <w:rsid w:val="0025134A"/>
    <w:rsid w:val="002517C9"/>
    <w:rsid w:val="0025189C"/>
    <w:rsid w:val="002527AD"/>
    <w:rsid w:val="00252BB2"/>
    <w:rsid w:val="0025494F"/>
    <w:rsid w:val="002553A5"/>
    <w:rsid w:val="0025601D"/>
    <w:rsid w:val="002566DE"/>
    <w:rsid w:val="002577E0"/>
    <w:rsid w:val="00260536"/>
    <w:rsid w:val="002607CD"/>
    <w:rsid w:val="0026126F"/>
    <w:rsid w:val="00261C52"/>
    <w:rsid w:val="00261EDB"/>
    <w:rsid w:val="002620AA"/>
    <w:rsid w:val="0026333F"/>
    <w:rsid w:val="00265C64"/>
    <w:rsid w:val="00265DB7"/>
    <w:rsid w:val="002667E6"/>
    <w:rsid w:val="002672D9"/>
    <w:rsid w:val="00267342"/>
    <w:rsid w:val="00267D7B"/>
    <w:rsid w:val="002710F6"/>
    <w:rsid w:val="00271E5E"/>
    <w:rsid w:val="0027239C"/>
    <w:rsid w:val="00272E36"/>
    <w:rsid w:val="002738CD"/>
    <w:rsid w:val="00273B7A"/>
    <w:rsid w:val="00274076"/>
    <w:rsid w:val="0027482B"/>
    <w:rsid w:val="00274D13"/>
    <w:rsid w:val="00275348"/>
    <w:rsid w:val="00275A12"/>
    <w:rsid w:val="00275C47"/>
    <w:rsid w:val="00276DED"/>
    <w:rsid w:val="0027744F"/>
    <w:rsid w:val="00280D6F"/>
    <w:rsid w:val="00281A78"/>
    <w:rsid w:val="00281BA7"/>
    <w:rsid w:val="00281FBF"/>
    <w:rsid w:val="00282455"/>
    <w:rsid w:val="00282766"/>
    <w:rsid w:val="00282EA6"/>
    <w:rsid w:val="002832FB"/>
    <w:rsid w:val="00283739"/>
    <w:rsid w:val="0028405A"/>
    <w:rsid w:val="00284143"/>
    <w:rsid w:val="00284670"/>
    <w:rsid w:val="00284A83"/>
    <w:rsid w:val="00285473"/>
    <w:rsid w:val="00285806"/>
    <w:rsid w:val="00285CB5"/>
    <w:rsid w:val="0028655F"/>
    <w:rsid w:val="002875E6"/>
    <w:rsid w:val="00287B90"/>
    <w:rsid w:val="00287ED0"/>
    <w:rsid w:val="00287FE8"/>
    <w:rsid w:val="002906BF"/>
    <w:rsid w:val="002910A1"/>
    <w:rsid w:val="0029112B"/>
    <w:rsid w:val="0029159E"/>
    <w:rsid w:val="0029356B"/>
    <w:rsid w:val="0029369A"/>
    <w:rsid w:val="0029378C"/>
    <w:rsid w:val="00294516"/>
    <w:rsid w:val="00294721"/>
    <w:rsid w:val="00295DFB"/>
    <w:rsid w:val="00296DC0"/>
    <w:rsid w:val="00296F87"/>
    <w:rsid w:val="002972ED"/>
    <w:rsid w:val="002A290D"/>
    <w:rsid w:val="002A3030"/>
    <w:rsid w:val="002A3AB5"/>
    <w:rsid w:val="002A4304"/>
    <w:rsid w:val="002A5996"/>
    <w:rsid w:val="002A5EDA"/>
    <w:rsid w:val="002A6706"/>
    <w:rsid w:val="002A6C74"/>
    <w:rsid w:val="002A7048"/>
    <w:rsid w:val="002A70D1"/>
    <w:rsid w:val="002A725B"/>
    <w:rsid w:val="002B04B7"/>
    <w:rsid w:val="002B0797"/>
    <w:rsid w:val="002B0A55"/>
    <w:rsid w:val="002B1160"/>
    <w:rsid w:val="002B1FF9"/>
    <w:rsid w:val="002B30D0"/>
    <w:rsid w:val="002B43A3"/>
    <w:rsid w:val="002B43E8"/>
    <w:rsid w:val="002B4B91"/>
    <w:rsid w:val="002C1C3E"/>
    <w:rsid w:val="002C2204"/>
    <w:rsid w:val="002C260A"/>
    <w:rsid w:val="002C39AB"/>
    <w:rsid w:val="002C5BCB"/>
    <w:rsid w:val="002C6F3F"/>
    <w:rsid w:val="002C7043"/>
    <w:rsid w:val="002C7A81"/>
    <w:rsid w:val="002D101A"/>
    <w:rsid w:val="002D10C1"/>
    <w:rsid w:val="002D1BFC"/>
    <w:rsid w:val="002D2D53"/>
    <w:rsid w:val="002D3725"/>
    <w:rsid w:val="002D51C1"/>
    <w:rsid w:val="002D735C"/>
    <w:rsid w:val="002D7E38"/>
    <w:rsid w:val="002D7EAF"/>
    <w:rsid w:val="002E0B34"/>
    <w:rsid w:val="002E267E"/>
    <w:rsid w:val="002E298B"/>
    <w:rsid w:val="002E2D5A"/>
    <w:rsid w:val="002E4183"/>
    <w:rsid w:val="002E44E7"/>
    <w:rsid w:val="002E5355"/>
    <w:rsid w:val="002E756F"/>
    <w:rsid w:val="002E7638"/>
    <w:rsid w:val="002F08D6"/>
    <w:rsid w:val="002F1381"/>
    <w:rsid w:val="002F17EE"/>
    <w:rsid w:val="002F26FC"/>
    <w:rsid w:val="002F2A2C"/>
    <w:rsid w:val="002F4429"/>
    <w:rsid w:val="002F469C"/>
    <w:rsid w:val="002F5123"/>
    <w:rsid w:val="002F6969"/>
    <w:rsid w:val="002F7007"/>
    <w:rsid w:val="002F7BB5"/>
    <w:rsid w:val="0030001E"/>
    <w:rsid w:val="0030078F"/>
    <w:rsid w:val="0030084F"/>
    <w:rsid w:val="00300985"/>
    <w:rsid w:val="00301888"/>
    <w:rsid w:val="00301DA9"/>
    <w:rsid w:val="00303435"/>
    <w:rsid w:val="003046A8"/>
    <w:rsid w:val="003054D3"/>
    <w:rsid w:val="00305673"/>
    <w:rsid w:val="00305E82"/>
    <w:rsid w:val="003072EF"/>
    <w:rsid w:val="00307A85"/>
    <w:rsid w:val="00310ACC"/>
    <w:rsid w:val="00310BCF"/>
    <w:rsid w:val="00310BF3"/>
    <w:rsid w:val="00310BFA"/>
    <w:rsid w:val="00312AC5"/>
    <w:rsid w:val="00313704"/>
    <w:rsid w:val="00314789"/>
    <w:rsid w:val="00314A70"/>
    <w:rsid w:val="003153A9"/>
    <w:rsid w:val="003156BB"/>
    <w:rsid w:val="00315E1D"/>
    <w:rsid w:val="0031686E"/>
    <w:rsid w:val="003171A1"/>
    <w:rsid w:val="003172E9"/>
    <w:rsid w:val="0031773C"/>
    <w:rsid w:val="00321036"/>
    <w:rsid w:val="00321E13"/>
    <w:rsid w:val="00322F94"/>
    <w:rsid w:val="003233AA"/>
    <w:rsid w:val="00323436"/>
    <w:rsid w:val="003235D7"/>
    <w:rsid w:val="00323612"/>
    <w:rsid w:val="003237C6"/>
    <w:rsid w:val="00323B73"/>
    <w:rsid w:val="00323DAA"/>
    <w:rsid w:val="00323F4E"/>
    <w:rsid w:val="0032564E"/>
    <w:rsid w:val="00325AC1"/>
    <w:rsid w:val="00326607"/>
    <w:rsid w:val="003268A2"/>
    <w:rsid w:val="003269E3"/>
    <w:rsid w:val="003306DC"/>
    <w:rsid w:val="0033093F"/>
    <w:rsid w:val="0033107E"/>
    <w:rsid w:val="003314E8"/>
    <w:rsid w:val="00331F0D"/>
    <w:rsid w:val="0033211B"/>
    <w:rsid w:val="00332D03"/>
    <w:rsid w:val="00333F80"/>
    <w:rsid w:val="003344BC"/>
    <w:rsid w:val="0033488C"/>
    <w:rsid w:val="00335AA1"/>
    <w:rsid w:val="00336243"/>
    <w:rsid w:val="003370B8"/>
    <w:rsid w:val="0033756E"/>
    <w:rsid w:val="003375EB"/>
    <w:rsid w:val="00340822"/>
    <w:rsid w:val="00340E05"/>
    <w:rsid w:val="00342358"/>
    <w:rsid w:val="00342600"/>
    <w:rsid w:val="00342982"/>
    <w:rsid w:val="00342C1F"/>
    <w:rsid w:val="00343230"/>
    <w:rsid w:val="00343E87"/>
    <w:rsid w:val="0034462C"/>
    <w:rsid w:val="0034530A"/>
    <w:rsid w:val="00345C0E"/>
    <w:rsid w:val="00346FE0"/>
    <w:rsid w:val="00347987"/>
    <w:rsid w:val="0035138F"/>
    <w:rsid w:val="0035144E"/>
    <w:rsid w:val="00352262"/>
    <w:rsid w:val="00353671"/>
    <w:rsid w:val="00353C5F"/>
    <w:rsid w:val="00353CF5"/>
    <w:rsid w:val="00354D53"/>
    <w:rsid w:val="003602D5"/>
    <w:rsid w:val="00361B27"/>
    <w:rsid w:val="00362440"/>
    <w:rsid w:val="00362C80"/>
    <w:rsid w:val="00364C09"/>
    <w:rsid w:val="00364DDE"/>
    <w:rsid w:val="00364DDF"/>
    <w:rsid w:val="003650C2"/>
    <w:rsid w:val="00365A32"/>
    <w:rsid w:val="00366375"/>
    <w:rsid w:val="00366C1D"/>
    <w:rsid w:val="0036718C"/>
    <w:rsid w:val="003676C5"/>
    <w:rsid w:val="00367938"/>
    <w:rsid w:val="00367D48"/>
    <w:rsid w:val="00367EAF"/>
    <w:rsid w:val="00370061"/>
    <w:rsid w:val="00370613"/>
    <w:rsid w:val="00371C69"/>
    <w:rsid w:val="00372167"/>
    <w:rsid w:val="003745F9"/>
    <w:rsid w:val="003752EE"/>
    <w:rsid w:val="00375764"/>
    <w:rsid w:val="00376139"/>
    <w:rsid w:val="0037636C"/>
    <w:rsid w:val="003767B4"/>
    <w:rsid w:val="00376EB0"/>
    <w:rsid w:val="00380089"/>
    <w:rsid w:val="003803C0"/>
    <w:rsid w:val="003815F1"/>
    <w:rsid w:val="003820DD"/>
    <w:rsid w:val="00382244"/>
    <w:rsid w:val="00382D46"/>
    <w:rsid w:val="00382E0A"/>
    <w:rsid w:val="00382FC2"/>
    <w:rsid w:val="00383804"/>
    <w:rsid w:val="00383DCD"/>
    <w:rsid w:val="00383F1D"/>
    <w:rsid w:val="0038404E"/>
    <w:rsid w:val="00384429"/>
    <w:rsid w:val="00385668"/>
    <w:rsid w:val="00385885"/>
    <w:rsid w:val="00385F92"/>
    <w:rsid w:val="003861B8"/>
    <w:rsid w:val="00387E00"/>
    <w:rsid w:val="0039176F"/>
    <w:rsid w:val="00391FCE"/>
    <w:rsid w:val="0039206C"/>
    <w:rsid w:val="003929D9"/>
    <w:rsid w:val="00394298"/>
    <w:rsid w:val="00394BE4"/>
    <w:rsid w:val="00394D56"/>
    <w:rsid w:val="00395256"/>
    <w:rsid w:val="00395A6D"/>
    <w:rsid w:val="0039617F"/>
    <w:rsid w:val="0039654D"/>
    <w:rsid w:val="0039658B"/>
    <w:rsid w:val="00396885"/>
    <w:rsid w:val="00396B0C"/>
    <w:rsid w:val="0039774A"/>
    <w:rsid w:val="00397ABA"/>
    <w:rsid w:val="00397BFC"/>
    <w:rsid w:val="003A0692"/>
    <w:rsid w:val="003A0888"/>
    <w:rsid w:val="003A151A"/>
    <w:rsid w:val="003A1646"/>
    <w:rsid w:val="003A1900"/>
    <w:rsid w:val="003A1B1D"/>
    <w:rsid w:val="003A24FD"/>
    <w:rsid w:val="003A4054"/>
    <w:rsid w:val="003A4114"/>
    <w:rsid w:val="003A4BD1"/>
    <w:rsid w:val="003A4CAE"/>
    <w:rsid w:val="003A57BB"/>
    <w:rsid w:val="003A622A"/>
    <w:rsid w:val="003A6D9D"/>
    <w:rsid w:val="003B0631"/>
    <w:rsid w:val="003B0975"/>
    <w:rsid w:val="003B0CC3"/>
    <w:rsid w:val="003B0FF4"/>
    <w:rsid w:val="003B1AE2"/>
    <w:rsid w:val="003B2612"/>
    <w:rsid w:val="003B2823"/>
    <w:rsid w:val="003B2BF7"/>
    <w:rsid w:val="003B3DE7"/>
    <w:rsid w:val="003B4767"/>
    <w:rsid w:val="003B531F"/>
    <w:rsid w:val="003B5679"/>
    <w:rsid w:val="003B5AE3"/>
    <w:rsid w:val="003B6324"/>
    <w:rsid w:val="003B636C"/>
    <w:rsid w:val="003C1347"/>
    <w:rsid w:val="003C2598"/>
    <w:rsid w:val="003C2983"/>
    <w:rsid w:val="003C2B3E"/>
    <w:rsid w:val="003C30AB"/>
    <w:rsid w:val="003C35B5"/>
    <w:rsid w:val="003C3B94"/>
    <w:rsid w:val="003C4703"/>
    <w:rsid w:val="003C4F05"/>
    <w:rsid w:val="003C55BB"/>
    <w:rsid w:val="003C614E"/>
    <w:rsid w:val="003D003D"/>
    <w:rsid w:val="003D1FA7"/>
    <w:rsid w:val="003D20DC"/>
    <w:rsid w:val="003D21EE"/>
    <w:rsid w:val="003D32A6"/>
    <w:rsid w:val="003D34EC"/>
    <w:rsid w:val="003D3F5E"/>
    <w:rsid w:val="003D3FD2"/>
    <w:rsid w:val="003D4DBA"/>
    <w:rsid w:val="003D5A18"/>
    <w:rsid w:val="003D5DFF"/>
    <w:rsid w:val="003D64C8"/>
    <w:rsid w:val="003D6C10"/>
    <w:rsid w:val="003D6E11"/>
    <w:rsid w:val="003D6F03"/>
    <w:rsid w:val="003D7BC0"/>
    <w:rsid w:val="003E002A"/>
    <w:rsid w:val="003E0582"/>
    <w:rsid w:val="003E0861"/>
    <w:rsid w:val="003E1074"/>
    <w:rsid w:val="003E1664"/>
    <w:rsid w:val="003E1FEE"/>
    <w:rsid w:val="003E2F76"/>
    <w:rsid w:val="003E3209"/>
    <w:rsid w:val="003E3ED3"/>
    <w:rsid w:val="003E409A"/>
    <w:rsid w:val="003E4A9E"/>
    <w:rsid w:val="003E4C64"/>
    <w:rsid w:val="003E571A"/>
    <w:rsid w:val="003E662F"/>
    <w:rsid w:val="003E6CC2"/>
    <w:rsid w:val="003E7B78"/>
    <w:rsid w:val="003F03B3"/>
    <w:rsid w:val="003F2E24"/>
    <w:rsid w:val="003F30AC"/>
    <w:rsid w:val="003F30FA"/>
    <w:rsid w:val="003F31E7"/>
    <w:rsid w:val="003F3704"/>
    <w:rsid w:val="003F4C1C"/>
    <w:rsid w:val="003F5165"/>
    <w:rsid w:val="003F5817"/>
    <w:rsid w:val="003F5BF5"/>
    <w:rsid w:val="003F6652"/>
    <w:rsid w:val="003F70EF"/>
    <w:rsid w:val="003F7D5A"/>
    <w:rsid w:val="004018D9"/>
    <w:rsid w:val="00402A6A"/>
    <w:rsid w:val="00403533"/>
    <w:rsid w:val="00403A98"/>
    <w:rsid w:val="00404C69"/>
    <w:rsid w:val="0040584F"/>
    <w:rsid w:val="004062CB"/>
    <w:rsid w:val="00406B2F"/>
    <w:rsid w:val="00406E51"/>
    <w:rsid w:val="00410437"/>
    <w:rsid w:val="00410948"/>
    <w:rsid w:val="004114EE"/>
    <w:rsid w:val="00411B74"/>
    <w:rsid w:val="00412092"/>
    <w:rsid w:val="0041274C"/>
    <w:rsid w:val="004134A4"/>
    <w:rsid w:val="00415BB1"/>
    <w:rsid w:val="00416BC0"/>
    <w:rsid w:val="0041703E"/>
    <w:rsid w:val="00417118"/>
    <w:rsid w:val="00417253"/>
    <w:rsid w:val="004172E2"/>
    <w:rsid w:val="00417C70"/>
    <w:rsid w:val="004203AA"/>
    <w:rsid w:val="00420933"/>
    <w:rsid w:val="00421269"/>
    <w:rsid w:val="00421452"/>
    <w:rsid w:val="004217BC"/>
    <w:rsid w:val="00421FBF"/>
    <w:rsid w:val="00423269"/>
    <w:rsid w:val="0042334E"/>
    <w:rsid w:val="00423ACC"/>
    <w:rsid w:val="00424916"/>
    <w:rsid w:val="00424C77"/>
    <w:rsid w:val="004258EA"/>
    <w:rsid w:val="0042628A"/>
    <w:rsid w:val="00426BA3"/>
    <w:rsid w:val="00427E05"/>
    <w:rsid w:val="00430EDA"/>
    <w:rsid w:val="0043191D"/>
    <w:rsid w:val="00431971"/>
    <w:rsid w:val="00431A75"/>
    <w:rsid w:val="00431A7C"/>
    <w:rsid w:val="00432999"/>
    <w:rsid w:val="00433485"/>
    <w:rsid w:val="00433A40"/>
    <w:rsid w:val="00433BCC"/>
    <w:rsid w:val="00434F4B"/>
    <w:rsid w:val="00434F98"/>
    <w:rsid w:val="004350C7"/>
    <w:rsid w:val="004358B2"/>
    <w:rsid w:val="00435959"/>
    <w:rsid w:val="004367EF"/>
    <w:rsid w:val="00436CC5"/>
    <w:rsid w:val="00436F64"/>
    <w:rsid w:val="00437700"/>
    <w:rsid w:val="004405FD"/>
    <w:rsid w:val="0044073F"/>
    <w:rsid w:val="0044099A"/>
    <w:rsid w:val="00441524"/>
    <w:rsid w:val="00441DCD"/>
    <w:rsid w:val="00442853"/>
    <w:rsid w:val="00443477"/>
    <w:rsid w:val="00443AF9"/>
    <w:rsid w:val="004444AC"/>
    <w:rsid w:val="004444F9"/>
    <w:rsid w:val="00444585"/>
    <w:rsid w:val="00444A53"/>
    <w:rsid w:val="00445CA7"/>
    <w:rsid w:val="00446A7A"/>
    <w:rsid w:val="0044707F"/>
    <w:rsid w:val="00447C1A"/>
    <w:rsid w:val="00450DE7"/>
    <w:rsid w:val="00451F66"/>
    <w:rsid w:val="00454512"/>
    <w:rsid w:val="004548FB"/>
    <w:rsid w:val="00454E8B"/>
    <w:rsid w:val="004554CF"/>
    <w:rsid w:val="004554EE"/>
    <w:rsid w:val="00455773"/>
    <w:rsid w:val="004559B9"/>
    <w:rsid w:val="00456598"/>
    <w:rsid w:val="00457BB1"/>
    <w:rsid w:val="00461674"/>
    <w:rsid w:val="00461E34"/>
    <w:rsid w:val="00462153"/>
    <w:rsid w:val="004628A4"/>
    <w:rsid w:val="0046362F"/>
    <w:rsid w:val="00464912"/>
    <w:rsid w:val="004663FF"/>
    <w:rsid w:val="00466604"/>
    <w:rsid w:val="004672D7"/>
    <w:rsid w:val="0046781D"/>
    <w:rsid w:val="00470916"/>
    <w:rsid w:val="004711C3"/>
    <w:rsid w:val="0047214D"/>
    <w:rsid w:val="00472F08"/>
    <w:rsid w:val="00473D07"/>
    <w:rsid w:val="00473F5D"/>
    <w:rsid w:val="00473F7A"/>
    <w:rsid w:val="0047423B"/>
    <w:rsid w:val="004747A3"/>
    <w:rsid w:val="00474A4A"/>
    <w:rsid w:val="00474B90"/>
    <w:rsid w:val="00475E1B"/>
    <w:rsid w:val="00476EB4"/>
    <w:rsid w:val="00480360"/>
    <w:rsid w:val="00480F5D"/>
    <w:rsid w:val="00481523"/>
    <w:rsid w:val="00481DDD"/>
    <w:rsid w:val="00481F1D"/>
    <w:rsid w:val="00482CC3"/>
    <w:rsid w:val="00483145"/>
    <w:rsid w:val="00485AA1"/>
    <w:rsid w:val="00486479"/>
    <w:rsid w:val="00486C36"/>
    <w:rsid w:val="00487166"/>
    <w:rsid w:val="00490327"/>
    <w:rsid w:val="004904A4"/>
    <w:rsid w:val="00490FD3"/>
    <w:rsid w:val="00491A66"/>
    <w:rsid w:val="004934AF"/>
    <w:rsid w:val="004939BC"/>
    <w:rsid w:val="004949C6"/>
    <w:rsid w:val="00494A80"/>
    <w:rsid w:val="00494EEB"/>
    <w:rsid w:val="00494F5E"/>
    <w:rsid w:val="004965F3"/>
    <w:rsid w:val="00496AAC"/>
    <w:rsid w:val="004972B4"/>
    <w:rsid w:val="0049773C"/>
    <w:rsid w:val="00497972"/>
    <w:rsid w:val="00497FA6"/>
    <w:rsid w:val="004A3096"/>
    <w:rsid w:val="004A3B6C"/>
    <w:rsid w:val="004A3CE5"/>
    <w:rsid w:val="004A4CA1"/>
    <w:rsid w:val="004A51D2"/>
    <w:rsid w:val="004A57F6"/>
    <w:rsid w:val="004A6753"/>
    <w:rsid w:val="004A6B6A"/>
    <w:rsid w:val="004A6EFB"/>
    <w:rsid w:val="004A70D8"/>
    <w:rsid w:val="004A7109"/>
    <w:rsid w:val="004A74BC"/>
    <w:rsid w:val="004B0D2A"/>
    <w:rsid w:val="004B14F4"/>
    <w:rsid w:val="004B18CA"/>
    <w:rsid w:val="004B2A0B"/>
    <w:rsid w:val="004B3541"/>
    <w:rsid w:val="004B3687"/>
    <w:rsid w:val="004B394C"/>
    <w:rsid w:val="004B5794"/>
    <w:rsid w:val="004B5D28"/>
    <w:rsid w:val="004B6282"/>
    <w:rsid w:val="004B6314"/>
    <w:rsid w:val="004B6C79"/>
    <w:rsid w:val="004B6C86"/>
    <w:rsid w:val="004B6E2C"/>
    <w:rsid w:val="004B7EDE"/>
    <w:rsid w:val="004C0685"/>
    <w:rsid w:val="004C06BA"/>
    <w:rsid w:val="004C0852"/>
    <w:rsid w:val="004C0F49"/>
    <w:rsid w:val="004C1D06"/>
    <w:rsid w:val="004C1FE3"/>
    <w:rsid w:val="004C3EC9"/>
    <w:rsid w:val="004C4C7D"/>
    <w:rsid w:val="004C581A"/>
    <w:rsid w:val="004C707B"/>
    <w:rsid w:val="004C70CF"/>
    <w:rsid w:val="004C7208"/>
    <w:rsid w:val="004D0A45"/>
    <w:rsid w:val="004D2C03"/>
    <w:rsid w:val="004D2FF4"/>
    <w:rsid w:val="004D4348"/>
    <w:rsid w:val="004D4B3C"/>
    <w:rsid w:val="004D51AD"/>
    <w:rsid w:val="004D6124"/>
    <w:rsid w:val="004D711B"/>
    <w:rsid w:val="004D734E"/>
    <w:rsid w:val="004E0923"/>
    <w:rsid w:val="004E1894"/>
    <w:rsid w:val="004E1B61"/>
    <w:rsid w:val="004E21C6"/>
    <w:rsid w:val="004E2BD1"/>
    <w:rsid w:val="004E377D"/>
    <w:rsid w:val="004E3D3D"/>
    <w:rsid w:val="004E4D53"/>
    <w:rsid w:val="004E5EF9"/>
    <w:rsid w:val="004E6747"/>
    <w:rsid w:val="004E73D1"/>
    <w:rsid w:val="004E7D13"/>
    <w:rsid w:val="004F012D"/>
    <w:rsid w:val="004F0278"/>
    <w:rsid w:val="004F0462"/>
    <w:rsid w:val="004F08D8"/>
    <w:rsid w:val="004F0BB1"/>
    <w:rsid w:val="004F0E30"/>
    <w:rsid w:val="004F1603"/>
    <w:rsid w:val="004F32A2"/>
    <w:rsid w:val="004F423A"/>
    <w:rsid w:val="004F43E0"/>
    <w:rsid w:val="004F4818"/>
    <w:rsid w:val="004F4B17"/>
    <w:rsid w:val="004F5044"/>
    <w:rsid w:val="004F521D"/>
    <w:rsid w:val="004F63D2"/>
    <w:rsid w:val="004F65C4"/>
    <w:rsid w:val="004F65CF"/>
    <w:rsid w:val="004F7035"/>
    <w:rsid w:val="004F7473"/>
    <w:rsid w:val="004F790B"/>
    <w:rsid w:val="004F7E22"/>
    <w:rsid w:val="005011B0"/>
    <w:rsid w:val="00501460"/>
    <w:rsid w:val="005014B5"/>
    <w:rsid w:val="005019EB"/>
    <w:rsid w:val="0050266A"/>
    <w:rsid w:val="00502C11"/>
    <w:rsid w:val="00503AD0"/>
    <w:rsid w:val="0050516C"/>
    <w:rsid w:val="00506206"/>
    <w:rsid w:val="00507E2A"/>
    <w:rsid w:val="00510152"/>
    <w:rsid w:val="00510CB4"/>
    <w:rsid w:val="00511125"/>
    <w:rsid w:val="005128AE"/>
    <w:rsid w:val="00513730"/>
    <w:rsid w:val="00514110"/>
    <w:rsid w:val="00515A34"/>
    <w:rsid w:val="00515A81"/>
    <w:rsid w:val="00516721"/>
    <w:rsid w:val="00517490"/>
    <w:rsid w:val="00517DFB"/>
    <w:rsid w:val="005200E2"/>
    <w:rsid w:val="00520BFA"/>
    <w:rsid w:val="00521376"/>
    <w:rsid w:val="00521403"/>
    <w:rsid w:val="00521488"/>
    <w:rsid w:val="00521AE2"/>
    <w:rsid w:val="00522127"/>
    <w:rsid w:val="00522DB9"/>
    <w:rsid w:val="00522FBD"/>
    <w:rsid w:val="00523670"/>
    <w:rsid w:val="00523BFD"/>
    <w:rsid w:val="00524B22"/>
    <w:rsid w:val="00524F4A"/>
    <w:rsid w:val="00525BE5"/>
    <w:rsid w:val="00527A81"/>
    <w:rsid w:val="00527F85"/>
    <w:rsid w:val="00530A18"/>
    <w:rsid w:val="00530D3D"/>
    <w:rsid w:val="005311E2"/>
    <w:rsid w:val="00532131"/>
    <w:rsid w:val="005329B5"/>
    <w:rsid w:val="00532AB6"/>
    <w:rsid w:val="00533FEC"/>
    <w:rsid w:val="005340D7"/>
    <w:rsid w:val="00534B40"/>
    <w:rsid w:val="00535649"/>
    <w:rsid w:val="00535844"/>
    <w:rsid w:val="00535907"/>
    <w:rsid w:val="00536236"/>
    <w:rsid w:val="00536728"/>
    <w:rsid w:val="00536EAE"/>
    <w:rsid w:val="00537849"/>
    <w:rsid w:val="00537D22"/>
    <w:rsid w:val="00540137"/>
    <w:rsid w:val="005407F1"/>
    <w:rsid w:val="00540FF4"/>
    <w:rsid w:val="00541338"/>
    <w:rsid w:val="00541370"/>
    <w:rsid w:val="00541874"/>
    <w:rsid w:val="00542A74"/>
    <w:rsid w:val="00543D5A"/>
    <w:rsid w:val="00543D9B"/>
    <w:rsid w:val="00544416"/>
    <w:rsid w:val="00545C10"/>
    <w:rsid w:val="00545E63"/>
    <w:rsid w:val="00546261"/>
    <w:rsid w:val="005467B3"/>
    <w:rsid w:val="00546DC8"/>
    <w:rsid w:val="00547181"/>
    <w:rsid w:val="005474F1"/>
    <w:rsid w:val="005500AC"/>
    <w:rsid w:val="00550130"/>
    <w:rsid w:val="00550F26"/>
    <w:rsid w:val="00550FC3"/>
    <w:rsid w:val="00551334"/>
    <w:rsid w:val="0055190A"/>
    <w:rsid w:val="00552864"/>
    <w:rsid w:val="0055319D"/>
    <w:rsid w:val="00553F1D"/>
    <w:rsid w:val="005544C3"/>
    <w:rsid w:val="00557D16"/>
    <w:rsid w:val="00560DF0"/>
    <w:rsid w:val="0056196A"/>
    <w:rsid w:val="00561F4E"/>
    <w:rsid w:val="00562D69"/>
    <w:rsid w:val="00565493"/>
    <w:rsid w:val="00565CEC"/>
    <w:rsid w:val="00565FDC"/>
    <w:rsid w:val="0056687D"/>
    <w:rsid w:val="005671EA"/>
    <w:rsid w:val="005672B5"/>
    <w:rsid w:val="005679BF"/>
    <w:rsid w:val="005703C6"/>
    <w:rsid w:val="0057052F"/>
    <w:rsid w:val="00570FCF"/>
    <w:rsid w:val="005711EB"/>
    <w:rsid w:val="00572AFA"/>
    <w:rsid w:val="0057374A"/>
    <w:rsid w:val="00574309"/>
    <w:rsid w:val="0057559D"/>
    <w:rsid w:val="005756A5"/>
    <w:rsid w:val="00575A87"/>
    <w:rsid w:val="00575BD4"/>
    <w:rsid w:val="005806FD"/>
    <w:rsid w:val="00580A78"/>
    <w:rsid w:val="00580AA4"/>
    <w:rsid w:val="0058128A"/>
    <w:rsid w:val="005816A3"/>
    <w:rsid w:val="00581BAE"/>
    <w:rsid w:val="00582850"/>
    <w:rsid w:val="005836DC"/>
    <w:rsid w:val="0058374D"/>
    <w:rsid w:val="00583ABF"/>
    <w:rsid w:val="00583E93"/>
    <w:rsid w:val="0058448B"/>
    <w:rsid w:val="005845F2"/>
    <w:rsid w:val="00584CC1"/>
    <w:rsid w:val="0058579A"/>
    <w:rsid w:val="005859F5"/>
    <w:rsid w:val="005862D9"/>
    <w:rsid w:val="00586593"/>
    <w:rsid w:val="00587275"/>
    <w:rsid w:val="00587B1E"/>
    <w:rsid w:val="00590479"/>
    <w:rsid w:val="005907BD"/>
    <w:rsid w:val="005909C5"/>
    <w:rsid w:val="0059154D"/>
    <w:rsid w:val="00591D77"/>
    <w:rsid w:val="00591F99"/>
    <w:rsid w:val="005920E2"/>
    <w:rsid w:val="00592AC1"/>
    <w:rsid w:val="00593409"/>
    <w:rsid w:val="00594E20"/>
    <w:rsid w:val="00595804"/>
    <w:rsid w:val="00595918"/>
    <w:rsid w:val="00596C6D"/>
    <w:rsid w:val="00596F1E"/>
    <w:rsid w:val="00597E9E"/>
    <w:rsid w:val="005A03B7"/>
    <w:rsid w:val="005A0465"/>
    <w:rsid w:val="005A0588"/>
    <w:rsid w:val="005A0AD9"/>
    <w:rsid w:val="005A0CFE"/>
    <w:rsid w:val="005A1E33"/>
    <w:rsid w:val="005A2471"/>
    <w:rsid w:val="005A2690"/>
    <w:rsid w:val="005A2893"/>
    <w:rsid w:val="005A2922"/>
    <w:rsid w:val="005A2C1F"/>
    <w:rsid w:val="005A35EE"/>
    <w:rsid w:val="005A3684"/>
    <w:rsid w:val="005A39ED"/>
    <w:rsid w:val="005A3FAF"/>
    <w:rsid w:val="005A3FF8"/>
    <w:rsid w:val="005A419A"/>
    <w:rsid w:val="005A5385"/>
    <w:rsid w:val="005A5770"/>
    <w:rsid w:val="005A6E6E"/>
    <w:rsid w:val="005A726E"/>
    <w:rsid w:val="005A7AF5"/>
    <w:rsid w:val="005B02D2"/>
    <w:rsid w:val="005B0C67"/>
    <w:rsid w:val="005B0ED7"/>
    <w:rsid w:val="005B146E"/>
    <w:rsid w:val="005B181D"/>
    <w:rsid w:val="005B1C20"/>
    <w:rsid w:val="005B1DBB"/>
    <w:rsid w:val="005B251D"/>
    <w:rsid w:val="005B2C9E"/>
    <w:rsid w:val="005B53EC"/>
    <w:rsid w:val="005B5BE8"/>
    <w:rsid w:val="005B5DB4"/>
    <w:rsid w:val="005B6DB0"/>
    <w:rsid w:val="005B7009"/>
    <w:rsid w:val="005B7243"/>
    <w:rsid w:val="005B7303"/>
    <w:rsid w:val="005C026B"/>
    <w:rsid w:val="005C2FBC"/>
    <w:rsid w:val="005C30F6"/>
    <w:rsid w:val="005C32B1"/>
    <w:rsid w:val="005C3BEC"/>
    <w:rsid w:val="005C42FF"/>
    <w:rsid w:val="005C4577"/>
    <w:rsid w:val="005C5C4E"/>
    <w:rsid w:val="005C5D51"/>
    <w:rsid w:val="005C6C59"/>
    <w:rsid w:val="005D008B"/>
    <w:rsid w:val="005D076E"/>
    <w:rsid w:val="005D128F"/>
    <w:rsid w:val="005D197F"/>
    <w:rsid w:val="005D28A5"/>
    <w:rsid w:val="005D3907"/>
    <w:rsid w:val="005D4792"/>
    <w:rsid w:val="005D482B"/>
    <w:rsid w:val="005D53F6"/>
    <w:rsid w:val="005D598A"/>
    <w:rsid w:val="005D5CAF"/>
    <w:rsid w:val="005D6876"/>
    <w:rsid w:val="005D797D"/>
    <w:rsid w:val="005E0029"/>
    <w:rsid w:val="005E0555"/>
    <w:rsid w:val="005E13D5"/>
    <w:rsid w:val="005E1454"/>
    <w:rsid w:val="005E14A0"/>
    <w:rsid w:val="005E16C2"/>
    <w:rsid w:val="005E2595"/>
    <w:rsid w:val="005E2610"/>
    <w:rsid w:val="005E3B4C"/>
    <w:rsid w:val="005E3B83"/>
    <w:rsid w:val="005E48A0"/>
    <w:rsid w:val="005E610D"/>
    <w:rsid w:val="005E6A17"/>
    <w:rsid w:val="005E6C1E"/>
    <w:rsid w:val="005E7114"/>
    <w:rsid w:val="005E7BCA"/>
    <w:rsid w:val="005F0B4C"/>
    <w:rsid w:val="005F2160"/>
    <w:rsid w:val="005F3793"/>
    <w:rsid w:val="005F3951"/>
    <w:rsid w:val="005F57C1"/>
    <w:rsid w:val="005F58E6"/>
    <w:rsid w:val="005F5A13"/>
    <w:rsid w:val="005F617A"/>
    <w:rsid w:val="005F6D67"/>
    <w:rsid w:val="00600897"/>
    <w:rsid w:val="00600CF7"/>
    <w:rsid w:val="006016A1"/>
    <w:rsid w:val="00602FAB"/>
    <w:rsid w:val="0060462D"/>
    <w:rsid w:val="006046EC"/>
    <w:rsid w:val="00605E1C"/>
    <w:rsid w:val="00606F5B"/>
    <w:rsid w:val="00607032"/>
    <w:rsid w:val="00610918"/>
    <w:rsid w:val="00610EBE"/>
    <w:rsid w:val="006118B5"/>
    <w:rsid w:val="00611A3F"/>
    <w:rsid w:val="00612073"/>
    <w:rsid w:val="006128AE"/>
    <w:rsid w:val="00614B03"/>
    <w:rsid w:val="00615F61"/>
    <w:rsid w:val="00616519"/>
    <w:rsid w:val="00616F8B"/>
    <w:rsid w:val="00620A5D"/>
    <w:rsid w:val="00621C87"/>
    <w:rsid w:val="00622676"/>
    <w:rsid w:val="00622F1D"/>
    <w:rsid w:val="006230AA"/>
    <w:rsid w:val="0062386A"/>
    <w:rsid w:val="00623C80"/>
    <w:rsid w:val="00624F2F"/>
    <w:rsid w:val="00625224"/>
    <w:rsid w:val="00625C4B"/>
    <w:rsid w:val="006260CF"/>
    <w:rsid w:val="006260D9"/>
    <w:rsid w:val="00626C52"/>
    <w:rsid w:val="00627463"/>
    <w:rsid w:val="0062748B"/>
    <w:rsid w:val="0062765A"/>
    <w:rsid w:val="006302BD"/>
    <w:rsid w:val="00630A07"/>
    <w:rsid w:val="00631ABF"/>
    <w:rsid w:val="00631DE0"/>
    <w:rsid w:val="006339A7"/>
    <w:rsid w:val="00634713"/>
    <w:rsid w:val="00635E28"/>
    <w:rsid w:val="006371E2"/>
    <w:rsid w:val="00637232"/>
    <w:rsid w:val="00637678"/>
    <w:rsid w:val="00640624"/>
    <w:rsid w:val="00641156"/>
    <w:rsid w:val="00642386"/>
    <w:rsid w:val="006424FD"/>
    <w:rsid w:val="006436D8"/>
    <w:rsid w:val="00644B5A"/>
    <w:rsid w:val="00644F1A"/>
    <w:rsid w:val="00646078"/>
    <w:rsid w:val="00646799"/>
    <w:rsid w:val="006469DA"/>
    <w:rsid w:val="00646A95"/>
    <w:rsid w:val="00646F61"/>
    <w:rsid w:val="0064765F"/>
    <w:rsid w:val="006478D9"/>
    <w:rsid w:val="00647CA7"/>
    <w:rsid w:val="00650313"/>
    <w:rsid w:val="006506DD"/>
    <w:rsid w:val="006513B7"/>
    <w:rsid w:val="00651953"/>
    <w:rsid w:val="0065220F"/>
    <w:rsid w:val="006549EE"/>
    <w:rsid w:val="00654AD9"/>
    <w:rsid w:val="00654B20"/>
    <w:rsid w:val="00655E15"/>
    <w:rsid w:val="00656B0F"/>
    <w:rsid w:val="006570D0"/>
    <w:rsid w:val="00660386"/>
    <w:rsid w:val="00660693"/>
    <w:rsid w:val="006613CC"/>
    <w:rsid w:val="0066195E"/>
    <w:rsid w:val="006625C0"/>
    <w:rsid w:val="00662DA2"/>
    <w:rsid w:val="00663473"/>
    <w:rsid w:val="00663F8A"/>
    <w:rsid w:val="006648A4"/>
    <w:rsid w:val="00664CB6"/>
    <w:rsid w:val="00664D22"/>
    <w:rsid w:val="00665228"/>
    <w:rsid w:val="006662F0"/>
    <w:rsid w:val="0067086B"/>
    <w:rsid w:val="00671A80"/>
    <w:rsid w:val="00672E8F"/>
    <w:rsid w:val="00672E99"/>
    <w:rsid w:val="00673533"/>
    <w:rsid w:val="006736F8"/>
    <w:rsid w:val="00674BEE"/>
    <w:rsid w:val="006754D1"/>
    <w:rsid w:val="006758E2"/>
    <w:rsid w:val="0067642C"/>
    <w:rsid w:val="006767D9"/>
    <w:rsid w:val="00677C08"/>
    <w:rsid w:val="00677FDE"/>
    <w:rsid w:val="00680710"/>
    <w:rsid w:val="00681352"/>
    <w:rsid w:val="006821D8"/>
    <w:rsid w:val="00682A7C"/>
    <w:rsid w:val="00683F97"/>
    <w:rsid w:val="006850BC"/>
    <w:rsid w:val="0068750A"/>
    <w:rsid w:val="006907C3"/>
    <w:rsid w:val="006908D2"/>
    <w:rsid w:val="006927D4"/>
    <w:rsid w:val="006930BA"/>
    <w:rsid w:val="006943C2"/>
    <w:rsid w:val="00694E24"/>
    <w:rsid w:val="006951D8"/>
    <w:rsid w:val="00696700"/>
    <w:rsid w:val="00697511"/>
    <w:rsid w:val="006975E0"/>
    <w:rsid w:val="006A06B0"/>
    <w:rsid w:val="006A0719"/>
    <w:rsid w:val="006A0AF4"/>
    <w:rsid w:val="006A14F5"/>
    <w:rsid w:val="006A2522"/>
    <w:rsid w:val="006A3814"/>
    <w:rsid w:val="006A4CEA"/>
    <w:rsid w:val="006A4D4B"/>
    <w:rsid w:val="006A5307"/>
    <w:rsid w:val="006A6407"/>
    <w:rsid w:val="006A6B99"/>
    <w:rsid w:val="006A7128"/>
    <w:rsid w:val="006B051C"/>
    <w:rsid w:val="006B0C0B"/>
    <w:rsid w:val="006B0C12"/>
    <w:rsid w:val="006B13AE"/>
    <w:rsid w:val="006B21DE"/>
    <w:rsid w:val="006B3FE6"/>
    <w:rsid w:val="006B436C"/>
    <w:rsid w:val="006B46A7"/>
    <w:rsid w:val="006B4803"/>
    <w:rsid w:val="006B4AC1"/>
    <w:rsid w:val="006B4E7D"/>
    <w:rsid w:val="006B4F6A"/>
    <w:rsid w:val="006B4F71"/>
    <w:rsid w:val="006B5A28"/>
    <w:rsid w:val="006B6786"/>
    <w:rsid w:val="006B701E"/>
    <w:rsid w:val="006C0BFA"/>
    <w:rsid w:val="006C1096"/>
    <w:rsid w:val="006C1221"/>
    <w:rsid w:val="006C12F5"/>
    <w:rsid w:val="006C1B65"/>
    <w:rsid w:val="006C1F01"/>
    <w:rsid w:val="006C3227"/>
    <w:rsid w:val="006C4B3A"/>
    <w:rsid w:val="006C66AB"/>
    <w:rsid w:val="006C6ABE"/>
    <w:rsid w:val="006C796B"/>
    <w:rsid w:val="006C79CC"/>
    <w:rsid w:val="006C7EE0"/>
    <w:rsid w:val="006D0239"/>
    <w:rsid w:val="006D08B7"/>
    <w:rsid w:val="006D142D"/>
    <w:rsid w:val="006D164A"/>
    <w:rsid w:val="006D2186"/>
    <w:rsid w:val="006D24C1"/>
    <w:rsid w:val="006D3701"/>
    <w:rsid w:val="006D3847"/>
    <w:rsid w:val="006D3865"/>
    <w:rsid w:val="006D3AD3"/>
    <w:rsid w:val="006D3EF5"/>
    <w:rsid w:val="006D4432"/>
    <w:rsid w:val="006D4BF8"/>
    <w:rsid w:val="006D4CDB"/>
    <w:rsid w:val="006D5203"/>
    <w:rsid w:val="006D5400"/>
    <w:rsid w:val="006D58BC"/>
    <w:rsid w:val="006D6C98"/>
    <w:rsid w:val="006D6E49"/>
    <w:rsid w:val="006D6EAE"/>
    <w:rsid w:val="006E02F7"/>
    <w:rsid w:val="006E0698"/>
    <w:rsid w:val="006E15B8"/>
    <w:rsid w:val="006E1BC9"/>
    <w:rsid w:val="006E2A7D"/>
    <w:rsid w:val="006E2B1D"/>
    <w:rsid w:val="006E2C96"/>
    <w:rsid w:val="006E2D2F"/>
    <w:rsid w:val="006E4079"/>
    <w:rsid w:val="006E4288"/>
    <w:rsid w:val="006E4551"/>
    <w:rsid w:val="006E4E39"/>
    <w:rsid w:val="006E5C89"/>
    <w:rsid w:val="006E5C8B"/>
    <w:rsid w:val="006E65BD"/>
    <w:rsid w:val="006E6E9E"/>
    <w:rsid w:val="006F01D0"/>
    <w:rsid w:val="006F10F3"/>
    <w:rsid w:val="006F1AE1"/>
    <w:rsid w:val="006F26C1"/>
    <w:rsid w:val="006F3296"/>
    <w:rsid w:val="006F3490"/>
    <w:rsid w:val="006F3D78"/>
    <w:rsid w:val="006F4A77"/>
    <w:rsid w:val="006F599E"/>
    <w:rsid w:val="006F7508"/>
    <w:rsid w:val="0070004D"/>
    <w:rsid w:val="0070080F"/>
    <w:rsid w:val="00700D14"/>
    <w:rsid w:val="00702BD8"/>
    <w:rsid w:val="00702C3D"/>
    <w:rsid w:val="00702E72"/>
    <w:rsid w:val="00703088"/>
    <w:rsid w:val="007039BC"/>
    <w:rsid w:val="007053F5"/>
    <w:rsid w:val="00706204"/>
    <w:rsid w:val="007065A1"/>
    <w:rsid w:val="00707008"/>
    <w:rsid w:val="007070C2"/>
    <w:rsid w:val="0070772C"/>
    <w:rsid w:val="00707FEA"/>
    <w:rsid w:val="00710113"/>
    <w:rsid w:val="0071142F"/>
    <w:rsid w:val="00711CBD"/>
    <w:rsid w:val="007124A0"/>
    <w:rsid w:val="00712BF7"/>
    <w:rsid w:val="00712DAE"/>
    <w:rsid w:val="00713572"/>
    <w:rsid w:val="00715938"/>
    <w:rsid w:val="00716570"/>
    <w:rsid w:val="007169F4"/>
    <w:rsid w:val="007203BE"/>
    <w:rsid w:val="00720A2C"/>
    <w:rsid w:val="0072151D"/>
    <w:rsid w:val="0072236B"/>
    <w:rsid w:val="00723665"/>
    <w:rsid w:val="00723B07"/>
    <w:rsid w:val="00725CE6"/>
    <w:rsid w:val="007277F0"/>
    <w:rsid w:val="00731B1F"/>
    <w:rsid w:val="00732888"/>
    <w:rsid w:val="007337F0"/>
    <w:rsid w:val="0073405A"/>
    <w:rsid w:val="00735911"/>
    <w:rsid w:val="00735B50"/>
    <w:rsid w:val="00735C30"/>
    <w:rsid w:val="00736713"/>
    <w:rsid w:val="00736ACA"/>
    <w:rsid w:val="007374FF"/>
    <w:rsid w:val="00737853"/>
    <w:rsid w:val="00737E47"/>
    <w:rsid w:val="007401F8"/>
    <w:rsid w:val="007419EF"/>
    <w:rsid w:val="00742EBD"/>
    <w:rsid w:val="007432E9"/>
    <w:rsid w:val="0074527F"/>
    <w:rsid w:val="007457D4"/>
    <w:rsid w:val="00745B5A"/>
    <w:rsid w:val="007466DB"/>
    <w:rsid w:val="007478FB"/>
    <w:rsid w:val="00747C39"/>
    <w:rsid w:val="00747DE4"/>
    <w:rsid w:val="007510D1"/>
    <w:rsid w:val="00751B3B"/>
    <w:rsid w:val="007523C1"/>
    <w:rsid w:val="0075340F"/>
    <w:rsid w:val="0075343E"/>
    <w:rsid w:val="00753B6F"/>
    <w:rsid w:val="00753CD9"/>
    <w:rsid w:val="007540E6"/>
    <w:rsid w:val="00755B62"/>
    <w:rsid w:val="00755F09"/>
    <w:rsid w:val="00756A5A"/>
    <w:rsid w:val="00756F4B"/>
    <w:rsid w:val="00757621"/>
    <w:rsid w:val="00757DE8"/>
    <w:rsid w:val="00757EC6"/>
    <w:rsid w:val="00760A0B"/>
    <w:rsid w:val="00760C6C"/>
    <w:rsid w:val="00760CEF"/>
    <w:rsid w:val="00761296"/>
    <w:rsid w:val="00761492"/>
    <w:rsid w:val="00762ADD"/>
    <w:rsid w:val="00763BA4"/>
    <w:rsid w:val="0076411A"/>
    <w:rsid w:val="00764166"/>
    <w:rsid w:val="00764439"/>
    <w:rsid w:val="00764D24"/>
    <w:rsid w:val="00764DB5"/>
    <w:rsid w:val="00765745"/>
    <w:rsid w:val="0076578F"/>
    <w:rsid w:val="007668BE"/>
    <w:rsid w:val="007674F9"/>
    <w:rsid w:val="00767A0D"/>
    <w:rsid w:val="0077024B"/>
    <w:rsid w:val="0077040E"/>
    <w:rsid w:val="007704AF"/>
    <w:rsid w:val="00770B3D"/>
    <w:rsid w:val="00770DDE"/>
    <w:rsid w:val="00770FBA"/>
    <w:rsid w:val="00771B99"/>
    <w:rsid w:val="00771BFC"/>
    <w:rsid w:val="007724BD"/>
    <w:rsid w:val="0077328D"/>
    <w:rsid w:val="007734B6"/>
    <w:rsid w:val="00773607"/>
    <w:rsid w:val="00773E4F"/>
    <w:rsid w:val="00774732"/>
    <w:rsid w:val="0077516D"/>
    <w:rsid w:val="00775608"/>
    <w:rsid w:val="0077578D"/>
    <w:rsid w:val="00775F70"/>
    <w:rsid w:val="00780D5D"/>
    <w:rsid w:val="00780EB1"/>
    <w:rsid w:val="00781568"/>
    <w:rsid w:val="00782109"/>
    <w:rsid w:val="00782B45"/>
    <w:rsid w:val="00783333"/>
    <w:rsid w:val="00783771"/>
    <w:rsid w:val="00784F18"/>
    <w:rsid w:val="00785FC3"/>
    <w:rsid w:val="007872AE"/>
    <w:rsid w:val="00787BB3"/>
    <w:rsid w:val="00790950"/>
    <w:rsid w:val="00790F36"/>
    <w:rsid w:val="00791BC6"/>
    <w:rsid w:val="00791DCB"/>
    <w:rsid w:val="00792375"/>
    <w:rsid w:val="00793F8E"/>
    <w:rsid w:val="0079424E"/>
    <w:rsid w:val="00794320"/>
    <w:rsid w:val="007943D2"/>
    <w:rsid w:val="0079462C"/>
    <w:rsid w:val="0079518B"/>
    <w:rsid w:val="007960CD"/>
    <w:rsid w:val="00796261"/>
    <w:rsid w:val="00796631"/>
    <w:rsid w:val="00796A75"/>
    <w:rsid w:val="00797088"/>
    <w:rsid w:val="007973A9"/>
    <w:rsid w:val="007974A6"/>
    <w:rsid w:val="007978E5"/>
    <w:rsid w:val="007A06F8"/>
    <w:rsid w:val="007A09BF"/>
    <w:rsid w:val="007A0AF7"/>
    <w:rsid w:val="007A0D1C"/>
    <w:rsid w:val="007A1404"/>
    <w:rsid w:val="007A2507"/>
    <w:rsid w:val="007A2F2E"/>
    <w:rsid w:val="007A50AD"/>
    <w:rsid w:val="007A5AB2"/>
    <w:rsid w:val="007A6889"/>
    <w:rsid w:val="007A755F"/>
    <w:rsid w:val="007B073D"/>
    <w:rsid w:val="007B0B94"/>
    <w:rsid w:val="007B165F"/>
    <w:rsid w:val="007B1889"/>
    <w:rsid w:val="007B274A"/>
    <w:rsid w:val="007B27D0"/>
    <w:rsid w:val="007B312D"/>
    <w:rsid w:val="007B418C"/>
    <w:rsid w:val="007B4629"/>
    <w:rsid w:val="007B4AA2"/>
    <w:rsid w:val="007B5843"/>
    <w:rsid w:val="007B6F64"/>
    <w:rsid w:val="007C0BCC"/>
    <w:rsid w:val="007C194F"/>
    <w:rsid w:val="007C224E"/>
    <w:rsid w:val="007C2882"/>
    <w:rsid w:val="007C34C8"/>
    <w:rsid w:val="007C3E9A"/>
    <w:rsid w:val="007C4F6B"/>
    <w:rsid w:val="007C71D1"/>
    <w:rsid w:val="007D1F36"/>
    <w:rsid w:val="007D36F1"/>
    <w:rsid w:val="007D5806"/>
    <w:rsid w:val="007D5A2B"/>
    <w:rsid w:val="007D5D30"/>
    <w:rsid w:val="007D655C"/>
    <w:rsid w:val="007D66B0"/>
    <w:rsid w:val="007E05B7"/>
    <w:rsid w:val="007E0778"/>
    <w:rsid w:val="007E07E5"/>
    <w:rsid w:val="007E0D10"/>
    <w:rsid w:val="007E12F0"/>
    <w:rsid w:val="007E526E"/>
    <w:rsid w:val="007E531C"/>
    <w:rsid w:val="007E5FEF"/>
    <w:rsid w:val="007E6CFC"/>
    <w:rsid w:val="007E7C30"/>
    <w:rsid w:val="007E7D5F"/>
    <w:rsid w:val="007E7DEB"/>
    <w:rsid w:val="007F08CD"/>
    <w:rsid w:val="007F1355"/>
    <w:rsid w:val="007F3997"/>
    <w:rsid w:val="007F6341"/>
    <w:rsid w:val="007F7111"/>
    <w:rsid w:val="007F781E"/>
    <w:rsid w:val="007F7903"/>
    <w:rsid w:val="0080072E"/>
    <w:rsid w:val="00800DB6"/>
    <w:rsid w:val="008022AF"/>
    <w:rsid w:val="00802A67"/>
    <w:rsid w:val="00802B54"/>
    <w:rsid w:val="00802CDC"/>
    <w:rsid w:val="00802F74"/>
    <w:rsid w:val="0080309F"/>
    <w:rsid w:val="0080393C"/>
    <w:rsid w:val="008046C9"/>
    <w:rsid w:val="00804D13"/>
    <w:rsid w:val="00805D59"/>
    <w:rsid w:val="00807B3E"/>
    <w:rsid w:val="00811D89"/>
    <w:rsid w:val="00812CF7"/>
    <w:rsid w:val="00813994"/>
    <w:rsid w:val="00813A50"/>
    <w:rsid w:val="00813C82"/>
    <w:rsid w:val="00814274"/>
    <w:rsid w:val="008152E0"/>
    <w:rsid w:val="00815886"/>
    <w:rsid w:val="0081592A"/>
    <w:rsid w:val="00815DBC"/>
    <w:rsid w:val="00815EF1"/>
    <w:rsid w:val="00816978"/>
    <w:rsid w:val="008169D1"/>
    <w:rsid w:val="00820B4E"/>
    <w:rsid w:val="00821F30"/>
    <w:rsid w:val="008221B1"/>
    <w:rsid w:val="00822AE2"/>
    <w:rsid w:val="008233E7"/>
    <w:rsid w:val="00824C40"/>
    <w:rsid w:val="00824FD7"/>
    <w:rsid w:val="008252CB"/>
    <w:rsid w:val="00825CA5"/>
    <w:rsid w:val="008270E0"/>
    <w:rsid w:val="00827DDD"/>
    <w:rsid w:val="00831296"/>
    <w:rsid w:val="008313D8"/>
    <w:rsid w:val="0083363E"/>
    <w:rsid w:val="00834647"/>
    <w:rsid w:val="00834A69"/>
    <w:rsid w:val="00834CA6"/>
    <w:rsid w:val="00836630"/>
    <w:rsid w:val="00840944"/>
    <w:rsid w:val="00841305"/>
    <w:rsid w:val="00841B78"/>
    <w:rsid w:val="00842A9B"/>
    <w:rsid w:val="0084304D"/>
    <w:rsid w:val="00843301"/>
    <w:rsid w:val="00843AF5"/>
    <w:rsid w:val="0084553E"/>
    <w:rsid w:val="0084566F"/>
    <w:rsid w:val="00847A47"/>
    <w:rsid w:val="00847E6F"/>
    <w:rsid w:val="00850D33"/>
    <w:rsid w:val="0085144C"/>
    <w:rsid w:val="00851608"/>
    <w:rsid w:val="008516A2"/>
    <w:rsid w:val="008522B7"/>
    <w:rsid w:val="00852329"/>
    <w:rsid w:val="008525AB"/>
    <w:rsid w:val="00852909"/>
    <w:rsid w:val="008535AF"/>
    <w:rsid w:val="0085372F"/>
    <w:rsid w:val="008537C9"/>
    <w:rsid w:val="008541F6"/>
    <w:rsid w:val="008548B3"/>
    <w:rsid w:val="00854C9D"/>
    <w:rsid w:val="00854DCE"/>
    <w:rsid w:val="00854E90"/>
    <w:rsid w:val="0085598A"/>
    <w:rsid w:val="008566EA"/>
    <w:rsid w:val="00857913"/>
    <w:rsid w:val="00860421"/>
    <w:rsid w:val="00860B05"/>
    <w:rsid w:val="00860F27"/>
    <w:rsid w:val="00865B80"/>
    <w:rsid w:val="00867420"/>
    <w:rsid w:val="00867EF4"/>
    <w:rsid w:val="00870953"/>
    <w:rsid w:val="00870B8E"/>
    <w:rsid w:val="008714C5"/>
    <w:rsid w:val="00871C66"/>
    <w:rsid w:val="00871FA6"/>
    <w:rsid w:val="00875EFE"/>
    <w:rsid w:val="0087643A"/>
    <w:rsid w:val="008766AF"/>
    <w:rsid w:val="00876B7E"/>
    <w:rsid w:val="0087756B"/>
    <w:rsid w:val="008804A9"/>
    <w:rsid w:val="00881B10"/>
    <w:rsid w:val="0088452D"/>
    <w:rsid w:val="00884D3F"/>
    <w:rsid w:val="0088575C"/>
    <w:rsid w:val="00885853"/>
    <w:rsid w:val="008863B3"/>
    <w:rsid w:val="00886F63"/>
    <w:rsid w:val="0088705C"/>
    <w:rsid w:val="00887B47"/>
    <w:rsid w:val="00890150"/>
    <w:rsid w:val="0089150E"/>
    <w:rsid w:val="00891B87"/>
    <w:rsid w:val="00891D2A"/>
    <w:rsid w:val="00891F07"/>
    <w:rsid w:val="00892430"/>
    <w:rsid w:val="00892737"/>
    <w:rsid w:val="00892FA9"/>
    <w:rsid w:val="00893091"/>
    <w:rsid w:val="00893443"/>
    <w:rsid w:val="0089388E"/>
    <w:rsid w:val="00893D0C"/>
    <w:rsid w:val="00893FC8"/>
    <w:rsid w:val="00893FF2"/>
    <w:rsid w:val="00895513"/>
    <w:rsid w:val="00896D3F"/>
    <w:rsid w:val="00897A18"/>
    <w:rsid w:val="008A00D4"/>
    <w:rsid w:val="008A0A9F"/>
    <w:rsid w:val="008A1628"/>
    <w:rsid w:val="008A1C51"/>
    <w:rsid w:val="008A23BC"/>
    <w:rsid w:val="008A49DF"/>
    <w:rsid w:val="008A64E8"/>
    <w:rsid w:val="008A6DF3"/>
    <w:rsid w:val="008A74CA"/>
    <w:rsid w:val="008A7F69"/>
    <w:rsid w:val="008B0E9F"/>
    <w:rsid w:val="008B2952"/>
    <w:rsid w:val="008B34C9"/>
    <w:rsid w:val="008B3657"/>
    <w:rsid w:val="008B3950"/>
    <w:rsid w:val="008B403E"/>
    <w:rsid w:val="008B42AD"/>
    <w:rsid w:val="008B4FC4"/>
    <w:rsid w:val="008B5C92"/>
    <w:rsid w:val="008B60F2"/>
    <w:rsid w:val="008B6203"/>
    <w:rsid w:val="008B70A3"/>
    <w:rsid w:val="008B73D9"/>
    <w:rsid w:val="008C07C5"/>
    <w:rsid w:val="008C12EC"/>
    <w:rsid w:val="008C12EE"/>
    <w:rsid w:val="008C15C7"/>
    <w:rsid w:val="008C1744"/>
    <w:rsid w:val="008C1B85"/>
    <w:rsid w:val="008C1C6A"/>
    <w:rsid w:val="008C1FEA"/>
    <w:rsid w:val="008C29A5"/>
    <w:rsid w:val="008C3FD3"/>
    <w:rsid w:val="008C4508"/>
    <w:rsid w:val="008C4CBE"/>
    <w:rsid w:val="008C4D6D"/>
    <w:rsid w:val="008C5072"/>
    <w:rsid w:val="008C5699"/>
    <w:rsid w:val="008C5865"/>
    <w:rsid w:val="008C5F88"/>
    <w:rsid w:val="008C67C6"/>
    <w:rsid w:val="008C6CB9"/>
    <w:rsid w:val="008C7010"/>
    <w:rsid w:val="008C76C5"/>
    <w:rsid w:val="008C7953"/>
    <w:rsid w:val="008C7F6C"/>
    <w:rsid w:val="008D1C86"/>
    <w:rsid w:val="008D2464"/>
    <w:rsid w:val="008D29B8"/>
    <w:rsid w:val="008D3C2E"/>
    <w:rsid w:val="008D41CB"/>
    <w:rsid w:val="008D4B2F"/>
    <w:rsid w:val="008D4F42"/>
    <w:rsid w:val="008D5405"/>
    <w:rsid w:val="008D63F2"/>
    <w:rsid w:val="008D6BED"/>
    <w:rsid w:val="008D764C"/>
    <w:rsid w:val="008D7C82"/>
    <w:rsid w:val="008D7D59"/>
    <w:rsid w:val="008E0299"/>
    <w:rsid w:val="008E0654"/>
    <w:rsid w:val="008E08E5"/>
    <w:rsid w:val="008E0B0E"/>
    <w:rsid w:val="008E179A"/>
    <w:rsid w:val="008E26C1"/>
    <w:rsid w:val="008E28C8"/>
    <w:rsid w:val="008E3481"/>
    <w:rsid w:val="008E7503"/>
    <w:rsid w:val="008E784E"/>
    <w:rsid w:val="008E7BC3"/>
    <w:rsid w:val="008F0CF1"/>
    <w:rsid w:val="008F103B"/>
    <w:rsid w:val="008F10E9"/>
    <w:rsid w:val="008F1132"/>
    <w:rsid w:val="008F14E9"/>
    <w:rsid w:val="008F17C3"/>
    <w:rsid w:val="008F1D0E"/>
    <w:rsid w:val="008F34C2"/>
    <w:rsid w:val="008F35F9"/>
    <w:rsid w:val="008F3DDC"/>
    <w:rsid w:val="008F3E21"/>
    <w:rsid w:val="008F3F23"/>
    <w:rsid w:val="008F47C0"/>
    <w:rsid w:val="008F4FE4"/>
    <w:rsid w:val="008F5203"/>
    <w:rsid w:val="008F5ECD"/>
    <w:rsid w:val="008F7255"/>
    <w:rsid w:val="008F7674"/>
    <w:rsid w:val="008F7F58"/>
    <w:rsid w:val="009001CD"/>
    <w:rsid w:val="00901960"/>
    <w:rsid w:val="00901988"/>
    <w:rsid w:val="009037D4"/>
    <w:rsid w:val="00903972"/>
    <w:rsid w:val="00904F34"/>
    <w:rsid w:val="00905D25"/>
    <w:rsid w:val="009068B5"/>
    <w:rsid w:val="00906D96"/>
    <w:rsid w:val="00906FA0"/>
    <w:rsid w:val="00907A3F"/>
    <w:rsid w:val="00907C9C"/>
    <w:rsid w:val="009107B4"/>
    <w:rsid w:val="00912266"/>
    <w:rsid w:val="00913155"/>
    <w:rsid w:val="0091357F"/>
    <w:rsid w:val="00915D21"/>
    <w:rsid w:val="00916088"/>
    <w:rsid w:val="0091610E"/>
    <w:rsid w:val="0091637D"/>
    <w:rsid w:val="009166A9"/>
    <w:rsid w:val="00917072"/>
    <w:rsid w:val="00917CE6"/>
    <w:rsid w:val="00920FAA"/>
    <w:rsid w:val="009231B0"/>
    <w:rsid w:val="0092363F"/>
    <w:rsid w:val="00923805"/>
    <w:rsid w:val="00923FC9"/>
    <w:rsid w:val="00924B31"/>
    <w:rsid w:val="00924DB8"/>
    <w:rsid w:val="00924EA3"/>
    <w:rsid w:val="00925037"/>
    <w:rsid w:val="00925B91"/>
    <w:rsid w:val="00926F0C"/>
    <w:rsid w:val="00927485"/>
    <w:rsid w:val="00927735"/>
    <w:rsid w:val="009279B8"/>
    <w:rsid w:val="00932B9B"/>
    <w:rsid w:val="00933F30"/>
    <w:rsid w:val="00934F8F"/>
    <w:rsid w:val="00935E89"/>
    <w:rsid w:val="00936741"/>
    <w:rsid w:val="009377C9"/>
    <w:rsid w:val="00937D25"/>
    <w:rsid w:val="00940261"/>
    <w:rsid w:val="0094084E"/>
    <w:rsid w:val="00941603"/>
    <w:rsid w:val="009436D7"/>
    <w:rsid w:val="0094378E"/>
    <w:rsid w:val="00943913"/>
    <w:rsid w:val="00943BCF"/>
    <w:rsid w:val="00944193"/>
    <w:rsid w:val="009447C9"/>
    <w:rsid w:val="00944AFB"/>
    <w:rsid w:val="00944B31"/>
    <w:rsid w:val="00944C4D"/>
    <w:rsid w:val="00944D6C"/>
    <w:rsid w:val="009465F7"/>
    <w:rsid w:val="009466C9"/>
    <w:rsid w:val="00947FA4"/>
    <w:rsid w:val="00947FBD"/>
    <w:rsid w:val="009512E1"/>
    <w:rsid w:val="00952036"/>
    <w:rsid w:val="00952293"/>
    <w:rsid w:val="00953918"/>
    <w:rsid w:val="00954BCA"/>
    <w:rsid w:val="00954D6B"/>
    <w:rsid w:val="00955F38"/>
    <w:rsid w:val="00955FCA"/>
    <w:rsid w:val="0095749E"/>
    <w:rsid w:val="0095750A"/>
    <w:rsid w:val="00960262"/>
    <w:rsid w:val="00961991"/>
    <w:rsid w:val="00961FD3"/>
    <w:rsid w:val="00962A11"/>
    <w:rsid w:val="009634E3"/>
    <w:rsid w:val="00963645"/>
    <w:rsid w:val="00963D2F"/>
    <w:rsid w:val="00963D74"/>
    <w:rsid w:val="00963EDE"/>
    <w:rsid w:val="00964188"/>
    <w:rsid w:val="00964A1E"/>
    <w:rsid w:val="0096666A"/>
    <w:rsid w:val="0096691B"/>
    <w:rsid w:val="00970205"/>
    <w:rsid w:val="009702D2"/>
    <w:rsid w:val="00970D52"/>
    <w:rsid w:val="00970FCF"/>
    <w:rsid w:val="009713AC"/>
    <w:rsid w:val="00972178"/>
    <w:rsid w:val="00972C6D"/>
    <w:rsid w:val="009732AE"/>
    <w:rsid w:val="0097351D"/>
    <w:rsid w:val="009737A2"/>
    <w:rsid w:val="00973996"/>
    <w:rsid w:val="00973CDF"/>
    <w:rsid w:val="00973D96"/>
    <w:rsid w:val="009757C2"/>
    <w:rsid w:val="0097589F"/>
    <w:rsid w:val="009764CA"/>
    <w:rsid w:val="00976D3E"/>
    <w:rsid w:val="00977C12"/>
    <w:rsid w:val="00980331"/>
    <w:rsid w:val="00981612"/>
    <w:rsid w:val="0098167B"/>
    <w:rsid w:val="009817BB"/>
    <w:rsid w:val="00981B9F"/>
    <w:rsid w:val="00981D52"/>
    <w:rsid w:val="009820FB"/>
    <w:rsid w:val="009824C8"/>
    <w:rsid w:val="009827F4"/>
    <w:rsid w:val="00982958"/>
    <w:rsid w:val="0098313C"/>
    <w:rsid w:val="00983611"/>
    <w:rsid w:val="00983CEC"/>
    <w:rsid w:val="0098433C"/>
    <w:rsid w:val="009845D6"/>
    <w:rsid w:val="009853E9"/>
    <w:rsid w:val="00985CC2"/>
    <w:rsid w:val="00986035"/>
    <w:rsid w:val="00986224"/>
    <w:rsid w:val="00987BEC"/>
    <w:rsid w:val="00990435"/>
    <w:rsid w:val="00991C42"/>
    <w:rsid w:val="00991CDB"/>
    <w:rsid w:val="00991F01"/>
    <w:rsid w:val="00992AFF"/>
    <w:rsid w:val="00992BAE"/>
    <w:rsid w:val="009938C3"/>
    <w:rsid w:val="00993F62"/>
    <w:rsid w:val="00994A61"/>
    <w:rsid w:val="00994EC6"/>
    <w:rsid w:val="009950D7"/>
    <w:rsid w:val="00995733"/>
    <w:rsid w:val="00995F42"/>
    <w:rsid w:val="00996301"/>
    <w:rsid w:val="009A0166"/>
    <w:rsid w:val="009A03C7"/>
    <w:rsid w:val="009A0CE3"/>
    <w:rsid w:val="009A25E1"/>
    <w:rsid w:val="009A2ED2"/>
    <w:rsid w:val="009A3B5A"/>
    <w:rsid w:val="009A3F66"/>
    <w:rsid w:val="009A5424"/>
    <w:rsid w:val="009A54EE"/>
    <w:rsid w:val="009A5DE4"/>
    <w:rsid w:val="009A6A96"/>
    <w:rsid w:val="009A6F1A"/>
    <w:rsid w:val="009A7598"/>
    <w:rsid w:val="009A7920"/>
    <w:rsid w:val="009B2B96"/>
    <w:rsid w:val="009B4448"/>
    <w:rsid w:val="009B4DAE"/>
    <w:rsid w:val="009B4FCE"/>
    <w:rsid w:val="009B5175"/>
    <w:rsid w:val="009B6439"/>
    <w:rsid w:val="009B726E"/>
    <w:rsid w:val="009B752C"/>
    <w:rsid w:val="009C0160"/>
    <w:rsid w:val="009C0BD1"/>
    <w:rsid w:val="009C0D51"/>
    <w:rsid w:val="009C12BB"/>
    <w:rsid w:val="009C1F07"/>
    <w:rsid w:val="009C1F83"/>
    <w:rsid w:val="009C2450"/>
    <w:rsid w:val="009C3653"/>
    <w:rsid w:val="009C3C98"/>
    <w:rsid w:val="009C43B6"/>
    <w:rsid w:val="009C444F"/>
    <w:rsid w:val="009C4540"/>
    <w:rsid w:val="009C4A06"/>
    <w:rsid w:val="009C4A2C"/>
    <w:rsid w:val="009C4E5A"/>
    <w:rsid w:val="009C5214"/>
    <w:rsid w:val="009C7774"/>
    <w:rsid w:val="009C7C50"/>
    <w:rsid w:val="009D03A4"/>
    <w:rsid w:val="009D071D"/>
    <w:rsid w:val="009D0D3F"/>
    <w:rsid w:val="009D18EC"/>
    <w:rsid w:val="009D27C6"/>
    <w:rsid w:val="009D2B4F"/>
    <w:rsid w:val="009D2B99"/>
    <w:rsid w:val="009D2BBE"/>
    <w:rsid w:val="009D30D8"/>
    <w:rsid w:val="009D3122"/>
    <w:rsid w:val="009D48FD"/>
    <w:rsid w:val="009D495F"/>
    <w:rsid w:val="009D54EC"/>
    <w:rsid w:val="009D561A"/>
    <w:rsid w:val="009D59FC"/>
    <w:rsid w:val="009D68F4"/>
    <w:rsid w:val="009D691B"/>
    <w:rsid w:val="009D699E"/>
    <w:rsid w:val="009D6B98"/>
    <w:rsid w:val="009D6BCB"/>
    <w:rsid w:val="009D7258"/>
    <w:rsid w:val="009D7971"/>
    <w:rsid w:val="009E0723"/>
    <w:rsid w:val="009E0846"/>
    <w:rsid w:val="009E08D6"/>
    <w:rsid w:val="009E1105"/>
    <w:rsid w:val="009E1C11"/>
    <w:rsid w:val="009E1C46"/>
    <w:rsid w:val="009E2CDF"/>
    <w:rsid w:val="009E480D"/>
    <w:rsid w:val="009E4A2D"/>
    <w:rsid w:val="009E6B65"/>
    <w:rsid w:val="009F0339"/>
    <w:rsid w:val="009F0EB5"/>
    <w:rsid w:val="009F0FFE"/>
    <w:rsid w:val="009F1E81"/>
    <w:rsid w:val="009F30B1"/>
    <w:rsid w:val="009F44F7"/>
    <w:rsid w:val="009F467B"/>
    <w:rsid w:val="009F6087"/>
    <w:rsid w:val="009F63F0"/>
    <w:rsid w:val="009F6820"/>
    <w:rsid w:val="009F6AAD"/>
    <w:rsid w:val="009F7881"/>
    <w:rsid w:val="009F7B6F"/>
    <w:rsid w:val="009F7CDE"/>
    <w:rsid w:val="00A00131"/>
    <w:rsid w:val="00A00F53"/>
    <w:rsid w:val="00A01C34"/>
    <w:rsid w:val="00A01E19"/>
    <w:rsid w:val="00A01F1E"/>
    <w:rsid w:val="00A02976"/>
    <w:rsid w:val="00A04F11"/>
    <w:rsid w:val="00A0542A"/>
    <w:rsid w:val="00A05E8A"/>
    <w:rsid w:val="00A06113"/>
    <w:rsid w:val="00A0687A"/>
    <w:rsid w:val="00A068BB"/>
    <w:rsid w:val="00A06C52"/>
    <w:rsid w:val="00A072F2"/>
    <w:rsid w:val="00A10951"/>
    <w:rsid w:val="00A10D6B"/>
    <w:rsid w:val="00A10DA6"/>
    <w:rsid w:val="00A10E26"/>
    <w:rsid w:val="00A126EC"/>
    <w:rsid w:val="00A12925"/>
    <w:rsid w:val="00A12EA4"/>
    <w:rsid w:val="00A131F6"/>
    <w:rsid w:val="00A13370"/>
    <w:rsid w:val="00A15647"/>
    <w:rsid w:val="00A162D1"/>
    <w:rsid w:val="00A17202"/>
    <w:rsid w:val="00A176FD"/>
    <w:rsid w:val="00A179BF"/>
    <w:rsid w:val="00A209C7"/>
    <w:rsid w:val="00A20C18"/>
    <w:rsid w:val="00A2298A"/>
    <w:rsid w:val="00A22CDC"/>
    <w:rsid w:val="00A23497"/>
    <w:rsid w:val="00A23576"/>
    <w:rsid w:val="00A23987"/>
    <w:rsid w:val="00A2451F"/>
    <w:rsid w:val="00A2460B"/>
    <w:rsid w:val="00A261A2"/>
    <w:rsid w:val="00A26700"/>
    <w:rsid w:val="00A268CC"/>
    <w:rsid w:val="00A26CE7"/>
    <w:rsid w:val="00A27E05"/>
    <w:rsid w:val="00A301D7"/>
    <w:rsid w:val="00A307E2"/>
    <w:rsid w:val="00A30849"/>
    <w:rsid w:val="00A3087B"/>
    <w:rsid w:val="00A31879"/>
    <w:rsid w:val="00A33D95"/>
    <w:rsid w:val="00A351FA"/>
    <w:rsid w:val="00A358FE"/>
    <w:rsid w:val="00A36565"/>
    <w:rsid w:val="00A36793"/>
    <w:rsid w:val="00A369D9"/>
    <w:rsid w:val="00A36E4D"/>
    <w:rsid w:val="00A403A4"/>
    <w:rsid w:val="00A407E4"/>
    <w:rsid w:val="00A411C9"/>
    <w:rsid w:val="00A41B42"/>
    <w:rsid w:val="00A41E28"/>
    <w:rsid w:val="00A42BD0"/>
    <w:rsid w:val="00A4318E"/>
    <w:rsid w:val="00A4411E"/>
    <w:rsid w:val="00A45532"/>
    <w:rsid w:val="00A45C8B"/>
    <w:rsid w:val="00A465B1"/>
    <w:rsid w:val="00A47B94"/>
    <w:rsid w:val="00A501B4"/>
    <w:rsid w:val="00A50494"/>
    <w:rsid w:val="00A518D1"/>
    <w:rsid w:val="00A51C43"/>
    <w:rsid w:val="00A51D3B"/>
    <w:rsid w:val="00A52816"/>
    <w:rsid w:val="00A52B65"/>
    <w:rsid w:val="00A5381F"/>
    <w:rsid w:val="00A5384C"/>
    <w:rsid w:val="00A53956"/>
    <w:rsid w:val="00A54933"/>
    <w:rsid w:val="00A54DDA"/>
    <w:rsid w:val="00A55DA5"/>
    <w:rsid w:val="00A56407"/>
    <w:rsid w:val="00A57537"/>
    <w:rsid w:val="00A57593"/>
    <w:rsid w:val="00A57895"/>
    <w:rsid w:val="00A57E56"/>
    <w:rsid w:val="00A609A2"/>
    <w:rsid w:val="00A60E64"/>
    <w:rsid w:val="00A628F1"/>
    <w:rsid w:val="00A62C44"/>
    <w:rsid w:val="00A64BE9"/>
    <w:rsid w:val="00A652D9"/>
    <w:rsid w:val="00A65A55"/>
    <w:rsid w:val="00A71677"/>
    <w:rsid w:val="00A718C9"/>
    <w:rsid w:val="00A7238E"/>
    <w:rsid w:val="00A72C75"/>
    <w:rsid w:val="00A73280"/>
    <w:rsid w:val="00A736D9"/>
    <w:rsid w:val="00A75F12"/>
    <w:rsid w:val="00A767CF"/>
    <w:rsid w:val="00A76F02"/>
    <w:rsid w:val="00A76F2F"/>
    <w:rsid w:val="00A7759F"/>
    <w:rsid w:val="00A778F4"/>
    <w:rsid w:val="00A818C2"/>
    <w:rsid w:val="00A82033"/>
    <w:rsid w:val="00A839ED"/>
    <w:rsid w:val="00A851C9"/>
    <w:rsid w:val="00A866B1"/>
    <w:rsid w:val="00A90224"/>
    <w:rsid w:val="00A90768"/>
    <w:rsid w:val="00A9175E"/>
    <w:rsid w:val="00A91FD6"/>
    <w:rsid w:val="00A93B5A"/>
    <w:rsid w:val="00A944C5"/>
    <w:rsid w:val="00A94C79"/>
    <w:rsid w:val="00A95319"/>
    <w:rsid w:val="00A972E3"/>
    <w:rsid w:val="00A97FF9"/>
    <w:rsid w:val="00AA09A2"/>
    <w:rsid w:val="00AA188B"/>
    <w:rsid w:val="00AA3436"/>
    <w:rsid w:val="00AA3948"/>
    <w:rsid w:val="00AA4309"/>
    <w:rsid w:val="00AA485B"/>
    <w:rsid w:val="00AA4E8C"/>
    <w:rsid w:val="00AA5A78"/>
    <w:rsid w:val="00AA5B9C"/>
    <w:rsid w:val="00AA60A3"/>
    <w:rsid w:val="00AA6236"/>
    <w:rsid w:val="00AA6C7F"/>
    <w:rsid w:val="00AA6CC7"/>
    <w:rsid w:val="00AA7021"/>
    <w:rsid w:val="00AA7870"/>
    <w:rsid w:val="00AB034B"/>
    <w:rsid w:val="00AB1F03"/>
    <w:rsid w:val="00AB1F33"/>
    <w:rsid w:val="00AB256A"/>
    <w:rsid w:val="00AB3834"/>
    <w:rsid w:val="00AB42B0"/>
    <w:rsid w:val="00AB48C3"/>
    <w:rsid w:val="00AB4F1F"/>
    <w:rsid w:val="00AB7D58"/>
    <w:rsid w:val="00AC03A3"/>
    <w:rsid w:val="00AC0B9E"/>
    <w:rsid w:val="00AC110C"/>
    <w:rsid w:val="00AC1F6F"/>
    <w:rsid w:val="00AC2902"/>
    <w:rsid w:val="00AC2D62"/>
    <w:rsid w:val="00AC3350"/>
    <w:rsid w:val="00AC362C"/>
    <w:rsid w:val="00AC3B62"/>
    <w:rsid w:val="00AC4201"/>
    <w:rsid w:val="00AC4360"/>
    <w:rsid w:val="00AC4411"/>
    <w:rsid w:val="00AC49D1"/>
    <w:rsid w:val="00AC51EC"/>
    <w:rsid w:val="00AC51FD"/>
    <w:rsid w:val="00AC5335"/>
    <w:rsid w:val="00AC741A"/>
    <w:rsid w:val="00AC770D"/>
    <w:rsid w:val="00AC7FBB"/>
    <w:rsid w:val="00AD022E"/>
    <w:rsid w:val="00AD029A"/>
    <w:rsid w:val="00AD2C91"/>
    <w:rsid w:val="00AD3EB7"/>
    <w:rsid w:val="00AD544F"/>
    <w:rsid w:val="00AD568A"/>
    <w:rsid w:val="00AD5CFA"/>
    <w:rsid w:val="00AD6AD2"/>
    <w:rsid w:val="00AE0971"/>
    <w:rsid w:val="00AE1CB1"/>
    <w:rsid w:val="00AE202E"/>
    <w:rsid w:val="00AE393A"/>
    <w:rsid w:val="00AE3DBA"/>
    <w:rsid w:val="00AE4EE4"/>
    <w:rsid w:val="00AE59BE"/>
    <w:rsid w:val="00AE7C82"/>
    <w:rsid w:val="00AF0980"/>
    <w:rsid w:val="00AF0A26"/>
    <w:rsid w:val="00AF0B42"/>
    <w:rsid w:val="00AF1F88"/>
    <w:rsid w:val="00AF2573"/>
    <w:rsid w:val="00AF4134"/>
    <w:rsid w:val="00AF4382"/>
    <w:rsid w:val="00AF57DE"/>
    <w:rsid w:val="00AF57E0"/>
    <w:rsid w:val="00AF5A8A"/>
    <w:rsid w:val="00AF6E59"/>
    <w:rsid w:val="00AF755A"/>
    <w:rsid w:val="00AF79DA"/>
    <w:rsid w:val="00B00400"/>
    <w:rsid w:val="00B004C0"/>
    <w:rsid w:val="00B00ABC"/>
    <w:rsid w:val="00B01014"/>
    <w:rsid w:val="00B014E1"/>
    <w:rsid w:val="00B021F6"/>
    <w:rsid w:val="00B06986"/>
    <w:rsid w:val="00B06E74"/>
    <w:rsid w:val="00B07025"/>
    <w:rsid w:val="00B071B4"/>
    <w:rsid w:val="00B07388"/>
    <w:rsid w:val="00B11453"/>
    <w:rsid w:val="00B114D6"/>
    <w:rsid w:val="00B11A36"/>
    <w:rsid w:val="00B1261C"/>
    <w:rsid w:val="00B13542"/>
    <w:rsid w:val="00B13CC7"/>
    <w:rsid w:val="00B1495E"/>
    <w:rsid w:val="00B14A52"/>
    <w:rsid w:val="00B14D2F"/>
    <w:rsid w:val="00B16C47"/>
    <w:rsid w:val="00B20066"/>
    <w:rsid w:val="00B2139E"/>
    <w:rsid w:val="00B219E1"/>
    <w:rsid w:val="00B21C7C"/>
    <w:rsid w:val="00B225B2"/>
    <w:rsid w:val="00B22AE6"/>
    <w:rsid w:val="00B22D74"/>
    <w:rsid w:val="00B22FB1"/>
    <w:rsid w:val="00B23097"/>
    <w:rsid w:val="00B23115"/>
    <w:rsid w:val="00B234CC"/>
    <w:rsid w:val="00B24678"/>
    <w:rsid w:val="00B251D2"/>
    <w:rsid w:val="00B25A05"/>
    <w:rsid w:val="00B25C8F"/>
    <w:rsid w:val="00B307DE"/>
    <w:rsid w:val="00B30AC9"/>
    <w:rsid w:val="00B30C2F"/>
    <w:rsid w:val="00B31BAE"/>
    <w:rsid w:val="00B31FF1"/>
    <w:rsid w:val="00B3217F"/>
    <w:rsid w:val="00B32287"/>
    <w:rsid w:val="00B3259D"/>
    <w:rsid w:val="00B33E6A"/>
    <w:rsid w:val="00B34674"/>
    <w:rsid w:val="00B346D6"/>
    <w:rsid w:val="00B34DD5"/>
    <w:rsid w:val="00B3562B"/>
    <w:rsid w:val="00B3590A"/>
    <w:rsid w:val="00B35B51"/>
    <w:rsid w:val="00B368F0"/>
    <w:rsid w:val="00B4049B"/>
    <w:rsid w:val="00B40D1A"/>
    <w:rsid w:val="00B40DAA"/>
    <w:rsid w:val="00B4120C"/>
    <w:rsid w:val="00B41F77"/>
    <w:rsid w:val="00B42E07"/>
    <w:rsid w:val="00B42E5C"/>
    <w:rsid w:val="00B437B1"/>
    <w:rsid w:val="00B438DF"/>
    <w:rsid w:val="00B43F04"/>
    <w:rsid w:val="00B44454"/>
    <w:rsid w:val="00B44C25"/>
    <w:rsid w:val="00B45183"/>
    <w:rsid w:val="00B459DD"/>
    <w:rsid w:val="00B45C35"/>
    <w:rsid w:val="00B46071"/>
    <w:rsid w:val="00B462BD"/>
    <w:rsid w:val="00B46F54"/>
    <w:rsid w:val="00B50088"/>
    <w:rsid w:val="00B50933"/>
    <w:rsid w:val="00B50C82"/>
    <w:rsid w:val="00B51FDE"/>
    <w:rsid w:val="00B524B9"/>
    <w:rsid w:val="00B52A1E"/>
    <w:rsid w:val="00B52CCE"/>
    <w:rsid w:val="00B533D2"/>
    <w:rsid w:val="00B542C2"/>
    <w:rsid w:val="00B60F0B"/>
    <w:rsid w:val="00B62663"/>
    <w:rsid w:val="00B62E22"/>
    <w:rsid w:val="00B6439C"/>
    <w:rsid w:val="00B65A48"/>
    <w:rsid w:val="00B65B63"/>
    <w:rsid w:val="00B66A6E"/>
    <w:rsid w:val="00B700A9"/>
    <w:rsid w:val="00B704C5"/>
    <w:rsid w:val="00B70A8F"/>
    <w:rsid w:val="00B711E3"/>
    <w:rsid w:val="00B72F3C"/>
    <w:rsid w:val="00B73822"/>
    <w:rsid w:val="00B74FC4"/>
    <w:rsid w:val="00B75614"/>
    <w:rsid w:val="00B80459"/>
    <w:rsid w:val="00B807DB"/>
    <w:rsid w:val="00B80C88"/>
    <w:rsid w:val="00B80F9A"/>
    <w:rsid w:val="00B81C8C"/>
    <w:rsid w:val="00B82CFD"/>
    <w:rsid w:val="00B82D8B"/>
    <w:rsid w:val="00B83EF2"/>
    <w:rsid w:val="00B8402C"/>
    <w:rsid w:val="00B84A5F"/>
    <w:rsid w:val="00B87E2E"/>
    <w:rsid w:val="00B87F8A"/>
    <w:rsid w:val="00B90701"/>
    <w:rsid w:val="00B9138F"/>
    <w:rsid w:val="00B91471"/>
    <w:rsid w:val="00B91F2B"/>
    <w:rsid w:val="00B9203F"/>
    <w:rsid w:val="00B9322C"/>
    <w:rsid w:val="00B934BF"/>
    <w:rsid w:val="00B93A82"/>
    <w:rsid w:val="00B96837"/>
    <w:rsid w:val="00B969A7"/>
    <w:rsid w:val="00BA0109"/>
    <w:rsid w:val="00BA082C"/>
    <w:rsid w:val="00BA0AB8"/>
    <w:rsid w:val="00BA0B31"/>
    <w:rsid w:val="00BA10DD"/>
    <w:rsid w:val="00BA29E5"/>
    <w:rsid w:val="00BA3B2C"/>
    <w:rsid w:val="00BA3F91"/>
    <w:rsid w:val="00BA4EEB"/>
    <w:rsid w:val="00BA5647"/>
    <w:rsid w:val="00BA5BEB"/>
    <w:rsid w:val="00BA643A"/>
    <w:rsid w:val="00BA69EC"/>
    <w:rsid w:val="00BA723B"/>
    <w:rsid w:val="00BA73BF"/>
    <w:rsid w:val="00BA7FB8"/>
    <w:rsid w:val="00BB0C97"/>
    <w:rsid w:val="00BB0DCB"/>
    <w:rsid w:val="00BB0DD3"/>
    <w:rsid w:val="00BB2BDB"/>
    <w:rsid w:val="00BB4882"/>
    <w:rsid w:val="00BB4AD9"/>
    <w:rsid w:val="00BB4F85"/>
    <w:rsid w:val="00BB5113"/>
    <w:rsid w:val="00BB5F06"/>
    <w:rsid w:val="00BB6359"/>
    <w:rsid w:val="00BB6513"/>
    <w:rsid w:val="00BB6E46"/>
    <w:rsid w:val="00BB6E77"/>
    <w:rsid w:val="00BB7008"/>
    <w:rsid w:val="00BC0229"/>
    <w:rsid w:val="00BC207A"/>
    <w:rsid w:val="00BC2748"/>
    <w:rsid w:val="00BC2F4C"/>
    <w:rsid w:val="00BC3C1D"/>
    <w:rsid w:val="00BC3FF1"/>
    <w:rsid w:val="00BC4124"/>
    <w:rsid w:val="00BC4662"/>
    <w:rsid w:val="00BC54F3"/>
    <w:rsid w:val="00BC5729"/>
    <w:rsid w:val="00BC6040"/>
    <w:rsid w:val="00BC6312"/>
    <w:rsid w:val="00BC63B5"/>
    <w:rsid w:val="00BD0111"/>
    <w:rsid w:val="00BD0456"/>
    <w:rsid w:val="00BD0C5D"/>
    <w:rsid w:val="00BD14DC"/>
    <w:rsid w:val="00BD2794"/>
    <w:rsid w:val="00BD2AC4"/>
    <w:rsid w:val="00BD2B9C"/>
    <w:rsid w:val="00BD3066"/>
    <w:rsid w:val="00BD3254"/>
    <w:rsid w:val="00BD390C"/>
    <w:rsid w:val="00BD520F"/>
    <w:rsid w:val="00BD57E8"/>
    <w:rsid w:val="00BD5A88"/>
    <w:rsid w:val="00BD6E7E"/>
    <w:rsid w:val="00BD7BD5"/>
    <w:rsid w:val="00BD7CD4"/>
    <w:rsid w:val="00BE165C"/>
    <w:rsid w:val="00BE1E3C"/>
    <w:rsid w:val="00BE2CAA"/>
    <w:rsid w:val="00BE2D7D"/>
    <w:rsid w:val="00BE339B"/>
    <w:rsid w:val="00BE45B4"/>
    <w:rsid w:val="00BE503F"/>
    <w:rsid w:val="00BE518A"/>
    <w:rsid w:val="00BE522E"/>
    <w:rsid w:val="00BE557F"/>
    <w:rsid w:val="00BE577C"/>
    <w:rsid w:val="00BE57DB"/>
    <w:rsid w:val="00BE5BC6"/>
    <w:rsid w:val="00BE5C6D"/>
    <w:rsid w:val="00BE63F0"/>
    <w:rsid w:val="00BE667D"/>
    <w:rsid w:val="00BE754E"/>
    <w:rsid w:val="00BE789E"/>
    <w:rsid w:val="00BE7F01"/>
    <w:rsid w:val="00BF0E7B"/>
    <w:rsid w:val="00BF1700"/>
    <w:rsid w:val="00BF187C"/>
    <w:rsid w:val="00BF1BE0"/>
    <w:rsid w:val="00BF1C7A"/>
    <w:rsid w:val="00BF1FC1"/>
    <w:rsid w:val="00BF2419"/>
    <w:rsid w:val="00BF2514"/>
    <w:rsid w:val="00BF2663"/>
    <w:rsid w:val="00BF458E"/>
    <w:rsid w:val="00BF4C83"/>
    <w:rsid w:val="00BF58B4"/>
    <w:rsid w:val="00BF5E8C"/>
    <w:rsid w:val="00BF7184"/>
    <w:rsid w:val="00BF735F"/>
    <w:rsid w:val="00BF7FEC"/>
    <w:rsid w:val="00C001BF"/>
    <w:rsid w:val="00C00875"/>
    <w:rsid w:val="00C0202F"/>
    <w:rsid w:val="00C02849"/>
    <w:rsid w:val="00C03062"/>
    <w:rsid w:val="00C041F6"/>
    <w:rsid w:val="00C055F2"/>
    <w:rsid w:val="00C05C36"/>
    <w:rsid w:val="00C05D7F"/>
    <w:rsid w:val="00C06A1A"/>
    <w:rsid w:val="00C074E6"/>
    <w:rsid w:val="00C07EEF"/>
    <w:rsid w:val="00C10840"/>
    <w:rsid w:val="00C108B5"/>
    <w:rsid w:val="00C11181"/>
    <w:rsid w:val="00C117AF"/>
    <w:rsid w:val="00C123C6"/>
    <w:rsid w:val="00C12874"/>
    <w:rsid w:val="00C12DCA"/>
    <w:rsid w:val="00C14630"/>
    <w:rsid w:val="00C16B8E"/>
    <w:rsid w:val="00C1797B"/>
    <w:rsid w:val="00C200D9"/>
    <w:rsid w:val="00C20CDC"/>
    <w:rsid w:val="00C21D7D"/>
    <w:rsid w:val="00C23018"/>
    <w:rsid w:val="00C237C2"/>
    <w:rsid w:val="00C239A2"/>
    <w:rsid w:val="00C24111"/>
    <w:rsid w:val="00C243B5"/>
    <w:rsid w:val="00C24EA7"/>
    <w:rsid w:val="00C24EF1"/>
    <w:rsid w:val="00C264E8"/>
    <w:rsid w:val="00C274CE"/>
    <w:rsid w:val="00C2751E"/>
    <w:rsid w:val="00C27EBB"/>
    <w:rsid w:val="00C308E2"/>
    <w:rsid w:val="00C30A75"/>
    <w:rsid w:val="00C3174A"/>
    <w:rsid w:val="00C31B43"/>
    <w:rsid w:val="00C32678"/>
    <w:rsid w:val="00C330E6"/>
    <w:rsid w:val="00C3314F"/>
    <w:rsid w:val="00C33151"/>
    <w:rsid w:val="00C33535"/>
    <w:rsid w:val="00C34042"/>
    <w:rsid w:val="00C34286"/>
    <w:rsid w:val="00C346C8"/>
    <w:rsid w:val="00C34F43"/>
    <w:rsid w:val="00C359DF"/>
    <w:rsid w:val="00C35B7D"/>
    <w:rsid w:val="00C35BEF"/>
    <w:rsid w:val="00C36253"/>
    <w:rsid w:val="00C36955"/>
    <w:rsid w:val="00C3731E"/>
    <w:rsid w:val="00C40B80"/>
    <w:rsid w:val="00C4103D"/>
    <w:rsid w:val="00C41561"/>
    <w:rsid w:val="00C41888"/>
    <w:rsid w:val="00C43BF0"/>
    <w:rsid w:val="00C4400C"/>
    <w:rsid w:val="00C44E37"/>
    <w:rsid w:val="00C45117"/>
    <w:rsid w:val="00C45424"/>
    <w:rsid w:val="00C45BA8"/>
    <w:rsid w:val="00C45C82"/>
    <w:rsid w:val="00C46489"/>
    <w:rsid w:val="00C467AB"/>
    <w:rsid w:val="00C47E25"/>
    <w:rsid w:val="00C52D2D"/>
    <w:rsid w:val="00C54814"/>
    <w:rsid w:val="00C549F3"/>
    <w:rsid w:val="00C54B98"/>
    <w:rsid w:val="00C54BF4"/>
    <w:rsid w:val="00C555AD"/>
    <w:rsid w:val="00C5663A"/>
    <w:rsid w:val="00C567DB"/>
    <w:rsid w:val="00C56AFA"/>
    <w:rsid w:val="00C56EE7"/>
    <w:rsid w:val="00C601E4"/>
    <w:rsid w:val="00C604C4"/>
    <w:rsid w:val="00C60A1F"/>
    <w:rsid w:val="00C62500"/>
    <w:rsid w:val="00C62AAE"/>
    <w:rsid w:val="00C643D7"/>
    <w:rsid w:val="00C652A6"/>
    <w:rsid w:val="00C6539D"/>
    <w:rsid w:val="00C66435"/>
    <w:rsid w:val="00C669D7"/>
    <w:rsid w:val="00C67A4D"/>
    <w:rsid w:val="00C67E1C"/>
    <w:rsid w:val="00C7137B"/>
    <w:rsid w:val="00C7298E"/>
    <w:rsid w:val="00C72A2F"/>
    <w:rsid w:val="00C72C2D"/>
    <w:rsid w:val="00C73E3A"/>
    <w:rsid w:val="00C743E1"/>
    <w:rsid w:val="00C74BAF"/>
    <w:rsid w:val="00C751FD"/>
    <w:rsid w:val="00C75A2C"/>
    <w:rsid w:val="00C75AF6"/>
    <w:rsid w:val="00C75F26"/>
    <w:rsid w:val="00C76F05"/>
    <w:rsid w:val="00C801CB"/>
    <w:rsid w:val="00C81F34"/>
    <w:rsid w:val="00C8675F"/>
    <w:rsid w:val="00C914A5"/>
    <w:rsid w:val="00C91736"/>
    <w:rsid w:val="00C91CE2"/>
    <w:rsid w:val="00C92307"/>
    <w:rsid w:val="00C93869"/>
    <w:rsid w:val="00C939F6"/>
    <w:rsid w:val="00C9423D"/>
    <w:rsid w:val="00C94C31"/>
    <w:rsid w:val="00C94C4F"/>
    <w:rsid w:val="00C9522D"/>
    <w:rsid w:val="00C9595E"/>
    <w:rsid w:val="00C968DC"/>
    <w:rsid w:val="00C96D6A"/>
    <w:rsid w:val="00CA113C"/>
    <w:rsid w:val="00CA4914"/>
    <w:rsid w:val="00CA49FE"/>
    <w:rsid w:val="00CA50EB"/>
    <w:rsid w:val="00CA6F88"/>
    <w:rsid w:val="00CA750E"/>
    <w:rsid w:val="00CB01BB"/>
    <w:rsid w:val="00CB08AC"/>
    <w:rsid w:val="00CB0D55"/>
    <w:rsid w:val="00CB0E19"/>
    <w:rsid w:val="00CB1A66"/>
    <w:rsid w:val="00CB1B77"/>
    <w:rsid w:val="00CB1D16"/>
    <w:rsid w:val="00CB2FCE"/>
    <w:rsid w:val="00CB3496"/>
    <w:rsid w:val="00CB379D"/>
    <w:rsid w:val="00CB38B4"/>
    <w:rsid w:val="00CB3907"/>
    <w:rsid w:val="00CB3950"/>
    <w:rsid w:val="00CB3C9B"/>
    <w:rsid w:val="00CB4B24"/>
    <w:rsid w:val="00CB4F35"/>
    <w:rsid w:val="00CB527B"/>
    <w:rsid w:val="00CB5293"/>
    <w:rsid w:val="00CB5BBB"/>
    <w:rsid w:val="00CB70C5"/>
    <w:rsid w:val="00CB77CB"/>
    <w:rsid w:val="00CC053F"/>
    <w:rsid w:val="00CC07A9"/>
    <w:rsid w:val="00CC0CB5"/>
    <w:rsid w:val="00CC0D47"/>
    <w:rsid w:val="00CC228A"/>
    <w:rsid w:val="00CC272E"/>
    <w:rsid w:val="00CC2887"/>
    <w:rsid w:val="00CC3571"/>
    <w:rsid w:val="00CC3903"/>
    <w:rsid w:val="00CC3A03"/>
    <w:rsid w:val="00CC5972"/>
    <w:rsid w:val="00CC6327"/>
    <w:rsid w:val="00CC6658"/>
    <w:rsid w:val="00CC7558"/>
    <w:rsid w:val="00CC7A35"/>
    <w:rsid w:val="00CD0521"/>
    <w:rsid w:val="00CD09C9"/>
    <w:rsid w:val="00CD209A"/>
    <w:rsid w:val="00CD2167"/>
    <w:rsid w:val="00CD22DC"/>
    <w:rsid w:val="00CD2561"/>
    <w:rsid w:val="00CD3624"/>
    <w:rsid w:val="00CD3BA0"/>
    <w:rsid w:val="00CD4576"/>
    <w:rsid w:val="00CD5337"/>
    <w:rsid w:val="00CD5D45"/>
    <w:rsid w:val="00CD6858"/>
    <w:rsid w:val="00CD6B50"/>
    <w:rsid w:val="00CD6EF3"/>
    <w:rsid w:val="00CD71A1"/>
    <w:rsid w:val="00CD7B17"/>
    <w:rsid w:val="00CD7B73"/>
    <w:rsid w:val="00CE0992"/>
    <w:rsid w:val="00CE0EA5"/>
    <w:rsid w:val="00CE0F83"/>
    <w:rsid w:val="00CE135F"/>
    <w:rsid w:val="00CE2CC2"/>
    <w:rsid w:val="00CE3CF6"/>
    <w:rsid w:val="00CE4A00"/>
    <w:rsid w:val="00CE4C5F"/>
    <w:rsid w:val="00CE605A"/>
    <w:rsid w:val="00CE621E"/>
    <w:rsid w:val="00CE7568"/>
    <w:rsid w:val="00CE7FE4"/>
    <w:rsid w:val="00CF13EA"/>
    <w:rsid w:val="00CF33AC"/>
    <w:rsid w:val="00CF3651"/>
    <w:rsid w:val="00CF3AFD"/>
    <w:rsid w:val="00CF5190"/>
    <w:rsid w:val="00CF6540"/>
    <w:rsid w:val="00D00B41"/>
    <w:rsid w:val="00D017AB"/>
    <w:rsid w:val="00D01837"/>
    <w:rsid w:val="00D02284"/>
    <w:rsid w:val="00D0252E"/>
    <w:rsid w:val="00D03913"/>
    <w:rsid w:val="00D04914"/>
    <w:rsid w:val="00D04D93"/>
    <w:rsid w:val="00D05145"/>
    <w:rsid w:val="00D05636"/>
    <w:rsid w:val="00D0587D"/>
    <w:rsid w:val="00D07BBD"/>
    <w:rsid w:val="00D11293"/>
    <w:rsid w:val="00D12735"/>
    <w:rsid w:val="00D12DA2"/>
    <w:rsid w:val="00D12E01"/>
    <w:rsid w:val="00D1307F"/>
    <w:rsid w:val="00D13894"/>
    <w:rsid w:val="00D14C1D"/>
    <w:rsid w:val="00D1510A"/>
    <w:rsid w:val="00D15FE2"/>
    <w:rsid w:val="00D1747D"/>
    <w:rsid w:val="00D20081"/>
    <w:rsid w:val="00D203A5"/>
    <w:rsid w:val="00D20525"/>
    <w:rsid w:val="00D224CC"/>
    <w:rsid w:val="00D22C6F"/>
    <w:rsid w:val="00D230AC"/>
    <w:rsid w:val="00D23669"/>
    <w:rsid w:val="00D236ED"/>
    <w:rsid w:val="00D23935"/>
    <w:rsid w:val="00D2400E"/>
    <w:rsid w:val="00D249DE"/>
    <w:rsid w:val="00D24CFC"/>
    <w:rsid w:val="00D253B3"/>
    <w:rsid w:val="00D26138"/>
    <w:rsid w:val="00D278A5"/>
    <w:rsid w:val="00D27A8C"/>
    <w:rsid w:val="00D27FEE"/>
    <w:rsid w:val="00D3080C"/>
    <w:rsid w:val="00D30DFE"/>
    <w:rsid w:val="00D3137F"/>
    <w:rsid w:val="00D31D59"/>
    <w:rsid w:val="00D330BA"/>
    <w:rsid w:val="00D337C0"/>
    <w:rsid w:val="00D33CDF"/>
    <w:rsid w:val="00D33F8A"/>
    <w:rsid w:val="00D34423"/>
    <w:rsid w:val="00D34D8B"/>
    <w:rsid w:val="00D350CB"/>
    <w:rsid w:val="00D408D3"/>
    <w:rsid w:val="00D41CEF"/>
    <w:rsid w:val="00D42DC5"/>
    <w:rsid w:val="00D436B6"/>
    <w:rsid w:val="00D437B8"/>
    <w:rsid w:val="00D43A4E"/>
    <w:rsid w:val="00D44E9C"/>
    <w:rsid w:val="00D44FC3"/>
    <w:rsid w:val="00D4518B"/>
    <w:rsid w:val="00D45E89"/>
    <w:rsid w:val="00D471CE"/>
    <w:rsid w:val="00D47680"/>
    <w:rsid w:val="00D5060D"/>
    <w:rsid w:val="00D51B62"/>
    <w:rsid w:val="00D51DDF"/>
    <w:rsid w:val="00D51F9F"/>
    <w:rsid w:val="00D527F2"/>
    <w:rsid w:val="00D52BEA"/>
    <w:rsid w:val="00D54614"/>
    <w:rsid w:val="00D54E56"/>
    <w:rsid w:val="00D56824"/>
    <w:rsid w:val="00D56986"/>
    <w:rsid w:val="00D56A84"/>
    <w:rsid w:val="00D57651"/>
    <w:rsid w:val="00D610B4"/>
    <w:rsid w:val="00D61153"/>
    <w:rsid w:val="00D61643"/>
    <w:rsid w:val="00D61C1A"/>
    <w:rsid w:val="00D61EC4"/>
    <w:rsid w:val="00D61EEA"/>
    <w:rsid w:val="00D62364"/>
    <w:rsid w:val="00D6239E"/>
    <w:rsid w:val="00D63017"/>
    <w:rsid w:val="00D630BA"/>
    <w:rsid w:val="00D64240"/>
    <w:rsid w:val="00D6430E"/>
    <w:rsid w:val="00D64340"/>
    <w:rsid w:val="00D643E2"/>
    <w:rsid w:val="00D649B6"/>
    <w:rsid w:val="00D65078"/>
    <w:rsid w:val="00D650A1"/>
    <w:rsid w:val="00D65424"/>
    <w:rsid w:val="00D6693E"/>
    <w:rsid w:val="00D66A10"/>
    <w:rsid w:val="00D70BCF"/>
    <w:rsid w:val="00D716B7"/>
    <w:rsid w:val="00D72BF2"/>
    <w:rsid w:val="00D732BB"/>
    <w:rsid w:val="00D73AF6"/>
    <w:rsid w:val="00D7461B"/>
    <w:rsid w:val="00D74669"/>
    <w:rsid w:val="00D74D49"/>
    <w:rsid w:val="00D74F1E"/>
    <w:rsid w:val="00D76490"/>
    <w:rsid w:val="00D771F2"/>
    <w:rsid w:val="00D77B61"/>
    <w:rsid w:val="00D801A4"/>
    <w:rsid w:val="00D815F5"/>
    <w:rsid w:val="00D81F0F"/>
    <w:rsid w:val="00D8367F"/>
    <w:rsid w:val="00D83C9B"/>
    <w:rsid w:val="00D83E9B"/>
    <w:rsid w:val="00D84870"/>
    <w:rsid w:val="00D848AD"/>
    <w:rsid w:val="00D84C1B"/>
    <w:rsid w:val="00D84E65"/>
    <w:rsid w:val="00D852FA"/>
    <w:rsid w:val="00D85630"/>
    <w:rsid w:val="00D85CAD"/>
    <w:rsid w:val="00D86105"/>
    <w:rsid w:val="00D86BCB"/>
    <w:rsid w:val="00D87045"/>
    <w:rsid w:val="00D874E6"/>
    <w:rsid w:val="00D8763F"/>
    <w:rsid w:val="00D87C51"/>
    <w:rsid w:val="00D90356"/>
    <w:rsid w:val="00D92805"/>
    <w:rsid w:val="00D92AAB"/>
    <w:rsid w:val="00D92F31"/>
    <w:rsid w:val="00D937AC"/>
    <w:rsid w:val="00D93B2C"/>
    <w:rsid w:val="00D955A0"/>
    <w:rsid w:val="00D95A00"/>
    <w:rsid w:val="00D95B1D"/>
    <w:rsid w:val="00D95DE1"/>
    <w:rsid w:val="00D961E9"/>
    <w:rsid w:val="00D96F2F"/>
    <w:rsid w:val="00D97D8C"/>
    <w:rsid w:val="00D97DEF"/>
    <w:rsid w:val="00DA057C"/>
    <w:rsid w:val="00DA0801"/>
    <w:rsid w:val="00DA0D12"/>
    <w:rsid w:val="00DA1851"/>
    <w:rsid w:val="00DA185F"/>
    <w:rsid w:val="00DA2541"/>
    <w:rsid w:val="00DA293C"/>
    <w:rsid w:val="00DA2E81"/>
    <w:rsid w:val="00DA3C59"/>
    <w:rsid w:val="00DA4008"/>
    <w:rsid w:val="00DA4B20"/>
    <w:rsid w:val="00DA4D39"/>
    <w:rsid w:val="00DA5C04"/>
    <w:rsid w:val="00DA609B"/>
    <w:rsid w:val="00DA69C2"/>
    <w:rsid w:val="00DA6CA8"/>
    <w:rsid w:val="00DB0145"/>
    <w:rsid w:val="00DB050E"/>
    <w:rsid w:val="00DB05F6"/>
    <w:rsid w:val="00DB10A8"/>
    <w:rsid w:val="00DB1E1F"/>
    <w:rsid w:val="00DB21BD"/>
    <w:rsid w:val="00DB36B5"/>
    <w:rsid w:val="00DB39CC"/>
    <w:rsid w:val="00DB3BBA"/>
    <w:rsid w:val="00DB6FDB"/>
    <w:rsid w:val="00DB7CBD"/>
    <w:rsid w:val="00DC0D0A"/>
    <w:rsid w:val="00DC1095"/>
    <w:rsid w:val="00DC1F11"/>
    <w:rsid w:val="00DC2E19"/>
    <w:rsid w:val="00DC2F55"/>
    <w:rsid w:val="00DC3B7F"/>
    <w:rsid w:val="00DC67BB"/>
    <w:rsid w:val="00DC68AA"/>
    <w:rsid w:val="00DC6A69"/>
    <w:rsid w:val="00DC6ABF"/>
    <w:rsid w:val="00DC7234"/>
    <w:rsid w:val="00DC79E6"/>
    <w:rsid w:val="00DC7C8D"/>
    <w:rsid w:val="00DD004F"/>
    <w:rsid w:val="00DD070D"/>
    <w:rsid w:val="00DD0F3C"/>
    <w:rsid w:val="00DD1352"/>
    <w:rsid w:val="00DD1DB3"/>
    <w:rsid w:val="00DD1E2D"/>
    <w:rsid w:val="00DD2518"/>
    <w:rsid w:val="00DD2E6B"/>
    <w:rsid w:val="00DD3041"/>
    <w:rsid w:val="00DD5A96"/>
    <w:rsid w:val="00DD5E2E"/>
    <w:rsid w:val="00DD64BD"/>
    <w:rsid w:val="00DD7752"/>
    <w:rsid w:val="00DD7B2D"/>
    <w:rsid w:val="00DE0102"/>
    <w:rsid w:val="00DE17A6"/>
    <w:rsid w:val="00DE17D1"/>
    <w:rsid w:val="00DE1C1D"/>
    <w:rsid w:val="00DE2C50"/>
    <w:rsid w:val="00DE2D5E"/>
    <w:rsid w:val="00DE3FCA"/>
    <w:rsid w:val="00DE4637"/>
    <w:rsid w:val="00DE6396"/>
    <w:rsid w:val="00DE690D"/>
    <w:rsid w:val="00DE70BC"/>
    <w:rsid w:val="00DF0036"/>
    <w:rsid w:val="00DF095F"/>
    <w:rsid w:val="00DF1B84"/>
    <w:rsid w:val="00DF20A2"/>
    <w:rsid w:val="00DF2399"/>
    <w:rsid w:val="00DF333C"/>
    <w:rsid w:val="00DF33DB"/>
    <w:rsid w:val="00DF3F7E"/>
    <w:rsid w:val="00DF45CB"/>
    <w:rsid w:val="00DF4FCE"/>
    <w:rsid w:val="00DF5E9E"/>
    <w:rsid w:val="00E0145A"/>
    <w:rsid w:val="00E0180B"/>
    <w:rsid w:val="00E01A00"/>
    <w:rsid w:val="00E02AB4"/>
    <w:rsid w:val="00E02BC9"/>
    <w:rsid w:val="00E03028"/>
    <w:rsid w:val="00E0371D"/>
    <w:rsid w:val="00E03DAD"/>
    <w:rsid w:val="00E04441"/>
    <w:rsid w:val="00E05033"/>
    <w:rsid w:val="00E0690B"/>
    <w:rsid w:val="00E07217"/>
    <w:rsid w:val="00E07320"/>
    <w:rsid w:val="00E078EE"/>
    <w:rsid w:val="00E07F6A"/>
    <w:rsid w:val="00E10597"/>
    <w:rsid w:val="00E10A1D"/>
    <w:rsid w:val="00E11981"/>
    <w:rsid w:val="00E12B7C"/>
    <w:rsid w:val="00E12BB7"/>
    <w:rsid w:val="00E12D44"/>
    <w:rsid w:val="00E13DB0"/>
    <w:rsid w:val="00E145DB"/>
    <w:rsid w:val="00E16055"/>
    <w:rsid w:val="00E16CC4"/>
    <w:rsid w:val="00E17D82"/>
    <w:rsid w:val="00E20377"/>
    <w:rsid w:val="00E20919"/>
    <w:rsid w:val="00E20ADC"/>
    <w:rsid w:val="00E21D3D"/>
    <w:rsid w:val="00E2296F"/>
    <w:rsid w:val="00E24749"/>
    <w:rsid w:val="00E24815"/>
    <w:rsid w:val="00E25BDA"/>
    <w:rsid w:val="00E25F1D"/>
    <w:rsid w:val="00E26001"/>
    <w:rsid w:val="00E269CA"/>
    <w:rsid w:val="00E26BE4"/>
    <w:rsid w:val="00E26E60"/>
    <w:rsid w:val="00E26F81"/>
    <w:rsid w:val="00E30CCF"/>
    <w:rsid w:val="00E32148"/>
    <w:rsid w:val="00E32B64"/>
    <w:rsid w:val="00E34034"/>
    <w:rsid w:val="00E3413E"/>
    <w:rsid w:val="00E34606"/>
    <w:rsid w:val="00E35597"/>
    <w:rsid w:val="00E35E76"/>
    <w:rsid w:val="00E3625E"/>
    <w:rsid w:val="00E369B7"/>
    <w:rsid w:val="00E37E03"/>
    <w:rsid w:val="00E37E6B"/>
    <w:rsid w:val="00E40BC6"/>
    <w:rsid w:val="00E41A21"/>
    <w:rsid w:val="00E41F3D"/>
    <w:rsid w:val="00E42E4C"/>
    <w:rsid w:val="00E4302F"/>
    <w:rsid w:val="00E430E8"/>
    <w:rsid w:val="00E44047"/>
    <w:rsid w:val="00E4559D"/>
    <w:rsid w:val="00E504C3"/>
    <w:rsid w:val="00E5140A"/>
    <w:rsid w:val="00E53912"/>
    <w:rsid w:val="00E53C63"/>
    <w:rsid w:val="00E544B6"/>
    <w:rsid w:val="00E54772"/>
    <w:rsid w:val="00E55238"/>
    <w:rsid w:val="00E55AA9"/>
    <w:rsid w:val="00E5717E"/>
    <w:rsid w:val="00E57702"/>
    <w:rsid w:val="00E57941"/>
    <w:rsid w:val="00E57944"/>
    <w:rsid w:val="00E6032E"/>
    <w:rsid w:val="00E607F3"/>
    <w:rsid w:val="00E6110F"/>
    <w:rsid w:val="00E61993"/>
    <w:rsid w:val="00E61A14"/>
    <w:rsid w:val="00E6354F"/>
    <w:rsid w:val="00E6466E"/>
    <w:rsid w:val="00E64947"/>
    <w:rsid w:val="00E64AE9"/>
    <w:rsid w:val="00E6588C"/>
    <w:rsid w:val="00E661F1"/>
    <w:rsid w:val="00E67641"/>
    <w:rsid w:val="00E70049"/>
    <w:rsid w:val="00E713A9"/>
    <w:rsid w:val="00E71903"/>
    <w:rsid w:val="00E71ADF"/>
    <w:rsid w:val="00E7277C"/>
    <w:rsid w:val="00E72BBD"/>
    <w:rsid w:val="00E72D14"/>
    <w:rsid w:val="00E7340E"/>
    <w:rsid w:val="00E734EB"/>
    <w:rsid w:val="00E738AF"/>
    <w:rsid w:val="00E74D0F"/>
    <w:rsid w:val="00E75716"/>
    <w:rsid w:val="00E75908"/>
    <w:rsid w:val="00E75A2A"/>
    <w:rsid w:val="00E76409"/>
    <w:rsid w:val="00E76E33"/>
    <w:rsid w:val="00E774D7"/>
    <w:rsid w:val="00E77B4B"/>
    <w:rsid w:val="00E8091E"/>
    <w:rsid w:val="00E809E4"/>
    <w:rsid w:val="00E80FE6"/>
    <w:rsid w:val="00E82382"/>
    <w:rsid w:val="00E83401"/>
    <w:rsid w:val="00E83A77"/>
    <w:rsid w:val="00E83C2B"/>
    <w:rsid w:val="00E852AA"/>
    <w:rsid w:val="00E868B4"/>
    <w:rsid w:val="00E86B14"/>
    <w:rsid w:val="00E87F38"/>
    <w:rsid w:val="00E910F4"/>
    <w:rsid w:val="00E91622"/>
    <w:rsid w:val="00E91C90"/>
    <w:rsid w:val="00E92CF8"/>
    <w:rsid w:val="00E933A9"/>
    <w:rsid w:val="00E93719"/>
    <w:rsid w:val="00E93B32"/>
    <w:rsid w:val="00E943A5"/>
    <w:rsid w:val="00E9487C"/>
    <w:rsid w:val="00E9508A"/>
    <w:rsid w:val="00E95901"/>
    <w:rsid w:val="00E95A8A"/>
    <w:rsid w:val="00E96339"/>
    <w:rsid w:val="00E9694C"/>
    <w:rsid w:val="00E970AF"/>
    <w:rsid w:val="00E97A39"/>
    <w:rsid w:val="00E97EF0"/>
    <w:rsid w:val="00EA04FF"/>
    <w:rsid w:val="00EA086A"/>
    <w:rsid w:val="00EA120A"/>
    <w:rsid w:val="00EA15D5"/>
    <w:rsid w:val="00EA301B"/>
    <w:rsid w:val="00EA35FB"/>
    <w:rsid w:val="00EA4033"/>
    <w:rsid w:val="00EA419B"/>
    <w:rsid w:val="00EA4564"/>
    <w:rsid w:val="00EA4A4A"/>
    <w:rsid w:val="00EA4DFD"/>
    <w:rsid w:val="00EA5F99"/>
    <w:rsid w:val="00EA6C6C"/>
    <w:rsid w:val="00EA6F98"/>
    <w:rsid w:val="00EB04C0"/>
    <w:rsid w:val="00EB1464"/>
    <w:rsid w:val="00EB15F0"/>
    <w:rsid w:val="00EB16D1"/>
    <w:rsid w:val="00EB20FB"/>
    <w:rsid w:val="00EB369F"/>
    <w:rsid w:val="00EB398C"/>
    <w:rsid w:val="00EB4E9B"/>
    <w:rsid w:val="00EB506F"/>
    <w:rsid w:val="00EB5D51"/>
    <w:rsid w:val="00EB5DBC"/>
    <w:rsid w:val="00EB6A1C"/>
    <w:rsid w:val="00EB6ADA"/>
    <w:rsid w:val="00EB7606"/>
    <w:rsid w:val="00EB7C74"/>
    <w:rsid w:val="00EB7C7C"/>
    <w:rsid w:val="00EC0B68"/>
    <w:rsid w:val="00EC0C63"/>
    <w:rsid w:val="00EC1648"/>
    <w:rsid w:val="00EC295A"/>
    <w:rsid w:val="00EC3A0E"/>
    <w:rsid w:val="00EC3CEB"/>
    <w:rsid w:val="00EC4C4B"/>
    <w:rsid w:val="00EC5DCE"/>
    <w:rsid w:val="00EC6C00"/>
    <w:rsid w:val="00EC7371"/>
    <w:rsid w:val="00EC73B6"/>
    <w:rsid w:val="00ED093B"/>
    <w:rsid w:val="00ED13C5"/>
    <w:rsid w:val="00ED14EC"/>
    <w:rsid w:val="00ED1A3D"/>
    <w:rsid w:val="00ED1B21"/>
    <w:rsid w:val="00ED2A04"/>
    <w:rsid w:val="00ED2F2A"/>
    <w:rsid w:val="00ED2F2D"/>
    <w:rsid w:val="00ED3190"/>
    <w:rsid w:val="00ED3BEA"/>
    <w:rsid w:val="00ED43E4"/>
    <w:rsid w:val="00ED493B"/>
    <w:rsid w:val="00ED4EBC"/>
    <w:rsid w:val="00ED5CA7"/>
    <w:rsid w:val="00ED6B56"/>
    <w:rsid w:val="00ED7A97"/>
    <w:rsid w:val="00EE0316"/>
    <w:rsid w:val="00EE04B2"/>
    <w:rsid w:val="00EE0C39"/>
    <w:rsid w:val="00EE132E"/>
    <w:rsid w:val="00EE25E3"/>
    <w:rsid w:val="00EE2696"/>
    <w:rsid w:val="00EE2773"/>
    <w:rsid w:val="00EE2F24"/>
    <w:rsid w:val="00EE3344"/>
    <w:rsid w:val="00EE37D9"/>
    <w:rsid w:val="00EE4050"/>
    <w:rsid w:val="00EE46B2"/>
    <w:rsid w:val="00EE5C6E"/>
    <w:rsid w:val="00EE6C39"/>
    <w:rsid w:val="00EF0D4D"/>
    <w:rsid w:val="00EF0E74"/>
    <w:rsid w:val="00EF1D36"/>
    <w:rsid w:val="00EF1DA4"/>
    <w:rsid w:val="00EF2214"/>
    <w:rsid w:val="00EF2615"/>
    <w:rsid w:val="00EF2812"/>
    <w:rsid w:val="00EF2D36"/>
    <w:rsid w:val="00EF3174"/>
    <w:rsid w:val="00EF33C6"/>
    <w:rsid w:val="00EF365D"/>
    <w:rsid w:val="00EF3A3D"/>
    <w:rsid w:val="00EF48C1"/>
    <w:rsid w:val="00EF4ACC"/>
    <w:rsid w:val="00EF5A1A"/>
    <w:rsid w:val="00EF5D15"/>
    <w:rsid w:val="00EF6018"/>
    <w:rsid w:val="00EF62A8"/>
    <w:rsid w:val="00EF6E33"/>
    <w:rsid w:val="00EF6F6F"/>
    <w:rsid w:val="00EF7549"/>
    <w:rsid w:val="00EF7B57"/>
    <w:rsid w:val="00F00041"/>
    <w:rsid w:val="00F00574"/>
    <w:rsid w:val="00F022A7"/>
    <w:rsid w:val="00F024A8"/>
    <w:rsid w:val="00F02868"/>
    <w:rsid w:val="00F02949"/>
    <w:rsid w:val="00F041DF"/>
    <w:rsid w:val="00F04586"/>
    <w:rsid w:val="00F04C3D"/>
    <w:rsid w:val="00F07369"/>
    <w:rsid w:val="00F107F4"/>
    <w:rsid w:val="00F10A7A"/>
    <w:rsid w:val="00F116DC"/>
    <w:rsid w:val="00F141D8"/>
    <w:rsid w:val="00F14EC8"/>
    <w:rsid w:val="00F15D55"/>
    <w:rsid w:val="00F16913"/>
    <w:rsid w:val="00F16ACD"/>
    <w:rsid w:val="00F16F43"/>
    <w:rsid w:val="00F17220"/>
    <w:rsid w:val="00F17F3F"/>
    <w:rsid w:val="00F2035E"/>
    <w:rsid w:val="00F20CF3"/>
    <w:rsid w:val="00F20D6E"/>
    <w:rsid w:val="00F21055"/>
    <w:rsid w:val="00F21A32"/>
    <w:rsid w:val="00F222B2"/>
    <w:rsid w:val="00F233B8"/>
    <w:rsid w:val="00F23B40"/>
    <w:rsid w:val="00F2405B"/>
    <w:rsid w:val="00F242CE"/>
    <w:rsid w:val="00F24E19"/>
    <w:rsid w:val="00F256BC"/>
    <w:rsid w:val="00F25A79"/>
    <w:rsid w:val="00F266CD"/>
    <w:rsid w:val="00F268F9"/>
    <w:rsid w:val="00F26B37"/>
    <w:rsid w:val="00F27A4A"/>
    <w:rsid w:val="00F27B7D"/>
    <w:rsid w:val="00F27F8C"/>
    <w:rsid w:val="00F30FCE"/>
    <w:rsid w:val="00F311B4"/>
    <w:rsid w:val="00F31A0C"/>
    <w:rsid w:val="00F32030"/>
    <w:rsid w:val="00F322AC"/>
    <w:rsid w:val="00F32F06"/>
    <w:rsid w:val="00F3350E"/>
    <w:rsid w:val="00F33538"/>
    <w:rsid w:val="00F33FB2"/>
    <w:rsid w:val="00F34CC6"/>
    <w:rsid w:val="00F35854"/>
    <w:rsid w:val="00F35C21"/>
    <w:rsid w:val="00F36D57"/>
    <w:rsid w:val="00F40620"/>
    <w:rsid w:val="00F40A50"/>
    <w:rsid w:val="00F40AF1"/>
    <w:rsid w:val="00F40B84"/>
    <w:rsid w:val="00F43874"/>
    <w:rsid w:val="00F43A50"/>
    <w:rsid w:val="00F43AA5"/>
    <w:rsid w:val="00F43E41"/>
    <w:rsid w:val="00F44CDA"/>
    <w:rsid w:val="00F45B09"/>
    <w:rsid w:val="00F46275"/>
    <w:rsid w:val="00F465E0"/>
    <w:rsid w:val="00F4762F"/>
    <w:rsid w:val="00F50112"/>
    <w:rsid w:val="00F50FB9"/>
    <w:rsid w:val="00F51665"/>
    <w:rsid w:val="00F51D5C"/>
    <w:rsid w:val="00F51FD2"/>
    <w:rsid w:val="00F5387F"/>
    <w:rsid w:val="00F5597D"/>
    <w:rsid w:val="00F56071"/>
    <w:rsid w:val="00F561B6"/>
    <w:rsid w:val="00F6026B"/>
    <w:rsid w:val="00F6072E"/>
    <w:rsid w:val="00F60DA2"/>
    <w:rsid w:val="00F61413"/>
    <w:rsid w:val="00F61ED1"/>
    <w:rsid w:val="00F62E45"/>
    <w:rsid w:val="00F63F91"/>
    <w:rsid w:val="00F64885"/>
    <w:rsid w:val="00F64E72"/>
    <w:rsid w:val="00F65007"/>
    <w:rsid w:val="00F659B4"/>
    <w:rsid w:val="00F659D2"/>
    <w:rsid w:val="00F65B3F"/>
    <w:rsid w:val="00F65FCC"/>
    <w:rsid w:val="00F66225"/>
    <w:rsid w:val="00F66334"/>
    <w:rsid w:val="00F6666B"/>
    <w:rsid w:val="00F666E5"/>
    <w:rsid w:val="00F700F0"/>
    <w:rsid w:val="00F70209"/>
    <w:rsid w:val="00F70574"/>
    <w:rsid w:val="00F71929"/>
    <w:rsid w:val="00F71A2A"/>
    <w:rsid w:val="00F71E91"/>
    <w:rsid w:val="00F72443"/>
    <w:rsid w:val="00F729CD"/>
    <w:rsid w:val="00F72CA4"/>
    <w:rsid w:val="00F73445"/>
    <w:rsid w:val="00F73825"/>
    <w:rsid w:val="00F73913"/>
    <w:rsid w:val="00F73A6A"/>
    <w:rsid w:val="00F73E73"/>
    <w:rsid w:val="00F74166"/>
    <w:rsid w:val="00F7441A"/>
    <w:rsid w:val="00F75873"/>
    <w:rsid w:val="00F76F7C"/>
    <w:rsid w:val="00F80A50"/>
    <w:rsid w:val="00F80A89"/>
    <w:rsid w:val="00F82054"/>
    <w:rsid w:val="00F822C0"/>
    <w:rsid w:val="00F8252B"/>
    <w:rsid w:val="00F8300A"/>
    <w:rsid w:val="00F83428"/>
    <w:rsid w:val="00F835D6"/>
    <w:rsid w:val="00F84064"/>
    <w:rsid w:val="00F841DB"/>
    <w:rsid w:val="00F85E67"/>
    <w:rsid w:val="00F86011"/>
    <w:rsid w:val="00F861F6"/>
    <w:rsid w:val="00F8656B"/>
    <w:rsid w:val="00F87590"/>
    <w:rsid w:val="00F87694"/>
    <w:rsid w:val="00F8787E"/>
    <w:rsid w:val="00F87C8A"/>
    <w:rsid w:val="00F90678"/>
    <w:rsid w:val="00F916EB"/>
    <w:rsid w:val="00F9253E"/>
    <w:rsid w:val="00F92D40"/>
    <w:rsid w:val="00F93195"/>
    <w:rsid w:val="00F933C2"/>
    <w:rsid w:val="00F93F7D"/>
    <w:rsid w:val="00F94104"/>
    <w:rsid w:val="00F9427E"/>
    <w:rsid w:val="00F94E7D"/>
    <w:rsid w:val="00F9537E"/>
    <w:rsid w:val="00F95B5F"/>
    <w:rsid w:val="00F95F82"/>
    <w:rsid w:val="00F96180"/>
    <w:rsid w:val="00F969B8"/>
    <w:rsid w:val="00F97851"/>
    <w:rsid w:val="00F97A16"/>
    <w:rsid w:val="00FA0D66"/>
    <w:rsid w:val="00FA160F"/>
    <w:rsid w:val="00FA1E6F"/>
    <w:rsid w:val="00FA2263"/>
    <w:rsid w:val="00FA2979"/>
    <w:rsid w:val="00FA2A52"/>
    <w:rsid w:val="00FA2DCD"/>
    <w:rsid w:val="00FA2E58"/>
    <w:rsid w:val="00FA3525"/>
    <w:rsid w:val="00FA3628"/>
    <w:rsid w:val="00FA39A5"/>
    <w:rsid w:val="00FA494E"/>
    <w:rsid w:val="00FA4D26"/>
    <w:rsid w:val="00FA519D"/>
    <w:rsid w:val="00FA6387"/>
    <w:rsid w:val="00FA6B61"/>
    <w:rsid w:val="00FA7016"/>
    <w:rsid w:val="00FA7019"/>
    <w:rsid w:val="00FA740E"/>
    <w:rsid w:val="00FA75DC"/>
    <w:rsid w:val="00FA78A0"/>
    <w:rsid w:val="00FB0B51"/>
    <w:rsid w:val="00FB0C7C"/>
    <w:rsid w:val="00FB3045"/>
    <w:rsid w:val="00FB3471"/>
    <w:rsid w:val="00FB39E2"/>
    <w:rsid w:val="00FB4398"/>
    <w:rsid w:val="00FB4B89"/>
    <w:rsid w:val="00FB4EA6"/>
    <w:rsid w:val="00FB58EB"/>
    <w:rsid w:val="00FB5CBB"/>
    <w:rsid w:val="00FB67AB"/>
    <w:rsid w:val="00FC0DCA"/>
    <w:rsid w:val="00FC102D"/>
    <w:rsid w:val="00FC15FB"/>
    <w:rsid w:val="00FC1834"/>
    <w:rsid w:val="00FC19DA"/>
    <w:rsid w:val="00FC1EDE"/>
    <w:rsid w:val="00FC47A5"/>
    <w:rsid w:val="00FC4DFF"/>
    <w:rsid w:val="00FC5A22"/>
    <w:rsid w:val="00FC6DFF"/>
    <w:rsid w:val="00FC7B74"/>
    <w:rsid w:val="00FC7F48"/>
    <w:rsid w:val="00FD2D30"/>
    <w:rsid w:val="00FD3CE1"/>
    <w:rsid w:val="00FD4340"/>
    <w:rsid w:val="00FD4BDC"/>
    <w:rsid w:val="00FD636B"/>
    <w:rsid w:val="00FD76ED"/>
    <w:rsid w:val="00FD7ED5"/>
    <w:rsid w:val="00FE0BD2"/>
    <w:rsid w:val="00FE0D1C"/>
    <w:rsid w:val="00FE0FAE"/>
    <w:rsid w:val="00FE1106"/>
    <w:rsid w:val="00FE1DCE"/>
    <w:rsid w:val="00FE3B3C"/>
    <w:rsid w:val="00FE3E26"/>
    <w:rsid w:val="00FE4BF0"/>
    <w:rsid w:val="00FE55AC"/>
    <w:rsid w:val="00FE661D"/>
    <w:rsid w:val="00FE6C97"/>
    <w:rsid w:val="00FE6FC5"/>
    <w:rsid w:val="00FE7318"/>
    <w:rsid w:val="00FE765E"/>
    <w:rsid w:val="00FF0187"/>
    <w:rsid w:val="00FF075D"/>
    <w:rsid w:val="00FF1009"/>
    <w:rsid w:val="00FF3280"/>
    <w:rsid w:val="00FF38FE"/>
    <w:rsid w:val="00FF57C5"/>
    <w:rsid w:val="00FF5A20"/>
    <w:rsid w:val="00FF5FF5"/>
    <w:rsid w:val="00FF623A"/>
    <w:rsid w:val="00FF6D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A7049"/>
  <w15:chartTrackingRefBased/>
  <w15:docId w15:val="{8A8C9739-7818-41BE-9799-854FCE3C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DAE"/>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712DAE"/>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712DAE"/>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semiHidden/>
    <w:unhideWhenUsed/>
    <w:qFormat/>
    <w:rsid w:val="00CB1D16"/>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B1D16"/>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B1D16"/>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B1D16"/>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B1D16"/>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B1D16"/>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DAE"/>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uiPriority w:val="9"/>
    <w:rsid w:val="00712DAE"/>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Heading3Char">
    <w:name w:val="Heading 3 Char"/>
    <w:basedOn w:val="DefaultParagraphFont"/>
    <w:link w:val="Heading3"/>
    <w:uiPriority w:val="9"/>
    <w:rsid w:val="00712DAE"/>
    <w:rPr>
      <w:rFonts w:asciiTheme="majorHAnsi" w:eastAsiaTheme="majorEastAsia" w:hAnsiTheme="majorHAnsi" w:cstheme="majorBidi"/>
      <w:color w:val="1F3763" w:themeColor="accent1" w:themeShade="7F"/>
      <w:kern w:val="0"/>
      <w:sz w:val="24"/>
      <w:szCs w:val="24"/>
      <w:lang w:val="en-GB"/>
      <w14:ligatures w14:val="none"/>
    </w:rPr>
  </w:style>
  <w:style w:type="paragraph" w:styleId="ListParagraph">
    <w:name w:val="List Paragraph"/>
    <w:basedOn w:val="Normal"/>
    <w:uiPriority w:val="34"/>
    <w:qFormat/>
    <w:rsid w:val="00712DAE"/>
    <w:pPr>
      <w:ind w:left="720"/>
      <w:contextualSpacing/>
    </w:pPr>
  </w:style>
  <w:style w:type="table" w:styleId="TableGrid">
    <w:name w:val="Table Grid"/>
    <w:basedOn w:val="TableNormal"/>
    <w:uiPriority w:val="39"/>
    <w:rsid w:val="00712D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2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DAE"/>
    <w:rPr>
      <w:lang w:val="en-GB"/>
    </w:rPr>
  </w:style>
  <w:style w:type="paragraph" w:styleId="Footer">
    <w:name w:val="footer"/>
    <w:basedOn w:val="Normal"/>
    <w:link w:val="FooterChar"/>
    <w:uiPriority w:val="99"/>
    <w:unhideWhenUsed/>
    <w:qFormat/>
    <w:rsid w:val="00712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DAE"/>
    <w:rPr>
      <w:lang w:val="en-GB"/>
    </w:rPr>
  </w:style>
  <w:style w:type="numbering" w:customStyle="1" w:styleId="NoList1">
    <w:name w:val="No List1"/>
    <w:next w:val="NoList"/>
    <w:uiPriority w:val="99"/>
    <w:semiHidden/>
    <w:unhideWhenUsed/>
    <w:rsid w:val="00712DAE"/>
  </w:style>
  <w:style w:type="character" w:styleId="PlaceholderText">
    <w:name w:val="Placeholder Text"/>
    <w:basedOn w:val="DefaultParagraphFont"/>
    <w:uiPriority w:val="99"/>
    <w:semiHidden/>
    <w:rsid w:val="00712DAE"/>
    <w:rPr>
      <w:color w:val="808080"/>
    </w:rPr>
  </w:style>
  <w:style w:type="paragraph" w:styleId="FootnoteText">
    <w:name w:val="footnote text"/>
    <w:basedOn w:val="Normal"/>
    <w:link w:val="FootnoteTextChar"/>
    <w:uiPriority w:val="9"/>
    <w:unhideWhenUsed/>
    <w:qFormat/>
    <w:rsid w:val="00712DAE"/>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712DAE"/>
    <w:rPr>
      <w:kern w:val="0"/>
      <w:sz w:val="20"/>
      <w:szCs w:val="20"/>
      <w:lang w:val="en-GB"/>
      <w14:ligatures w14:val="none"/>
    </w:rPr>
  </w:style>
  <w:style w:type="character" w:styleId="FootnoteReference">
    <w:name w:val="footnote reference"/>
    <w:basedOn w:val="DefaultParagraphFont"/>
    <w:unhideWhenUsed/>
    <w:rsid w:val="00712DAE"/>
    <w:rPr>
      <w:vertAlign w:val="superscript"/>
    </w:rPr>
  </w:style>
  <w:style w:type="character" w:styleId="Hyperlink">
    <w:name w:val="Hyperlink"/>
    <w:basedOn w:val="DefaultParagraphFont"/>
    <w:unhideWhenUsed/>
    <w:rsid w:val="00712DAE"/>
    <w:rPr>
      <w:color w:val="0000FF"/>
      <w:u w:val="single"/>
    </w:rPr>
  </w:style>
  <w:style w:type="character" w:styleId="Emphasis">
    <w:name w:val="Emphasis"/>
    <w:basedOn w:val="DefaultParagraphFont"/>
    <w:uiPriority w:val="20"/>
    <w:qFormat/>
    <w:rsid w:val="00712DAE"/>
    <w:rPr>
      <w:i/>
      <w:iCs/>
    </w:rPr>
  </w:style>
  <w:style w:type="paragraph" w:styleId="Title">
    <w:name w:val="Title"/>
    <w:basedOn w:val="Normal"/>
    <w:next w:val="Normal"/>
    <w:link w:val="TitleChar"/>
    <w:uiPriority w:val="10"/>
    <w:qFormat/>
    <w:rsid w:val="00712DAE"/>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712DAE"/>
    <w:rPr>
      <w:rFonts w:asciiTheme="majorHAnsi" w:eastAsiaTheme="majorEastAsia" w:hAnsiTheme="majorHAnsi" w:cstheme="majorBidi"/>
      <w:spacing w:val="-10"/>
      <w:kern w:val="28"/>
      <w:sz w:val="56"/>
      <w:szCs w:val="56"/>
      <w:lang w:val="en-GB"/>
      <w14:ligatures w14:val="none"/>
    </w:rPr>
  </w:style>
  <w:style w:type="paragraph" w:styleId="TOCHeading">
    <w:name w:val="TOC Heading"/>
    <w:basedOn w:val="Heading1"/>
    <w:next w:val="Normal"/>
    <w:uiPriority w:val="39"/>
    <w:unhideWhenUsed/>
    <w:qFormat/>
    <w:rsid w:val="00712DAE"/>
    <w:pPr>
      <w:outlineLvl w:val="9"/>
    </w:pPr>
    <w:rPr>
      <w:lang w:val="en-US"/>
    </w:rPr>
  </w:style>
  <w:style w:type="paragraph" w:styleId="TOC2">
    <w:name w:val="toc 2"/>
    <w:basedOn w:val="Normal"/>
    <w:next w:val="Normal"/>
    <w:autoRedefine/>
    <w:uiPriority w:val="39"/>
    <w:unhideWhenUsed/>
    <w:rsid w:val="00712DAE"/>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712DAE"/>
    <w:pPr>
      <w:tabs>
        <w:tab w:val="right" w:leader="dot" w:pos="9016"/>
      </w:tabs>
      <w:spacing w:after="100"/>
    </w:pPr>
    <w:rPr>
      <w:rFonts w:ascii="Times New Roman" w:eastAsiaTheme="minorEastAsia" w:hAnsi="Times New Roman" w:cs="Times New Roman"/>
      <w:noProof/>
      <w:kern w:val="0"/>
      <w:sz w:val="24"/>
      <w:szCs w:val="24"/>
      <w:lang w:val="en-US"/>
      <w14:ligatures w14:val="none"/>
    </w:rPr>
  </w:style>
  <w:style w:type="paragraph" w:styleId="TOC3">
    <w:name w:val="toc 3"/>
    <w:basedOn w:val="Normal"/>
    <w:next w:val="Normal"/>
    <w:autoRedefine/>
    <w:uiPriority w:val="39"/>
    <w:unhideWhenUsed/>
    <w:rsid w:val="00712DAE"/>
    <w:pPr>
      <w:spacing w:after="100"/>
      <w:ind w:left="440"/>
    </w:pPr>
    <w:rPr>
      <w:rFonts w:eastAsiaTheme="minorEastAsia" w:cs="Times New Roman"/>
      <w:kern w:val="0"/>
      <w:lang w:val="en-US"/>
      <w14:ligatures w14:val="none"/>
    </w:rPr>
  </w:style>
  <w:style w:type="character" w:styleId="UnresolvedMention">
    <w:name w:val="Unresolved Mention"/>
    <w:basedOn w:val="DefaultParagraphFont"/>
    <w:uiPriority w:val="99"/>
    <w:semiHidden/>
    <w:unhideWhenUsed/>
    <w:rsid w:val="00712DAE"/>
    <w:rPr>
      <w:color w:val="605E5C"/>
      <w:shd w:val="clear" w:color="auto" w:fill="E1DFDD"/>
    </w:rPr>
  </w:style>
  <w:style w:type="character" w:styleId="FollowedHyperlink">
    <w:name w:val="FollowedHyperlink"/>
    <w:basedOn w:val="DefaultParagraphFont"/>
    <w:uiPriority w:val="99"/>
    <w:semiHidden/>
    <w:unhideWhenUsed/>
    <w:rsid w:val="00712DAE"/>
    <w:rPr>
      <w:color w:val="954F72" w:themeColor="followedHyperlink"/>
      <w:u w:val="single"/>
    </w:rPr>
  </w:style>
  <w:style w:type="paragraph" w:styleId="Caption">
    <w:name w:val="caption"/>
    <w:basedOn w:val="Normal"/>
    <w:next w:val="Normal"/>
    <w:link w:val="CaptionChar"/>
    <w:unhideWhenUsed/>
    <w:qFormat/>
    <w:rsid w:val="00712DAE"/>
    <w:pPr>
      <w:spacing w:after="200" w:line="240" w:lineRule="auto"/>
    </w:pPr>
    <w:rPr>
      <w:i/>
      <w:iCs/>
      <w:color w:val="44546A" w:themeColor="text2"/>
      <w:kern w:val="0"/>
      <w:sz w:val="18"/>
      <w:szCs w:val="18"/>
      <w14:ligatures w14:val="none"/>
    </w:rPr>
  </w:style>
  <w:style w:type="paragraph" w:styleId="NoSpacing">
    <w:name w:val="No Spacing"/>
    <w:link w:val="NoSpacingChar"/>
    <w:uiPriority w:val="1"/>
    <w:qFormat/>
    <w:rsid w:val="00712DAE"/>
    <w:pPr>
      <w:spacing w:after="0" w:line="240" w:lineRule="auto"/>
    </w:pPr>
    <w:rPr>
      <w:kern w:val="0"/>
      <w14:ligatures w14:val="none"/>
    </w:rPr>
  </w:style>
  <w:style w:type="paragraph" w:styleId="NormalIndent">
    <w:name w:val="Normal Indent"/>
    <w:basedOn w:val="Normal"/>
    <w:uiPriority w:val="99"/>
    <w:unhideWhenUsed/>
    <w:rsid w:val="00712DAE"/>
    <w:pPr>
      <w:ind w:left="720"/>
    </w:pPr>
    <w:rPr>
      <w:kern w:val="0"/>
      <w14:ligatures w14:val="none"/>
    </w:rPr>
  </w:style>
  <w:style w:type="paragraph" w:styleId="BalloonText">
    <w:name w:val="Balloon Text"/>
    <w:basedOn w:val="Normal"/>
    <w:link w:val="BalloonTextChar"/>
    <w:uiPriority w:val="99"/>
    <w:semiHidden/>
    <w:unhideWhenUsed/>
    <w:rsid w:val="00712DAE"/>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12DAE"/>
    <w:rPr>
      <w:rFonts w:ascii="Segoe UI" w:hAnsi="Segoe UI" w:cs="Segoe UI"/>
      <w:kern w:val="0"/>
      <w:sz w:val="18"/>
      <w:szCs w:val="18"/>
      <w:lang w:val="en-GB"/>
      <w14:ligatures w14:val="none"/>
    </w:rPr>
  </w:style>
  <w:style w:type="character" w:styleId="CommentReference">
    <w:name w:val="annotation reference"/>
    <w:basedOn w:val="DefaultParagraphFont"/>
    <w:uiPriority w:val="99"/>
    <w:semiHidden/>
    <w:unhideWhenUsed/>
    <w:rsid w:val="00712DAE"/>
    <w:rPr>
      <w:sz w:val="16"/>
      <w:szCs w:val="16"/>
    </w:rPr>
  </w:style>
  <w:style w:type="paragraph" w:styleId="CommentText">
    <w:name w:val="annotation text"/>
    <w:basedOn w:val="Normal"/>
    <w:link w:val="CommentTextChar"/>
    <w:uiPriority w:val="99"/>
    <w:unhideWhenUsed/>
    <w:rsid w:val="00712DAE"/>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12DAE"/>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12DAE"/>
    <w:rPr>
      <w:b/>
      <w:bCs/>
    </w:rPr>
  </w:style>
  <w:style w:type="character" w:customStyle="1" w:styleId="CommentSubjectChar">
    <w:name w:val="Comment Subject Char"/>
    <w:basedOn w:val="CommentTextChar"/>
    <w:link w:val="CommentSubject"/>
    <w:uiPriority w:val="99"/>
    <w:semiHidden/>
    <w:rsid w:val="00712DAE"/>
    <w:rPr>
      <w:b/>
      <w:bCs/>
      <w:kern w:val="0"/>
      <w:sz w:val="20"/>
      <w:szCs w:val="20"/>
      <w:lang w:val="en-GB"/>
      <w14:ligatures w14:val="none"/>
    </w:rPr>
  </w:style>
  <w:style w:type="paragraph" w:styleId="Revision">
    <w:name w:val="Revision"/>
    <w:hidden/>
    <w:uiPriority w:val="99"/>
    <w:semiHidden/>
    <w:rsid w:val="00712DAE"/>
    <w:pPr>
      <w:spacing w:after="0" w:line="240" w:lineRule="auto"/>
    </w:pPr>
    <w:rPr>
      <w:kern w:val="0"/>
      <w14:ligatures w14:val="none"/>
    </w:rPr>
  </w:style>
  <w:style w:type="character" w:customStyle="1" w:styleId="NoSpacingChar">
    <w:name w:val="No Spacing Char"/>
    <w:basedOn w:val="DefaultParagraphFont"/>
    <w:link w:val="NoSpacing"/>
    <w:uiPriority w:val="1"/>
    <w:rsid w:val="00712DAE"/>
    <w:rPr>
      <w:kern w:val="0"/>
      <w:lang w:val="en-GB"/>
      <w14:ligatures w14:val="none"/>
    </w:rPr>
  </w:style>
  <w:style w:type="paragraph" w:styleId="EndnoteText">
    <w:name w:val="endnote text"/>
    <w:basedOn w:val="Normal"/>
    <w:link w:val="EndnoteTextChar"/>
    <w:uiPriority w:val="99"/>
    <w:semiHidden/>
    <w:unhideWhenUsed/>
    <w:rsid w:val="00712D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2DAE"/>
    <w:rPr>
      <w:sz w:val="20"/>
      <w:szCs w:val="20"/>
      <w:lang w:val="en-GB"/>
    </w:rPr>
  </w:style>
  <w:style w:type="character" w:styleId="EndnoteReference">
    <w:name w:val="endnote reference"/>
    <w:basedOn w:val="DefaultParagraphFont"/>
    <w:uiPriority w:val="99"/>
    <w:semiHidden/>
    <w:unhideWhenUsed/>
    <w:rsid w:val="00712DAE"/>
    <w:rPr>
      <w:vertAlign w:val="superscript"/>
    </w:rPr>
  </w:style>
  <w:style w:type="table" w:customStyle="1" w:styleId="TableGrid1">
    <w:name w:val="Table Grid1"/>
    <w:basedOn w:val="TableNormal"/>
    <w:next w:val="TableGrid"/>
    <w:uiPriority w:val="39"/>
    <w:rsid w:val="00712DAE"/>
    <w:pPr>
      <w:spacing w:after="0" w:line="240" w:lineRule="auto"/>
      <w:ind w:firstLine="0"/>
      <w:jc w:val="left"/>
    </w:pPr>
    <w:rPr>
      <w:rFonts w:eastAsiaTheme="minorEastAsia"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12DAE"/>
    <w:pPr>
      <w:spacing w:after="0" w:line="240" w:lineRule="auto"/>
      <w:ind w:firstLine="0"/>
      <w:jc w:val="left"/>
    </w:pPr>
    <w:rPr>
      <w:rFonts w:eastAsiaTheme="minorEastAsia"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3E3A"/>
    <w:pPr>
      <w:spacing w:after="0" w:line="240" w:lineRule="auto"/>
      <w:ind w:firstLine="0"/>
      <w:jc w:val="left"/>
    </w:pPr>
    <w:rPr>
      <w:rFonts w:eastAsiaTheme="minorEastAsia"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C7010"/>
    <w:rPr>
      <w:b/>
      <w:bCs/>
    </w:rPr>
  </w:style>
  <w:style w:type="paragraph" w:styleId="NormalWeb">
    <w:name w:val="Normal (Web)"/>
    <w:basedOn w:val="Normal"/>
    <w:uiPriority w:val="99"/>
    <w:unhideWhenUsed/>
    <w:rsid w:val="00D20081"/>
    <w:rPr>
      <w:rFonts w:ascii="Times New Roman" w:hAnsi="Times New Roman" w:cs="Times New Roman"/>
      <w:sz w:val="24"/>
      <w:szCs w:val="24"/>
    </w:rPr>
  </w:style>
  <w:style w:type="table" w:styleId="PlainTable3">
    <w:name w:val="Plain Table 3"/>
    <w:basedOn w:val="TableNormal"/>
    <w:uiPriority w:val="43"/>
    <w:rsid w:val="00770DD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4">
    <w:name w:val="Table Grid4"/>
    <w:basedOn w:val="TableNormal"/>
    <w:next w:val="TableGrid"/>
    <w:uiPriority w:val="59"/>
    <w:rsid w:val="004350C7"/>
    <w:pPr>
      <w:spacing w:after="0" w:line="240" w:lineRule="auto"/>
      <w:ind w:firstLine="0"/>
      <w:jc w:val="left"/>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BodyText"/>
    <w:uiPriority w:val="9"/>
    <w:semiHidden/>
    <w:unhideWhenUsed/>
    <w:qFormat/>
    <w:rsid w:val="00CB1D16"/>
    <w:pPr>
      <w:keepNext/>
      <w:keepLines/>
      <w:spacing w:before="80" w:after="40" w:line="240" w:lineRule="auto"/>
      <w:ind w:firstLine="0"/>
      <w:jc w:val="left"/>
      <w:outlineLvl w:val="3"/>
    </w:pPr>
    <w:rPr>
      <w:rFonts w:eastAsia="Times New Roman" w:cs="Times New Roman"/>
      <w:i/>
      <w:iCs/>
      <w:color w:val="0F4761"/>
      <w:kern w:val="0"/>
      <w:sz w:val="24"/>
      <w:szCs w:val="24"/>
      <w:lang w:val="en-US"/>
      <w14:ligatures w14:val="none"/>
    </w:rPr>
  </w:style>
  <w:style w:type="paragraph" w:customStyle="1" w:styleId="Heading51">
    <w:name w:val="Heading 51"/>
    <w:basedOn w:val="Normal"/>
    <w:next w:val="BodyText"/>
    <w:uiPriority w:val="9"/>
    <w:semiHidden/>
    <w:unhideWhenUsed/>
    <w:qFormat/>
    <w:rsid w:val="00CB1D16"/>
    <w:pPr>
      <w:keepNext/>
      <w:keepLines/>
      <w:spacing w:before="80" w:after="40" w:line="240" w:lineRule="auto"/>
      <w:ind w:firstLine="0"/>
      <w:jc w:val="left"/>
      <w:outlineLvl w:val="4"/>
    </w:pPr>
    <w:rPr>
      <w:rFonts w:eastAsia="Times New Roman" w:cs="Times New Roman"/>
      <w:color w:val="0F4761"/>
      <w:kern w:val="0"/>
      <w:sz w:val="24"/>
      <w:szCs w:val="24"/>
      <w:lang w:val="en-US"/>
      <w14:ligatures w14:val="none"/>
    </w:rPr>
  </w:style>
  <w:style w:type="paragraph" w:customStyle="1" w:styleId="Heading61">
    <w:name w:val="Heading 61"/>
    <w:basedOn w:val="Normal"/>
    <w:next w:val="BodyText"/>
    <w:uiPriority w:val="9"/>
    <w:semiHidden/>
    <w:unhideWhenUsed/>
    <w:qFormat/>
    <w:rsid w:val="00CB1D16"/>
    <w:pPr>
      <w:keepNext/>
      <w:keepLines/>
      <w:spacing w:before="40" w:after="0" w:line="240" w:lineRule="auto"/>
      <w:ind w:firstLine="0"/>
      <w:jc w:val="left"/>
      <w:outlineLvl w:val="5"/>
    </w:pPr>
    <w:rPr>
      <w:rFonts w:eastAsia="Times New Roman" w:cs="Times New Roman"/>
      <w:i/>
      <w:iCs/>
      <w:color w:val="595959"/>
      <w:kern w:val="0"/>
      <w:sz w:val="24"/>
      <w:szCs w:val="24"/>
      <w:lang w:val="en-US"/>
      <w14:ligatures w14:val="none"/>
    </w:rPr>
  </w:style>
  <w:style w:type="paragraph" w:customStyle="1" w:styleId="Heading71">
    <w:name w:val="Heading 71"/>
    <w:basedOn w:val="Normal"/>
    <w:next w:val="BodyText"/>
    <w:uiPriority w:val="9"/>
    <w:semiHidden/>
    <w:unhideWhenUsed/>
    <w:qFormat/>
    <w:rsid w:val="00CB1D16"/>
    <w:pPr>
      <w:keepNext/>
      <w:keepLines/>
      <w:spacing w:before="40" w:after="0" w:line="240" w:lineRule="auto"/>
      <w:ind w:firstLine="0"/>
      <w:jc w:val="left"/>
      <w:outlineLvl w:val="6"/>
    </w:pPr>
    <w:rPr>
      <w:rFonts w:eastAsia="Times New Roman" w:cs="Times New Roman"/>
      <w:color w:val="595959"/>
      <w:kern w:val="0"/>
      <w:sz w:val="24"/>
      <w:szCs w:val="24"/>
      <w:lang w:val="en-US"/>
      <w14:ligatures w14:val="none"/>
    </w:rPr>
  </w:style>
  <w:style w:type="paragraph" w:customStyle="1" w:styleId="Heading81">
    <w:name w:val="Heading 81"/>
    <w:basedOn w:val="Normal"/>
    <w:next w:val="BodyText"/>
    <w:uiPriority w:val="9"/>
    <w:semiHidden/>
    <w:unhideWhenUsed/>
    <w:qFormat/>
    <w:rsid w:val="00CB1D16"/>
    <w:pPr>
      <w:keepNext/>
      <w:keepLines/>
      <w:spacing w:after="0" w:line="240" w:lineRule="auto"/>
      <w:ind w:firstLine="0"/>
      <w:jc w:val="left"/>
      <w:outlineLvl w:val="7"/>
    </w:pPr>
    <w:rPr>
      <w:rFonts w:eastAsia="Times New Roman" w:cs="Times New Roman"/>
      <w:i/>
      <w:iCs/>
      <w:color w:val="272727"/>
      <w:kern w:val="0"/>
      <w:sz w:val="24"/>
      <w:szCs w:val="24"/>
      <w:lang w:val="en-US"/>
      <w14:ligatures w14:val="none"/>
    </w:rPr>
  </w:style>
  <w:style w:type="paragraph" w:customStyle="1" w:styleId="Heading91">
    <w:name w:val="Heading 91"/>
    <w:basedOn w:val="Normal"/>
    <w:next w:val="BodyText"/>
    <w:uiPriority w:val="9"/>
    <w:semiHidden/>
    <w:unhideWhenUsed/>
    <w:qFormat/>
    <w:rsid w:val="00CB1D16"/>
    <w:pPr>
      <w:keepNext/>
      <w:keepLines/>
      <w:spacing w:after="0" w:line="240" w:lineRule="auto"/>
      <w:ind w:firstLine="0"/>
      <w:jc w:val="left"/>
      <w:outlineLvl w:val="8"/>
    </w:pPr>
    <w:rPr>
      <w:rFonts w:eastAsia="Times New Roman" w:cs="Times New Roman"/>
      <w:color w:val="272727"/>
      <w:kern w:val="0"/>
      <w:sz w:val="24"/>
      <w:szCs w:val="24"/>
      <w:lang w:val="en-US"/>
      <w14:ligatures w14:val="none"/>
    </w:rPr>
  </w:style>
  <w:style w:type="numbering" w:customStyle="1" w:styleId="NoList2">
    <w:name w:val="No List2"/>
    <w:next w:val="NoList"/>
    <w:uiPriority w:val="99"/>
    <w:semiHidden/>
    <w:unhideWhenUsed/>
    <w:rsid w:val="00CB1D16"/>
  </w:style>
  <w:style w:type="paragraph" w:styleId="BodyText">
    <w:name w:val="Body Text"/>
    <w:basedOn w:val="Normal"/>
    <w:link w:val="BodyTextChar"/>
    <w:qFormat/>
    <w:rsid w:val="00CB1D16"/>
    <w:pPr>
      <w:spacing w:before="180" w:after="180" w:line="240" w:lineRule="auto"/>
      <w:ind w:firstLine="0"/>
      <w:jc w:val="left"/>
    </w:pPr>
    <w:rPr>
      <w:kern w:val="0"/>
      <w:sz w:val="24"/>
      <w:szCs w:val="24"/>
      <w:lang w:val="en-US"/>
      <w14:ligatures w14:val="none"/>
    </w:rPr>
  </w:style>
  <w:style w:type="character" w:customStyle="1" w:styleId="BodyTextChar">
    <w:name w:val="Body Text Char"/>
    <w:basedOn w:val="DefaultParagraphFont"/>
    <w:link w:val="BodyText"/>
    <w:rsid w:val="00CB1D16"/>
    <w:rPr>
      <w:kern w:val="0"/>
      <w:sz w:val="24"/>
      <w:szCs w:val="24"/>
      <w:lang w:val="en-US"/>
      <w14:ligatures w14:val="none"/>
    </w:rPr>
  </w:style>
  <w:style w:type="paragraph" w:customStyle="1" w:styleId="FirstParagraph">
    <w:name w:val="First Paragraph"/>
    <w:basedOn w:val="BodyText"/>
    <w:next w:val="BodyText"/>
    <w:qFormat/>
    <w:rsid w:val="00CB1D16"/>
  </w:style>
  <w:style w:type="paragraph" w:customStyle="1" w:styleId="Compact">
    <w:name w:val="Compact"/>
    <w:basedOn w:val="BodyText"/>
    <w:qFormat/>
    <w:rsid w:val="00CB1D16"/>
    <w:pPr>
      <w:spacing w:before="36" w:after="36"/>
    </w:pPr>
  </w:style>
  <w:style w:type="paragraph" w:styleId="Subtitle">
    <w:name w:val="Subtitle"/>
    <w:basedOn w:val="Title"/>
    <w:next w:val="BodyText"/>
    <w:link w:val="SubtitleChar"/>
    <w:uiPriority w:val="11"/>
    <w:qFormat/>
    <w:rsid w:val="00CB1D16"/>
    <w:pPr>
      <w:numPr>
        <w:ilvl w:val="1"/>
      </w:numPr>
      <w:spacing w:after="80"/>
      <w:ind w:firstLine="720"/>
      <w:jc w:val="center"/>
    </w:pPr>
    <w:rPr>
      <w:spacing w:val="15"/>
      <w:sz w:val="28"/>
      <w:szCs w:val="28"/>
      <w:lang w:val="en-US"/>
    </w:rPr>
  </w:style>
  <w:style w:type="character" w:customStyle="1" w:styleId="SubtitleChar">
    <w:name w:val="Subtitle Char"/>
    <w:basedOn w:val="DefaultParagraphFont"/>
    <w:link w:val="Subtitle"/>
    <w:uiPriority w:val="11"/>
    <w:rsid w:val="00CB1D16"/>
    <w:rPr>
      <w:rFonts w:asciiTheme="majorHAnsi" w:eastAsiaTheme="majorEastAsia" w:hAnsiTheme="majorHAnsi" w:cstheme="majorBidi"/>
      <w:spacing w:val="15"/>
      <w:kern w:val="28"/>
      <w:sz w:val="28"/>
      <w:szCs w:val="28"/>
      <w:lang w:val="en-US"/>
      <w14:ligatures w14:val="none"/>
    </w:rPr>
  </w:style>
  <w:style w:type="paragraph" w:customStyle="1" w:styleId="Author">
    <w:name w:val="Author"/>
    <w:next w:val="BodyText"/>
    <w:qFormat/>
    <w:rsid w:val="00CB1D16"/>
    <w:pPr>
      <w:keepNext/>
      <w:keepLines/>
      <w:spacing w:after="200" w:line="240" w:lineRule="auto"/>
      <w:ind w:firstLine="0"/>
      <w:jc w:val="center"/>
    </w:pPr>
    <w:rPr>
      <w:kern w:val="0"/>
      <w:sz w:val="24"/>
      <w:szCs w:val="24"/>
      <w:lang w:val="en-US"/>
      <w14:ligatures w14:val="none"/>
    </w:rPr>
  </w:style>
  <w:style w:type="paragraph" w:styleId="Date">
    <w:name w:val="Date"/>
    <w:next w:val="BodyText"/>
    <w:link w:val="DateChar"/>
    <w:qFormat/>
    <w:rsid w:val="00CB1D16"/>
    <w:pPr>
      <w:keepNext/>
      <w:keepLines/>
      <w:spacing w:after="200" w:line="240" w:lineRule="auto"/>
      <w:ind w:firstLine="0"/>
      <w:jc w:val="center"/>
    </w:pPr>
    <w:rPr>
      <w:kern w:val="0"/>
      <w:sz w:val="24"/>
      <w:szCs w:val="24"/>
      <w:lang w:val="en-US"/>
      <w14:ligatures w14:val="none"/>
    </w:rPr>
  </w:style>
  <w:style w:type="character" w:customStyle="1" w:styleId="DateChar">
    <w:name w:val="Date Char"/>
    <w:basedOn w:val="DefaultParagraphFont"/>
    <w:link w:val="Date"/>
    <w:rsid w:val="00CB1D16"/>
    <w:rPr>
      <w:kern w:val="0"/>
      <w:sz w:val="24"/>
      <w:szCs w:val="24"/>
      <w:lang w:val="en-US"/>
      <w14:ligatures w14:val="none"/>
    </w:rPr>
  </w:style>
  <w:style w:type="paragraph" w:customStyle="1" w:styleId="AbstractTitle">
    <w:name w:val="Abstract Title"/>
    <w:basedOn w:val="Normal"/>
    <w:next w:val="Abstract"/>
    <w:qFormat/>
    <w:rsid w:val="00CB1D16"/>
    <w:pPr>
      <w:keepNext/>
      <w:keepLines/>
      <w:spacing w:before="300" w:after="0" w:line="240" w:lineRule="auto"/>
      <w:ind w:firstLine="0"/>
      <w:jc w:val="center"/>
    </w:pPr>
    <w:rPr>
      <w:b/>
      <w:kern w:val="0"/>
      <w:sz w:val="20"/>
      <w:szCs w:val="20"/>
      <w:lang w:val="en-US"/>
      <w14:ligatures w14:val="none"/>
    </w:rPr>
  </w:style>
  <w:style w:type="paragraph" w:customStyle="1" w:styleId="Abstract">
    <w:name w:val="Abstract"/>
    <w:basedOn w:val="Normal"/>
    <w:next w:val="BodyText"/>
    <w:qFormat/>
    <w:rsid w:val="00CB1D16"/>
    <w:pPr>
      <w:keepNext/>
      <w:keepLines/>
      <w:spacing w:before="100" w:after="300" w:line="240" w:lineRule="auto"/>
      <w:ind w:firstLine="0"/>
      <w:jc w:val="left"/>
    </w:pPr>
    <w:rPr>
      <w:kern w:val="0"/>
      <w:sz w:val="20"/>
      <w:szCs w:val="20"/>
      <w:lang w:val="en-US"/>
      <w14:ligatures w14:val="none"/>
    </w:rPr>
  </w:style>
  <w:style w:type="paragraph" w:styleId="Bibliography">
    <w:name w:val="Bibliography"/>
    <w:basedOn w:val="Normal"/>
    <w:qFormat/>
    <w:rsid w:val="00CB1D16"/>
    <w:pPr>
      <w:spacing w:after="200" w:line="240" w:lineRule="auto"/>
      <w:ind w:firstLine="0"/>
      <w:jc w:val="left"/>
    </w:pPr>
    <w:rPr>
      <w:kern w:val="0"/>
      <w:sz w:val="24"/>
      <w:szCs w:val="24"/>
      <w:lang w:val="en-US"/>
      <w14:ligatures w14:val="none"/>
    </w:rPr>
  </w:style>
  <w:style w:type="character" w:customStyle="1" w:styleId="Heading4Char">
    <w:name w:val="Heading 4 Char"/>
    <w:basedOn w:val="DefaultParagraphFont"/>
    <w:link w:val="Heading4"/>
    <w:uiPriority w:val="9"/>
    <w:semiHidden/>
    <w:rsid w:val="00CB1D16"/>
    <w:rPr>
      <w:rFonts w:eastAsia="Times New Roman" w:cs="Times New Roman"/>
      <w:i/>
      <w:iCs/>
      <w:color w:val="0F4761"/>
    </w:rPr>
  </w:style>
  <w:style w:type="character" w:customStyle="1" w:styleId="Heading5Char">
    <w:name w:val="Heading 5 Char"/>
    <w:basedOn w:val="DefaultParagraphFont"/>
    <w:link w:val="Heading5"/>
    <w:uiPriority w:val="9"/>
    <w:semiHidden/>
    <w:rsid w:val="00CB1D16"/>
    <w:rPr>
      <w:rFonts w:eastAsia="Times New Roman" w:cs="Times New Roman"/>
      <w:color w:val="0F4761"/>
    </w:rPr>
  </w:style>
  <w:style w:type="character" w:customStyle="1" w:styleId="Heading6Char">
    <w:name w:val="Heading 6 Char"/>
    <w:basedOn w:val="DefaultParagraphFont"/>
    <w:link w:val="Heading6"/>
    <w:uiPriority w:val="9"/>
    <w:semiHidden/>
    <w:rsid w:val="00CB1D16"/>
    <w:rPr>
      <w:rFonts w:eastAsia="Times New Roman" w:cs="Times New Roman"/>
      <w:i/>
      <w:iCs/>
      <w:color w:val="595959"/>
    </w:rPr>
  </w:style>
  <w:style w:type="character" w:customStyle="1" w:styleId="Heading7Char">
    <w:name w:val="Heading 7 Char"/>
    <w:basedOn w:val="DefaultParagraphFont"/>
    <w:link w:val="Heading7"/>
    <w:uiPriority w:val="9"/>
    <w:semiHidden/>
    <w:rsid w:val="00CB1D16"/>
    <w:rPr>
      <w:rFonts w:eastAsia="Times New Roman" w:cs="Times New Roman"/>
      <w:color w:val="595959"/>
    </w:rPr>
  </w:style>
  <w:style w:type="character" w:customStyle="1" w:styleId="Heading8Char">
    <w:name w:val="Heading 8 Char"/>
    <w:basedOn w:val="DefaultParagraphFont"/>
    <w:link w:val="Heading8"/>
    <w:uiPriority w:val="9"/>
    <w:semiHidden/>
    <w:rsid w:val="00CB1D16"/>
    <w:rPr>
      <w:rFonts w:eastAsia="Times New Roman" w:cs="Times New Roman"/>
      <w:i/>
      <w:iCs/>
      <w:color w:val="272727"/>
    </w:rPr>
  </w:style>
  <w:style w:type="character" w:customStyle="1" w:styleId="Heading9Char">
    <w:name w:val="Heading 9 Char"/>
    <w:basedOn w:val="DefaultParagraphFont"/>
    <w:link w:val="Heading9"/>
    <w:uiPriority w:val="9"/>
    <w:semiHidden/>
    <w:rsid w:val="00CB1D16"/>
    <w:rPr>
      <w:rFonts w:eastAsia="Times New Roman" w:cs="Times New Roman"/>
      <w:color w:val="272727"/>
    </w:rPr>
  </w:style>
  <w:style w:type="paragraph" w:styleId="BlockText">
    <w:name w:val="Block Text"/>
    <w:basedOn w:val="BodyText"/>
    <w:next w:val="BodyText"/>
    <w:uiPriority w:val="9"/>
    <w:unhideWhenUsed/>
    <w:qFormat/>
    <w:rsid w:val="00CB1D16"/>
    <w:pPr>
      <w:spacing w:before="100" w:after="100"/>
      <w:ind w:left="480" w:right="480"/>
    </w:pPr>
  </w:style>
  <w:style w:type="paragraph" w:customStyle="1" w:styleId="FootnoteBlockText">
    <w:name w:val="Footnote Block Text"/>
    <w:basedOn w:val="FootnoteText"/>
    <w:next w:val="FootnoteText"/>
    <w:uiPriority w:val="9"/>
    <w:unhideWhenUsed/>
    <w:qFormat/>
    <w:rsid w:val="00CB1D16"/>
  </w:style>
  <w:style w:type="table" w:customStyle="1" w:styleId="Table">
    <w:name w:val="Table"/>
    <w:semiHidden/>
    <w:unhideWhenUsed/>
    <w:qFormat/>
    <w:rsid w:val="00CB1D16"/>
    <w:pPr>
      <w:spacing w:after="200" w:line="240" w:lineRule="auto"/>
      <w:ind w:firstLine="0"/>
      <w:jc w:val="left"/>
    </w:pPr>
    <w:rPr>
      <w:kern w:val="0"/>
      <w:sz w:val="24"/>
      <w:szCs w:val="24"/>
      <w:lang w:val="en-US" w:eastAsia="en-GB"/>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CB1D16"/>
    <w:pPr>
      <w:keepNext/>
      <w:keepLines/>
      <w:spacing w:after="0" w:line="240" w:lineRule="auto"/>
      <w:ind w:firstLine="0"/>
      <w:jc w:val="left"/>
    </w:pPr>
    <w:rPr>
      <w:b/>
      <w:kern w:val="0"/>
      <w:sz w:val="24"/>
      <w:szCs w:val="24"/>
      <w:lang w:val="en-US"/>
      <w14:ligatures w14:val="none"/>
    </w:rPr>
  </w:style>
  <w:style w:type="paragraph" w:customStyle="1" w:styleId="Definition">
    <w:name w:val="Definition"/>
    <w:basedOn w:val="Normal"/>
    <w:rsid w:val="00CB1D16"/>
    <w:pPr>
      <w:spacing w:after="200" w:line="240" w:lineRule="auto"/>
      <w:ind w:firstLine="0"/>
      <w:jc w:val="left"/>
    </w:pPr>
    <w:rPr>
      <w:kern w:val="0"/>
      <w:sz w:val="24"/>
      <w:szCs w:val="24"/>
      <w:lang w:val="en-US"/>
      <w14:ligatures w14:val="none"/>
    </w:rPr>
  </w:style>
  <w:style w:type="paragraph" w:customStyle="1" w:styleId="TableCaption">
    <w:name w:val="Table Caption"/>
    <w:basedOn w:val="Caption"/>
    <w:rsid w:val="00CB1D16"/>
  </w:style>
  <w:style w:type="paragraph" w:customStyle="1" w:styleId="ImageCaption">
    <w:name w:val="Image Caption"/>
    <w:basedOn w:val="Caption"/>
    <w:rsid w:val="00CB1D16"/>
  </w:style>
  <w:style w:type="paragraph" w:customStyle="1" w:styleId="Figure">
    <w:name w:val="Figure"/>
    <w:basedOn w:val="Normal"/>
    <w:rsid w:val="00CB1D16"/>
    <w:pPr>
      <w:spacing w:after="200" w:line="240" w:lineRule="auto"/>
      <w:ind w:firstLine="0"/>
      <w:jc w:val="left"/>
    </w:pPr>
    <w:rPr>
      <w:kern w:val="0"/>
      <w:sz w:val="24"/>
      <w:szCs w:val="24"/>
      <w:lang w:val="en-US"/>
      <w14:ligatures w14:val="none"/>
    </w:rPr>
  </w:style>
  <w:style w:type="paragraph" w:customStyle="1" w:styleId="CaptionedFigure">
    <w:name w:val="Captioned Figure"/>
    <w:basedOn w:val="Figure"/>
    <w:rsid w:val="00CB1D16"/>
    <w:pPr>
      <w:keepNext/>
    </w:pPr>
  </w:style>
  <w:style w:type="character" w:customStyle="1" w:styleId="CaptionChar">
    <w:name w:val="Caption Char"/>
    <w:basedOn w:val="DefaultParagraphFont"/>
    <w:link w:val="Caption"/>
    <w:rsid w:val="00CB1D16"/>
    <w:rPr>
      <w:i/>
      <w:iCs/>
      <w:color w:val="44546A" w:themeColor="text2"/>
      <w:kern w:val="0"/>
      <w:sz w:val="18"/>
      <w:szCs w:val="18"/>
      <w14:ligatures w14:val="none"/>
    </w:rPr>
  </w:style>
  <w:style w:type="character" w:customStyle="1" w:styleId="VerbatimChar">
    <w:name w:val="Verbatim Char"/>
    <w:basedOn w:val="CaptionChar"/>
    <w:link w:val="SourceCode"/>
    <w:rsid w:val="00CB1D16"/>
    <w:rPr>
      <w:i/>
      <w:iCs/>
      <w:color w:val="44546A" w:themeColor="text2"/>
      <w:kern w:val="0"/>
      <w:sz w:val="18"/>
      <w:szCs w:val="18"/>
      <w14:ligatures w14:val="none"/>
    </w:rPr>
  </w:style>
  <w:style w:type="character" w:customStyle="1" w:styleId="SectionNumber">
    <w:name w:val="Section Number"/>
    <w:basedOn w:val="CaptionChar"/>
    <w:rsid w:val="00CB1D16"/>
    <w:rPr>
      <w:i/>
      <w:iCs/>
      <w:color w:val="44546A" w:themeColor="text2"/>
      <w:kern w:val="0"/>
      <w:sz w:val="18"/>
      <w:szCs w:val="18"/>
      <w14:ligatures w14:val="none"/>
    </w:rPr>
  </w:style>
  <w:style w:type="paragraph" w:customStyle="1" w:styleId="SourceCode">
    <w:name w:val="Source Code"/>
    <w:basedOn w:val="Normal"/>
    <w:link w:val="VerbatimChar"/>
    <w:rsid w:val="00CB1D16"/>
    <w:pPr>
      <w:wordWrap w:val="0"/>
      <w:spacing w:after="200" w:line="240" w:lineRule="auto"/>
      <w:ind w:firstLine="0"/>
      <w:jc w:val="left"/>
    </w:pPr>
    <w:rPr>
      <w:i/>
      <w:iCs/>
      <w:color w:val="44546A" w:themeColor="text2"/>
      <w:kern w:val="0"/>
      <w:sz w:val="18"/>
      <w:szCs w:val="18"/>
      <w14:ligatures w14:val="none"/>
    </w:rPr>
  </w:style>
  <w:style w:type="character" w:customStyle="1" w:styleId="KeywordTok">
    <w:name w:val="KeywordTok"/>
    <w:basedOn w:val="VerbatimChar"/>
    <w:rsid w:val="00CB1D16"/>
    <w:rPr>
      <w:i/>
      <w:iCs/>
      <w:color w:val="44546A" w:themeColor="text2"/>
      <w:kern w:val="0"/>
      <w:sz w:val="18"/>
      <w:szCs w:val="18"/>
      <w14:ligatures w14:val="none"/>
    </w:rPr>
  </w:style>
  <w:style w:type="character" w:customStyle="1" w:styleId="DataTypeTok">
    <w:name w:val="DataTypeTok"/>
    <w:basedOn w:val="VerbatimChar"/>
    <w:rsid w:val="00CB1D16"/>
    <w:rPr>
      <w:i/>
      <w:iCs/>
      <w:color w:val="44546A" w:themeColor="text2"/>
      <w:kern w:val="0"/>
      <w:sz w:val="18"/>
      <w:szCs w:val="18"/>
      <w14:ligatures w14:val="none"/>
    </w:rPr>
  </w:style>
  <w:style w:type="character" w:customStyle="1" w:styleId="DecValTok">
    <w:name w:val="DecValTok"/>
    <w:basedOn w:val="VerbatimChar"/>
    <w:rsid w:val="00CB1D16"/>
    <w:rPr>
      <w:i/>
      <w:iCs/>
      <w:color w:val="44546A" w:themeColor="text2"/>
      <w:kern w:val="0"/>
      <w:sz w:val="18"/>
      <w:szCs w:val="18"/>
      <w14:ligatures w14:val="none"/>
    </w:rPr>
  </w:style>
  <w:style w:type="character" w:customStyle="1" w:styleId="BaseNTok">
    <w:name w:val="BaseNTok"/>
    <w:basedOn w:val="VerbatimChar"/>
    <w:rsid w:val="00CB1D16"/>
    <w:rPr>
      <w:i/>
      <w:iCs/>
      <w:color w:val="44546A" w:themeColor="text2"/>
      <w:kern w:val="0"/>
      <w:sz w:val="18"/>
      <w:szCs w:val="18"/>
      <w14:ligatures w14:val="none"/>
    </w:rPr>
  </w:style>
  <w:style w:type="character" w:customStyle="1" w:styleId="FloatTok">
    <w:name w:val="FloatTok"/>
    <w:basedOn w:val="VerbatimChar"/>
    <w:rsid w:val="00CB1D16"/>
    <w:rPr>
      <w:i/>
      <w:iCs/>
      <w:color w:val="44546A" w:themeColor="text2"/>
      <w:kern w:val="0"/>
      <w:sz w:val="18"/>
      <w:szCs w:val="18"/>
      <w14:ligatures w14:val="none"/>
    </w:rPr>
  </w:style>
  <w:style w:type="character" w:customStyle="1" w:styleId="ConstantTok">
    <w:name w:val="ConstantTok"/>
    <w:basedOn w:val="VerbatimChar"/>
    <w:rsid w:val="00CB1D16"/>
    <w:rPr>
      <w:i/>
      <w:iCs/>
      <w:color w:val="44546A" w:themeColor="text2"/>
      <w:kern w:val="0"/>
      <w:sz w:val="18"/>
      <w:szCs w:val="18"/>
      <w14:ligatures w14:val="none"/>
    </w:rPr>
  </w:style>
  <w:style w:type="character" w:customStyle="1" w:styleId="CharTok">
    <w:name w:val="CharTok"/>
    <w:basedOn w:val="VerbatimChar"/>
    <w:rsid w:val="00CB1D16"/>
    <w:rPr>
      <w:i/>
      <w:iCs/>
      <w:color w:val="44546A" w:themeColor="text2"/>
      <w:kern w:val="0"/>
      <w:sz w:val="18"/>
      <w:szCs w:val="18"/>
      <w14:ligatures w14:val="none"/>
    </w:rPr>
  </w:style>
  <w:style w:type="character" w:customStyle="1" w:styleId="SpecialCharTok">
    <w:name w:val="SpecialCharTok"/>
    <w:basedOn w:val="VerbatimChar"/>
    <w:rsid w:val="00CB1D16"/>
    <w:rPr>
      <w:i/>
      <w:iCs/>
      <w:color w:val="44546A" w:themeColor="text2"/>
      <w:kern w:val="0"/>
      <w:sz w:val="18"/>
      <w:szCs w:val="18"/>
      <w14:ligatures w14:val="none"/>
    </w:rPr>
  </w:style>
  <w:style w:type="character" w:customStyle="1" w:styleId="StringTok">
    <w:name w:val="StringTok"/>
    <w:basedOn w:val="VerbatimChar"/>
    <w:rsid w:val="00CB1D16"/>
    <w:rPr>
      <w:i/>
      <w:iCs/>
      <w:color w:val="44546A" w:themeColor="text2"/>
      <w:kern w:val="0"/>
      <w:sz w:val="18"/>
      <w:szCs w:val="18"/>
      <w14:ligatures w14:val="none"/>
    </w:rPr>
  </w:style>
  <w:style w:type="character" w:customStyle="1" w:styleId="VerbatimStringTok">
    <w:name w:val="VerbatimStringTok"/>
    <w:basedOn w:val="VerbatimChar"/>
    <w:rsid w:val="00CB1D16"/>
    <w:rPr>
      <w:i/>
      <w:iCs/>
      <w:color w:val="44546A" w:themeColor="text2"/>
      <w:kern w:val="0"/>
      <w:sz w:val="18"/>
      <w:szCs w:val="18"/>
      <w14:ligatures w14:val="none"/>
    </w:rPr>
  </w:style>
  <w:style w:type="character" w:customStyle="1" w:styleId="SpecialStringTok">
    <w:name w:val="SpecialStringTok"/>
    <w:basedOn w:val="VerbatimChar"/>
    <w:rsid w:val="00CB1D16"/>
    <w:rPr>
      <w:i/>
      <w:iCs/>
      <w:color w:val="44546A" w:themeColor="text2"/>
      <w:kern w:val="0"/>
      <w:sz w:val="18"/>
      <w:szCs w:val="18"/>
      <w14:ligatures w14:val="none"/>
    </w:rPr>
  </w:style>
  <w:style w:type="character" w:customStyle="1" w:styleId="ImportTok">
    <w:name w:val="ImportTok"/>
    <w:basedOn w:val="VerbatimChar"/>
    <w:rsid w:val="00CB1D16"/>
    <w:rPr>
      <w:i/>
      <w:iCs/>
      <w:color w:val="44546A" w:themeColor="text2"/>
      <w:kern w:val="0"/>
      <w:sz w:val="18"/>
      <w:szCs w:val="18"/>
      <w14:ligatures w14:val="none"/>
    </w:rPr>
  </w:style>
  <w:style w:type="character" w:customStyle="1" w:styleId="CommentTok">
    <w:name w:val="CommentTok"/>
    <w:basedOn w:val="VerbatimChar"/>
    <w:rsid w:val="00CB1D16"/>
    <w:rPr>
      <w:i/>
      <w:iCs/>
      <w:color w:val="44546A" w:themeColor="text2"/>
      <w:kern w:val="0"/>
      <w:sz w:val="18"/>
      <w:szCs w:val="18"/>
      <w14:ligatures w14:val="none"/>
    </w:rPr>
  </w:style>
  <w:style w:type="character" w:customStyle="1" w:styleId="DocumentationTok">
    <w:name w:val="DocumentationTok"/>
    <w:basedOn w:val="VerbatimChar"/>
    <w:rsid w:val="00CB1D16"/>
    <w:rPr>
      <w:i/>
      <w:iCs/>
      <w:color w:val="44546A" w:themeColor="text2"/>
      <w:kern w:val="0"/>
      <w:sz w:val="18"/>
      <w:szCs w:val="18"/>
      <w14:ligatures w14:val="none"/>
    </w:rPr>
  </w:style>
  <w:style w:type="character" w:customStyle="1" w:styleId="AnnotationTok">
    <w:name w:val="AnnotationTok"/>
    <w:basedOn w:val="VerbatimChar"/>
    <w:rsid w:val="00CB1D16"/>
    <w:rPr>
      <w:i/>
      <w:iCs/>
      <w:color w:val="44546A" w:themeColor="text2"/>
      <w:kern w:val="0"/>
      <w:sz w:val="18"/>
      <w:szCs w:val="18"/>
      <w14:ligatures w14:val="none"/>
    </w:rPr>
  </w:style>
  <w:style w:type="character" w:customStyle="1" w:styleId="CommentVarTok">
    <w:name w:val="CommentVarTok"/>
    <w:basedOn w:val="VerbatimChar"/>
    <w:rsid w:val="00CB1D16"/>
    <w:rPr>
      <w:i/>
      <w:iCs/>
      <w:color w:val="44546A" w:themeColor="text2"/>
      <w:kern w:val="0"/>
      <w:sz w:val="18"/>
      <w:szCs w:val="18"/>
      <w14:ligatures w14:val="none"/>
    </w:rPr>
  </w:style>
  <w:style w:type="character" w:customStyle="1" w:styleId="OtherTok">
    <w:name w:val="OtherTok"/>
    <w:basedOn w:val="VerbatimChar"/>
    <w:rsid w:val="00CB1D16"/>
    <w:rPr>
      <w:i/>
      <w:iCs/>
      <w:color w:val="44546A" w:themeColor="text2"/>
      <w:kern w:val="0"/>
      <w:sz w:val="18"/>
      <w:szCs w:val="18"/>
      <w14:ligatures w14:val="none"/>
    </w:rPr>
  </w:style>
  <w:style w:type="character" w:customStyle="1" w:styleId="FunctionTok">
    <w:name w:val="FunctionTok"/>
    <w:basedOn w:val="VerbatimChar"/>
    <w:rsid w:val="00CB1D16"/>
    <w:rPr>
      <w:i/>
      <w:iCs/>
      <w:color w:val="44546A" w:themeColor="text2"/>
      <w:kern w:val="0"/>
      <w:sz w:val="18"/>
      <w:szCs w:val="18"/>
      <w14:ligatures w14:val="none"/>
    </w:rPr>
  </w:style>
  <w:style w:type="character" w:customStyle="1" w:styleId="VariableTok">
    <w:name w:val="VariableTok"/>
    <w:basedOn w:val="VerbatimChar"/>
    <w:rsid w:val="00CB1D16"/>
    <w:rPr>
      <w:i/>
      <w:iCs/>
      <w:color w:val="44546A" w:themeColor="text2"/>
      <w:kern w:val="0"/>
      <w:sz w:val="18"/>
      <w:szCs w:val="18"/>
      <w14:ligatures w14:val="none"/>
    </w:rPr>
  </w:style>
  <w:style w:type="character" w:customStyle="1" w:styleId="ControlFlowTok">
    <w:name w:val="ControlFlowTok"/>
    <w:basedOn w:val="VerbatimChar"/>
    <w:rsid w:val="00CB1D16"/>
    <w:rPr>
      <w:i/>
      <w:iCs/>
      <w:color w:val="44546A" w:themeColor="text2"/>
      <w:kern w:val="0"/>
      <w:sz w:val="18"/>
      <w:szCs w:val="18"/>
      <w14:ligatures w14:val="none"/>
    </w:rPr>
  </w:style>
  <w:style w:type="character" w:customStyle="1" w:styleId="OperatorTok">
    <w:name w:val="OperatorTok"/>
    <w:basedOn w:val="VerbatimChar"/>
    <w:rsid w:val="00CB1D16"/>
    <w:rPr>
      <w:i/>
      <w:iCs/>
      <w:color w:val="44546A" w:themeColor="text2"/>
      <w:kern w:val="0"/>
      <w:sz w:val="18"/>
      <w:szCs w:val="18"/>
      <w14:ligatures w14:val="none"/>
    </w:rPr>
  </w:style>
  <w:style w:type="character" w:customStyle="1" w:styleId="BuiltInTok">
    <w:name w:val="BuiltInTok"/>
    <w:basedOn w:val="VerbatimChar"/>
    <w:rsid w:val="00CB1D16"/>
    <w:rPr>
      <w:i/>
      <w:iCs/>
      <w:color w:val="44546A" w:themeColor="text2"/>
      <w:kern w:val="0"/>
      <w:sz w:val="18"/>
      <w:szCs w:val="18"/>
      <w14:ligatures w14:val="none"/>
    </w:rPr>
  </w:style>
  <w:style w:type="character" w:customStyle="1" w:styleId="ExtensionTok">
    <w:name w:val="ExtensionTok"/>
    <w:basedOn w:val="VerbatimChar"/>
    <w:rsid w:val="00CB1D16"/>
    <w:rPr>
      <w:i/>
      <w:iCs/>
      <w:color w:val="44546A" w:themeColor="text2"/>
      <w:kern w:val="0"/>
      <w:sz w:val="18"/>
      <w:szCs w:val="18"/>
      <w14:ligatures w14:val="none"/>
    </w:rPr>
  </w:style>
  <w:style w:type="character" w:customStyle="1" w:styleId="PreprocessorTok">
    <w:name w:val="PreprocessorTok"/>
    <w:basedOn w:val="VerbatimChar"/>
    <w:rsid w:val="00CB1D16"/>
    <w:rPr>
      <w:i/>
      <w:iCs/>
      <w:color w:val="44546A" w:themeColor="text2"/>
      <w:kern w:val="0"/>
      <w:sz w:val="18"/>
      <w:szCs w:val="18"/>
      <w14:ligatures w14:val="none"/>
    </w:rPr>
  </w:style>
  <w:style w:type="character" w:customStyle="1" w:styleId="AttributeTok">
    <w:name w:val="AttributeTok"/>
    <w:basedOn w:val="VerbatimChar"/>
    <w:rsid w:val="00CB1D16"/>
    <w:rPr>
      <w:i/>
      <w:iCs/>
      <w:color w:val="44546A" w:themeColor="text2"/>
      <w:kern w:val="0"/>
      <w:sz w:val="18"/>
      <w:szCs w:val="18"/>
      <w14:ligatures w14:val="none"/>
    </w:rPr>
  </w:style>
  <w:style w:type="character" w:customStyle="1" w:styleId="RegionMarkerTok">
    <w:name w:val="RegionMarkerTok"/>
    <w:basedOn w:val="VerbatimChar"/>
    <w:rsid w:val="00CB1D16"/>
    <w:rPr>
      <w:i/>
      <w:iCs/>
      <w:color w:val="44546A" w:themeColor="text2"/>
      <w:kern w:val="0"/>
      <w:sz w:val="18"/>
      <w:szCs w:val="18"/>
      <w14:ligatures w14:val="none"/>
    </w:rPr>
  </w:style>
  <w:style w:type="character" w:customStyle="1" w:styleId="InformationTok">
    <w:name w:val="InformationTok"/>
    <w:basedOn w:val="VerbatimChar"/>
    <w:rsid w:val="00CB1D16"/>
    <w:rPr>
      <w:i/>
      <w:iCs/>
      <w:color w:val="44546A" w:themeColor="text2"/>
      <w:kern w:val="0"/>
      <w:sz w:val="18"/>
      <w:szCs w:val="18"/>
      <w14:ligatures w14:val="none"/>
    </w:rPr>
  </w:style>
  <w:style w:type="character" w:customStyle="1" w:styleId="WarningTok">
    <w:name w:val="WarningTok"/>
    <w:basedOn w:val="VerbatimChar"/>
    <w:rsid w:val="00CB1D16"/>
    <w:rPr>
      <w:i/>
      <w:iCs/>
      <w:color w:val="44546A" w:themeColor="text2"/>
      <w:kern w:val="0"/>
      <w:sz w:val="18"/>
      <w:szCs w:val="18"/>
      <w14:ligatures w14:val="none"/>
    </w:rPr>
  </w:style>
  <w:style w:type="character" w:customStyle="1" w:styleId="AlertTok">
    <w:name w:val="AlertTok"/>
    <w:basedOn w:val="VerbatimChar"/>
    <w:rsid w:val="00CB1D16"/>
    <w:rPr>
      <w:i/>
      <w:iCs/>
      <w:color w:val="44546A" w:themeColor="text2"/>
      <w:kern w:val="0"/>
      <w:sz w:val="18"/>
      <w:szCs w:val="18"/>
      <w14:ligatures w14:val="none"/>
    </w:rPr>
  </w:style>
  <w:style w:type="character" w:customStyle="1" w:styleId="ErrorTok">
    <w:name w:val="ErrorTok"/>
    <w:basedOn w:val="VerbatimChar"/>
    <w:rsid w:val="00CB1D16"/>
    <w:rPr>
      <w:i/>
      <w:iCs/>
      <w:color w:val="44546A" w:themeColor="text2"/>
      <w:kern w:val="0"/>
      <w:sz w:val="18"/>
      <w:szCs w:val="18"/>
      <w14:ligatures w14:val="none"/>
    </w:rPr>
  </w:style>
  <w:style w:type="character" w:customStyle="1" w:styleId="NormalTok">
    <w:name w:val="NormalTok"/>
    <w:basedOn w:val="VerbatimChar"/>
    <w:rsid w:val="00CB1D16"/>
    <w:rPr>
      <w:i/>
      <w:iCs/>
      <w:color w:val="44546A" w:themeColor="text2"/>
      <w:kern w:val="0"/>
      <w:sz w:val="18"/>
      <w:szCs w:val="18"/>
      <w14:ligatures w14:val="none"/>
    </w:rPr>
  </w:style>
  <w:style w:type="character" w:customStyle="1" w:styleId="Heading4Char1">
    <w:name w:val="Heading 4 Char1"/>
    <w:basedOn w:val="DefaultParagraphFont"/>
    <w:uiPriority w:val="9"/>
    <w:semiHidden/>
    <w:rsid w:val="00CB1D16"/>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CB1D16"/>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CB1D16"/>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CB1D16"/>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CB1D1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B1D1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784">
      <w:bodyDiv w:val="1"/>
      <w:marLeft w:val="0"/>
      <w:marRight w:val="0"/>
      <w:marTop w:val="0"/>
      <w:marBottom w:val="0"/>
      <w:divBdr>
        <w:top w:val="none" w:sz="0" w:space="0" w:color="auto"/>
        <w:left w:val="none" w:sz="0" w:space="0" w:color="auto"/>
        <w:bottom w:val="none" w:sz="0" w:space="0" w:color="auto"/>
        <w:right w:val="none" w:sz="0" w:space="0" w:color="auto"/>
      </w:divBdr>
    </w:div>
    <w:div w:id="35861189">
      <w:bodyDiv w:val="1"/>
      <w:marLeft w:val="0"/>
      <w:marRight w:val="0"/>
      <w:marTop w:val="0"/>
      <w:marBottom w:val="0"/>
      <w:divBdr>
        <w:top w:val="none" w:sz="0" w:space="0" w:color="auto"/>
        <w:left w:val="none" w:sz="0" w:space="0" w:color="auto"/>
        <w:bottom w:val="none" w:sz="0" w:space="0" w:color="auto"/>
        <w:right w:val="none" w:sz="0" w:space="0" w:color="auto"/>
      </w:divBdr>
    </w:div>
    <w:div w:id="36315441">
      <w:bodyDiv w:val="1"/>
      <w:marLeft w:val="0"/>
      <w:marRight w:val="0"/>
      <w:marTop w:val="0"/>
      <w:marBottom w:val="0"/>
      <w:divBdr>
        <w:top w:val="none" w:sz="0" w:space="0" w:color="auto"/>
        <w:left w:val="none" w:sz="0" w:space="0" w:color="auto"/>
        <w:bottom w:val="none" w:sz="0" w:space="0" w:color="auto"/>
        <w:right w:val="none" w:sz="0" w:space="0" w:color="auto"/>
      </w:divBdr>
    </w:div>
    <w:div w:id="59525608">
      <w:bodyDiv w:val="1"/>
      <w:marLeft w:val="0"/>
      <w:marRight w:val="0"/>
      <w:marTop w:val="0"/>
      <w:marBottom w:val="0"/>
      <w:divBdr>
        <w:top w:val="none" w:sz="0" w:space="0" w:color="auto"/>
        <w:left w:val="none" w:sz="0" w:space="0" w:color="auto"/>
        <w:bottom w:val="none" w:sz="0" w:space="0" w:color="auto"/>
        <w:right w:val="none" w:sz="0" w:space="0" w:color="auto"/>
      </w:divBdr>
    </w:div>
    <w:div w:id="74404269">
      <w:bodyDiv w:val="1"/>
      <w:marLeft w:val="0"/>
      <w:marRight w:val="0"/>
      <w:marTop w:val="0"/>
      <w:marBottom w:val="0"/>
      <w:divBdr>
        <w:top w:val="none" w:sz="0" w:space="0" w:color="auto"/>
        <w:left w:val="none" w:sz="0" w:space="0" w:color="auto"/>
        <w:bottom w:val="none" w:sz="0" w:space="0" w:color="auto"/>
        <w:right w:val="none" w:sz="0" w:space="0" w:color="auto"/>
      </w:divBdr>
    </w:div>
    <w:div w:id="76706452">
      <w:bodyDiv w:val="1"/>
      <w:marLeft w:val="0"/>
      <w:marRight w:val="0"/>
      <w:marTop w:val="0"/>
      <w:marBottom w:val="0"/>
      <w:divBdr>
        <w:top w:val="none" w:sz="0" w:space="0" w:color="auto"/>
        <w:left w:val="none" w:sz="0" w:space="0" w:color="auto"/>
        <w:bottom w:val="none" w:sz="0" w:space="0" w:color="auto"/>
        <w:right w:val="none" w:sz="0" w:space="0" w:color="auto"/>
      </w:divBdr>
    </w:div>
    <w:div w:id="80419443">
      <w:bodyDiv w:val="1"/>
      <w:marLeft w:val="0"/>
      <w:marRight w:val="0"/>
      <w:marTop w:val="0"/>
      <w:marBottom w:val="0"/>
      <w:divBdr>
        <w:top w:val="none" w:sz="0" w:space="0" w:color="auto"/>
        <w:left w:val="none" w:sz="0" w:space="0" w:color="auto"/>
        <w:bottom w:val="none" w:sz="0" w:space="0" w:color="auto"/>
        <w:right w:val="none" w:sz="0" w:space="0" w:color="auto"/>
      </w:divBdr>
    </w:div>
    <w:div w:id="83453728">
      <w:bodyDiv w:val="1"/>
      <w:marLeft w:val="0"/>
      <w:marRight w:val="0"/>
      <w:marTop w:val="0"/>
      <w:marBottom w:val="0"/>
      <w:divBdr>
        <w:top w:val="none" w:sz="0" w:space="0" w:color="auto"/>
        <w:left w:val="none" w:sz="0" w:space="0" w:color="auto"/>
        <w:bottom w:val="none" w:sz="0" w:space="0" w:color="auto"/>
        <w:right w:val="none" w:sz="0" w:space="0" w:color="auto"/>
      </w:divBdr>
    </w:div>
    <w:div w:id="84886892">
      <w:bodyDiv w:val="1"/>
      <w:marLeft w:val="0"/>
      <w:marRight w:val="0"/>
      <w:marTop w:val="0"/>
      <w:marBottom w:val="0"/>
      <w:divBdr>
        <w:top w:val="none" w:sz="0" w:space="0" w:color="auto"/>
        <w:left w:val="none" w:sz="0" w:space="0" w:color="auto"/>
        <w:bottom w:val="none" w:sz="0" w:space="0" w:color="auto"/>
        <w:right w:val="none" w:sz="0" w:space="0" w:color="auto"/>
      </w:divBdr>
    </w:div>
    <w:div w:id="88350868">
      <w:bodyDiv w:val="1"/>
      <w:marLeft w:val="0"/>
      <w:marRight w:val="0"/>
      <w:marTop w:val="0"/>
      <w:marBottom w:val="0"/>
      <w:divBdr>
        <w:top w:val="none" w:sz="0" w:space="0" w:color="auto"/>
        <w:left w:val="none" w:sz="0" w:space="0" w:color="auto"/>
        <w:bottom w:val="none" w:sz="0" w:space="0" w:color="auto"/>
        <w:right w:val="none" w:sz="0" w:space="0" w:color="auto"/>
      </w:divBdr>
    </w:div>
    <w:div w:id="112286227">
      <w:bodyDiv w:val="1"/>
      <w:marLeft w:val="0"/>
      <w:marRight w:val="0"/>
      <w:marTop w:val="0"/>
      <w:marBottom w:val="0"/>
      <w:divBdr>
        <w:top w:val="none" w:sz="0" w:space="0" w:color="auto"/>
        <w:left w:val="none" w:sz="0" w:space="0" w:color="auto"/>
        <w:bottom w:val="none" w:sz="0" w:space="0" w:color="auto"/>
        <w:right w:val="none" w:sz="0" w:space="0" w:color="auto"/>
      </w:divBdr>
    </w:div>
    <w:div w:id="116727370">
      <w:bodyDiv w:val="1"/>
      <w:marLeft w:val="0"/>
      <w:marRight w:val="0"/>
      <w:marTop w:val="0"/>
      <w:marBottom w:val="0"/>
      <w:divBdr>
        <w:top w:val="none" w:sz="0" w:space="0" w:color="auto"/>
        <w:left w:val="none" w:sz="0" w:space="0" w:color="auto"/>
        <w:bottom w:val="none" w:sz="0" w:space="0" w:color="auto"/>
        <w:right w:val="none" w:sz="0" w:space="0" w:color="auto"/>
      </w:divBdr>
    </w:div>
    <w:div w:id="119231641">
      <w:bodyDiv w:val="1"/>
      <w:marLeft w:val="0"/>
      <w:marRight w:val="0"/>
      <w:marTop w:val="0"/>
      <w:marBottom w:val="0"/>
      <w:divBdr>
        <w:top w:val="none" w:sz="0" w:space="0" w:color="auto"/>
        <w:left w:val="none" w:sz="0" w:space="0" w:color="auto"/>
        <w:bottom w:val="none" w:sz="0" w:space="0" w:color="auto"/>
        <w:right w:val="none" w:sz="0" w:space="0" w:color="auto"/>
      </w:divBdr>
    </w:div>
    <w:div w:id="126822951">
      <w:bodyDiv w:val="1"/>
      <w:marLeft w:val="0"/>
      <w:marRight w:val="0"/>
      <w:marTop w:val="0"/>
      <w:marBottom w:val="0"/>
      <w:divBdr>
        <w:top w:val="none" w:sz="0" w:space="0" w:color="auto"/>
        <w:left w:val="none" w:sz="0" w:space="0" w:color="auto"/>
        <w:bottom w:val="none" w:sz="0" w:space="0" w:color="auto"/>
        <w:right w:val="none" w:sz="0" w:space="0" w:color="auto"/>
      </w:divBdr>
    </w:div>
    <w:div w:id="143818737">
      <w:bodyDiv w:val="1"/>
      <w:marLeft w:val="0"/>
      <w:marRight w:val="0"/>
      <w:marTop w:val="0"/>
      <w:marBottom w:val="0"/>
      <w:divBdr>
        <w:top w:val="none" w:sz="0" w:space="0" w:color="auto"/>
        <w:left w:val="none" w:sz="0" w:space="0" w:color="auto"/>
        <w:bottom w:val="none" w:sz="0" w:space="0" w:color="auto"/>
        <w:right w:val="none" w:sz="0" w:space="0" w:color="auto"/>
      </w:divBdr>
    </w:div>
    <w:div w:id="154348856">
      <w:bodyDiv w:val="1"/>
      <w:marLeft w:val="0"/>
      <w:marRight w:val="0"/>
      <w:marTop w:val="0"/>
      <w:marBottom w:val="0"/>
      <w:divBdr>
        <w:top w:val="none" w:sz="0" w:space="0" w:color="auto"/>
        <w:left w:val="none" w:sz="0" w:space="0" w:color="auto"/>
        <w:bottom w:val="none" w:sz="0" w:space="0" w:color="auto"/>
        <w:right w:val="none" w:sz="0" w:space="0" w:color="auto"/>
      </w:divBdr>
    </w:div>
    <w:div w:id="177155983">
      <w:bodyDiv w:val="1"/>
      <w:marLeft w:val="0"/>
      <w:marRight w:val="0"/>
      <w:marTop w:val="0"/>
      <w:marBottom w:val="0"/>
      <w:divBdr>
        <w:top w:val="none" w:sz="0" w:space="0" w:color="auto"/>
        <w:left w:val="none" w:sz="0" w:space="0" w:color="auto"/>
        <w:bottom w:val="none" w:sz="0" w:space="0" w:color="auto"/>
        <w:right w:val="none" w:sz="0" w:space="0" w:color="auto"/>
      </w:divBdr>
    </w:div>
    <w:div w:id="187837877">
      <w:bodyDiv w:val="1"/>
      <w:marLeft w:val="0"/>
      <w:marRight w:val="0"/>
      <w:marTop w:val="0"/>
      <w:marBottom w:val="0"/>
      <w:divBdr>
        <w:top w:val="none" w:sz="0" w:space="0" w:color="auto"/>
        <w:left w:val="none" w:sz="0" w:space="0" w:color="auto"/>
        <w:bottom w:val="none" w:sz="0" w:space="0" w:color="auto"/>
        <w:right w:val="none" w:sz="0" w:space="0" w:color="auto"/>
      </w:divBdr>
    </w:div>
    <w:div w:id="224294130">
      <w:bodyDiv w:val="1"/>
      <w:marLeft w:val="0"/>
      <w:marRight w:val="0"/>
      <w:marTop w:val="0"/>
      <w:marBottom w:val="0"/>
      <w:divBdr>
        <w:top w:val="none" w:sz="0" w:space="0" w:color="auto"/>
        <w:left w:val="none" w:sz="0" w:space="0" w:color="auto"/>
        <w:bottom w:val="none" w:sz="0" w:space="0" w:color="auto"/>
        <w:right w:val="none" w:sz="0" w:space="0" w:color="auto"/>
      </w:divBdr>
    </w:div>
    <w:div w:id="225459271">
      <w:bodyDiv w:val="1"/>
      <w:marLeft w:val="0"/>
      <w:marRight w:val="0"/>
      <w:marTop w:val="0"/>
      <w:marBottom w:val="0"/>
      <w:divBdr>
        <w:top w:val="none" w:sz="0" w:space="0" w:color="auto"/>
        <w:left w:val="none" w:sz="0" w:space="0" w:color="auto"/>
        <w:bottom w:val="none" w:sz="0" w:space="0" w:color="auto"/>
        <w:right w:val="none" w:sz="0" w:space="0" w:color="auto"/>
      </w:divBdr>
    </w:div>
    <w:div w:id="225646223">
      <w:bodyDiv w:val="1"/>
      <w:marLeft w:val="0"/>
      <w:marRight w:val="0"/>
      <w:marTop w:val="0"/>
      <w:marBottom w:val="0"/>
      <w:divBdr>
        <w:top w:val="none" w:sz="0" w:space="0" w:color="auto"/>
        <w:left w:val="none" w:sz="0" w:space="0" w:color="auto"/>
        <w:bottom w:val="none" w:sz="0" w:space="0" w:color="auto"/>
        <w:right w:val="none" w:sz="0" w:space="0" w:color="auto"/>
      </w:divBdr>
    </w:div>
    <w:div w:id="226573450">
      <w:bodyDiv w:val="1"/>
      <w:marLeft w:val="0"/>
      <w:marRight w:val="0"/>
      <w:marTop w:val="0"/>
      <w:marBottom w:val="0"/>
      <w:divBdr>
        <w:top w:val="none" w:sz="0" w:space="0" w:color="auto"/>
        <w:left w:val="none" w:sz="0" w:space="0" w:color="auto"/>
        <w:bottom w:val="none" w:sz="0" w:space="0" w:color="auto"/>
        <w:right w:val="none" w:sz="0" w:space="0" w:color="auto"/>
      </w:divBdr>
    </w:div>
    <w:div w:id="241455023">
      <w:bodyDiv w:val="1"/>
      <w:marLeft w:val="0"/>
      <w:marRight w:val="0"/>
      <w:marTop w:val="0"/>
      <w:marBottom w:val="0"/>
      <w:divBdr>
        <w:top w:val="none" w:sz="0" w:space="0" w:color="auto"/>
        <w:left w:val="none" w:sz="0" w:space="0" w:color="auto"/>
        <w:bottom w:val="none" w:sz="0" w:space="0" w:color="auto"/>
        <w:right w:val="none" w:sz="0" w:space="0" w:color="auto"/>
      </w:divBdr>
    </w:div>
    <w:div w:id="243419522">
      <w:bodyDiv w:val="1"/>
      <w:marLeft w:val="0"/>
      <w:marRight w:val="0"/>
      <w:marTop w:val="0"/>
      <w:marBottom w:val="0"/>
      <w:divBdr>
        <w:top w:val="none" w:sz="0" w:space="0" w:color="auto"/>
        <w:left w:val="none" w:sz="0" w:space="0" w:color="auto"/>
        <w:bottom w:val="none" w:sz="0" w:space="0" w:color="auto"/>
        <w:right w:val="none" w:sz="0" w:space="0" w:color="auto"/>
      </w:divBdr>
    </w:div>
    <w:div w:id="250041864">
      <w:bodyDiv w:val="1"/>
      <w:marLeft w:val="0"/>
      <w:marRight w:val="0"/>
      <w:marTop w:val="0"/>
      <w:marBottom w:val="0"/>
      <w:divBdr>
        <w:top w:val="none" w:sz="0" w:space="0" w:color="auto"/>
        <w:left w:val="none" w:sz="0" w:space="0" w:color="auto"/>
        <w:bottom w:val="none" w:sz="0" w:space="0" w:color="auto"/>
        <w:right w:val="none" w:sz="0" w:space="0" w:color="auto"/>
      </w:divBdr>
    </w:div>
    <w:div w:id="262110210">
      <w:bodyDiv w:val="1"/>
      <w:marLeft w:val="0"/>
      <w:marRight w:val="0"/>
      <w:marTop w:val="0"/>
      <w:marBottom w:val="0"/>
      <w:divBdr>
        <w:top w:val="none" w:sz="0" w:space="0" w:color="auto"/>
        <w:left w:val="none" w:sz="0" w:space="0" w:color="auto"/>
        <w:bottom w:val="none" w:sz="0" w:space="0" w:color="auto"/>
        <w:right w:val="none" w:sz="0" w:space="0" w:color="auto"/>
      </w:divBdr>
    </w:div>
    <w:div w:id="272785481">
      <w:bodyDiv w:val="1"/>
      <w:marLeft w:val="0"/>
      <w:marRight w:val="0"/>
      <w:marTop w:val="0"/>
      <w:marBottom w:val="0"/>
      <w:divBdr>
        <w:top w:val="none" w:sz="0" w:space="0" w:color="auto"/>
        <w:left w:val="none" w:sz="0" w:space="0" w:color="auto"/>
        <w:bottom w:val="none" w:sz="0" w:space="0" w:color="auto"/>
        <w:right w:val="none" w:sz="0" w:space="0" w:color="auto"/>
      </w:divBdr>
    </w:div>
    <w:div w:id="274753822">
      <w:bodyDiv w:val="1"/>
      <w:marLeft w:val="0"/>
      <w:marRight w:val="0"/>
      <w:marTop w:val="0"/>
      <w:marBottom w:val="0"/>
      <w:divBdr>
        <w:top w:val="none" w:sz="0" w:space="0" w:color="auto"/>
        <w:left w:val="none" w:sz="0" w:space="0" w:color="auto"/>
        <w:bottom w:val="none" w:sz="0" w:space="0" w:color="auto"/>
        <w:right w:val="none" w:sz="0" w:space="0" w:color="auto"/>
      </w:divBdr>
    </w:div>
    <w:div w:id="305673132">
      <w:bodyDiv w:val="1"/>
      <w:marLeft w:val="0"/>
      <w:marRight w:val="0"/>
      <w:marTop w:val="0"/>
      <w:marBottom w:val="0"/>
      <w:divBdr>
        <w:top w:val="none" w:sz="0" w:space="0" w:color="auto"/>
        <w:left w:val="none" w:sz="0" w:space="0" w:color="auto"/>
        <w:bottom w:val="none" w:sz="0" w:space="0" w:color="auto"/>
        <w:right w:val="none" w:sz="0" w:space="0" w:color="auto"/>
      </w:divBdr>
    </w:div>
    <w:div w:id="323975550">
      <w:bodyDiv w:val="1"/>
      <w:marLeft w:val="0"/>
      <w:marRight w:val="0"/>
      <w:marTop w:val="0"/>
      <w:marBottom w:val="0"/>
      <w:divBdr>
        <w:top w:val="none" w:sz="0" w:space="0" w:color="auto"/>
        <w:left w:val="none" w:sz="0" w:space="0" w:color="auto"/>
        <w:bottom w:val="none" w:sz="0" w:space="0" w:color="auto"/>
        <w:right w:val="none" w:sz="0" w:space="0" w:color="auto"/>
      </w:divBdr>
    </w:div>
    <w:div w:id="336926955">
      <w:bodyDiv w:val="1"/>
      <w:marLeft w:val="0"/>
      <w:marRight w:val="0"/>
      <w:marTop w:val="0"/>
      <w:marBottom w:val="0"/>
      <w:divBdr>
        <w:top w:val="none" w:sz="0" w:space="0" w:color="auto"/>
        <w:left w:val="none" w:sz="0" w:space="0" w:color="auto"/>
        <w:bottom w:val="none" w:sz="0" w:space="0" w:color="auto"/>
        <w:right w:val="none" w:sz="0" w:space="0" w:color="auto"/>
      </w:divBdr>
    </w:div>
    <w:div w:id="338242120">
      <w:bodyDiv w:val="1"/>
      <w:marLeft w:val="0"/>
      <w:marRight w:val="0"/>
      <w:marTop w:val="0"/>
      <w:marBottom w:val="0"/>
      <w:divBdr>
        <w:top w:val="none" w:sz="0" w:space="0" w:color="auto"/>
        <w:left w:val="none" w:sz="0" w:space="0" w:color="auto"/>
        <w:bottom w:val="none" w:sz="0" w:space="0" w:color="auto"/>
        <w:right w:val="none" w:sz="0" w:space="0" w:color="auto"/>
      </w:divBdr>
    </w:div>
    <w:div w:id="338778108">
      <w:bodyDiv w:val="1"/>
      <w:marLeft w:val="0"/>
      <w:marRight w:val="0"/>
      <w:marTop w:val="0"/>
      <w:marBottom w:val="0"/>
      <w:divBdr>
        <w:top w:val="none" w:sz="0" w:space="0" w:color="auto"/>
        <w:left w:val="none" w:sz="0" w:space="0" w:color="auto"/>
        <w:bottom w:val="none" w:sz="0" w:space="0" w:color="auto"/>
        <w:right w:val="none" w:sz="0" w:space="0" w:color="auto"/>
      </w:divBdr>
    </w:div>
    <w:div w:id="362024230">
      <w:bodyDiv w:val="1"/>
      <w:marLeft w:val="0"/>
      <w:marRight w:val="0"/>
      <w:marTop w:val="0"/>
      <w:marBottom w:val="0"/>
      <w:divBdr>
        <w:top w:val="none" w:sz="0" w:space="0" w:color="auto"/>
        <w:left w:val="none" w:sz="0" w:space="0" w:color="auto"/>
        <w:bottom w:val="none" w:sz="0" w:space="0" w:color="auto"/>
        <w:right w:val="none" w:sz="0" w:space="0" w:color="auto"/>
      </w:divBdr>
    </w:div>
    <w:div w:id="377780404">
      <w:bodyDiv w:val="1"/>
      <w:marLeft w:val="0"/>
      <w:marRight w:val="0"/>
      <w:marTop w:val="0"/>
      <w:marBottom w:val="0"/>
      <w:divBdr>
        <w:top w:val="none" w:sz="0" w:space="0" w:color="auto"/>
        <w:left w:val="none" w:sz="0" w:space="0" w:color="auto"/>
        <w:bottom w:val="none" w:sz="0" w:space="0" w:color="auto"/>
        <w:right w:val="none" w:sz="0" w:space="0" w:color="auto"/>
      </w:divBdr>
    </w:div>
    <w:div w:id="390622363">
      <w:bodyDiv w:val="1"/>
      <w:marLeft w:val="0"/>
      <w:marRight w:val="0"/>
      <w:marTop w:val="0"/>
      <w:marBottom w:val="0"/>
      <w:divBdr>
        <w:top w:val="none" w:sz="0" w:space="0" w:color="auto"/>
        <w:left w:val="none" w:sz="0" w:space="0" w:color="auto"/>
        <w:bottom w:val="none" w:sz="0" w:space="0" w:color="auto"/>
        <w:right w:val="none" w:sz="0" w:space="0" w:color="auto"/>
      </w:divBdr>
    </w:div>
    <w:div w:id="403113643">
      <w:bodyDiv w:val="1"/>
      <w:marLeft w:val="0"/>
      <w:marRight w:val="0"/>
      <w:marTop w:val="0"/>
      <w:marBottom w:val="0"/>
      <w:divBdr>
        <w:top w:val="none" w:sz="0" w:space="0" w:color="auto"/>
        <w:left w:val="none" w:sz="0" w:space="0" w:color="auto"/>
        <w:bottom w:val="none" w:sz="0" w:space="0" w:color="auto"/>
        <w:right w:val="none" w:sz="0" w:space="0" w:color="auto"/>
      </w:divBdr>
    </w:div>
    <w:div w:id="420377589">
      <w:bodyDiv w:val="1"/>
      <w:marLeft w:val="0"/>
      <w:marRight w:val="0"/>
      <w:marTop w:val="0"/>
      <w:marBottom w:val="0"/>
      <w:divBdr>
        <w:top w:val="none" w:sz="0" w:space="0" w:color="auto"/>
        <w:left w:val="none" w:sz="0" w:space="0" w:color="auto"/>
        <w:bottom w:val="none" w:sz="0" w:space="0" w:color="auto"/>
        <w:right w:val="none" w:sz="0" w:space="0" w:color="auto"/>
      </w:divBdr>
    </w:div>
    <w:div w:id="446001664">
      <w:bodyDiv w:val="1"/>
      <w:marLeft w:val="0"/>
      <w:marRight w:val="0"/>
      <w:marTop w:val="0"/>
      <w:marBottom w:val="0"/>
      <w:divBdr>
        <w:top w:val="none" w:sz="0" w:space="0" w:color="auto"/>
        <w:left w:val="none" w:sz="0" w:space="0" w:color="auto"/>
        <w:bottom w:val="none" w:sz="0" w:space="0" w:color="auto"/>
        <w:right w:val="none" w:sz="0" w:space="0" w:color="auto"/>
      </w:divBdr>
    </w:div>
    <w:div w:id="448620520">
      <w:bodyDiv w:val="1"/>
      <w:marLeft w:val="0"/>
      <w:marRight w:val="0"/>
      <w:marTop w:val="0"/>
      <w:marBottom w:val="0"/>
      <w:divBdr>
        <w:top w:val="none" w:sz="0" w:space="0" w:color="auto"/>
        <w:left w:val="none" w:sz="0" w:space="0" w:color="auto"/>
        <w:bottom w:val="none" w:sz="0" w:space="0" w:color="auto"/>
        <w:right w:val="none" w:sz="0" w:space="0" w:color="auto"/>
      </w:divBdr>
    </w:div>
    <w:div w:id="460076317">
      <w:bodyDiv w:val="1"/>
      <w:marLeft w:val="0"/>
      <w:marRight w:val="0"/>
      <w:marTop w:val="0"/>
      <w:marBottom w:val="0"/>
      <w:divBdr>
        <w:top w:val="none" w:sz="0" w:space="0" w:color="auto"/>
        <w:left w:val="none" w:sz="0" w:space="0" w:color="auto"/>
        <w:bottom w:val="none" w:sz="0" w:space="0" w:color="auto"/>
        <w:right w:val="none" w:sz="0" w:space="0" w:color="auto"/>
      </w:divBdr>
    </w:div>
    <w:div w:id="460420894">
      <w:bodyDiv w:val="1"/>
      <w:marLeft w:val="0"/>
      <w:marRight w:val="0"/>
      <w:marTop w:val="0"/>
      <w:marBottom w:val="0"/>
      <w:divBdr>
        <w:top w:val="none" w:sz="0" w:space="0" w:color="auto"/>
        <w:left w:val="none" w:sz="0" w:space="0" w:color="auto"/>
        <w:bottom w:val="none" w:sz="0" w:space="0" w:color="auto"/>
        <w:right w:val="none" w:sz="0" w:space="0" w:color="auto"/>
      </w:divBdr>
    </w:div>
    <w:div w:id="467820014">
      <w:bodyDiv w:val="1"/>
      <w:marLeft w:val="0"/>
      <w:marRight w:val="0"/>
      <w:marTop w:val="0"/>
      <w:marBottom w:val="0"/>
      <w:divBdr>
        <w:top w:val="none" w:sz="0" w:space="0" w:color="auto"/>
        <w:left w:val="none" w:sz="0" w:space="0" w:color="auto"/>
        <w:bottom w:val="none" w:sz="0" w:space="0" w:color="auto"/>
        <w:right w:val="none" w:sz="0" w:space="0" w:color="auto"/>
      </w:divBdr>
    </w:div>
    <w:div w:id="487480116">
      <w:bodyDiv w:val="1"/>
      <w:marLeft w:val="0"/>
      <w:marRight w:val="0"/>
      <w:marTop w:val="0"/>
      <w:marBottom w:val="0"/>
      <w:divBdr>
        <w:top w:val="none" w:sz="0" w:space="0" w:color="auto"/>
        <w:left w:val="none" w:sz="0" w:space="0" w:color="auto"/>
        <w:bottom w:val="none" w:sz="0" w:space="0" w:color="auto"/>
        <w:right w:val="none" w:sz="0" w:space="0" w:color="auto"/>
      </w:divBdr>
    </w:div>
    <w:div w:id="510798319">
      <w:bodyDiv w:val="1"/>
      <w:marLeft w:val="0"/>
      <w:marRight w:val="0"/>
      <w:marTop w:val="0"/>
      <w:marBottom w:val="0"/>
      <w:divBdr>
        <w:top w:val="none" w:sz="0" w:space="0" w:color="auto"/>
        <w:left w:val="none" w:sz="0" w:space="0" w:color="auto"/>
        <w:bottom w:val="none" w:sz="0" w:space="0" w:color="auto"/>
        <w:right w:val="none" w:sz="0" w:space="0" w:color="auto"/>
      </w:divBdr>
    </w:div>
    <w:div w:id="528639891">
      <w:bodyDiv w:val="1"/>
      <w:marLeft w:val="0"/>
      <w:marRight w:val="0"/>
      <w:marTop w:val="0"/>
      <w:marBottom w:val="0"/>
      <w:divBdr>
        <w:top w:val="none" w:sz="0" w:space="0" w:color="auto"/>
        <w:left w:val="none" w:sz="0" w:space="0" w:color="auto"/>
        <w:bottom w:val="none" w:sz="0" w:space="0" w:color="auto"/>
        <w:right w:val="none" w:sz="0" w:space="0" w:color="auto"/>
      </w:divBdr>
    </w:div>
    <w:div w:id="530612126">
      <w:bodyDiv w:val="1"/>
      <w:marLeft w:val="0"/>
      <w:marRight w:val="0"/>
      <w:marTop w:val="0"/>
      <w:marBottom w:val="0"/>
      <w:divBdr>
        <w:top w:val="none" w:sz="0" w:space="0" w:color="auto"/>
        <w:left w:val="none" w:sz="0" w:space="0" w:color="auto"/>
        <w:bottom w:val="none" w:sz="0" w:space="0" w:color="auto"/>
        <w:right w:val="none" w:sz="0" w:space="0" w:color="auto"/>
      </w:divBdr>
    </w:div>
    <w:div w:id="533466212">
      <w:bodyDiv w:val="1"/>
      <w:marLeft w:val="0"/>
      <w:marRight w:val="0"/>
      <w:marTop w:val="0"/>
      <w:marBottom w:val="0"/>
      <w:divBdr>
        <w:top w:val="none" w:sz="0" w:space="0" w:color="auto"/>
        <w:left w:val="none" w:sz="0" w:space="0" w:color="auto"/>
        <w:bottom w:val="none" w:sz="0" w:space="0" w:color="auto"/>
        <w:right w:val="none" w:sz="0" w:space="0" w:color="auto"/>
      </w:divBdr>
    </w:div>
    <w:div w:id="542401117">
      <w:bodyDiv w:val="1"/>
      <w:marLeft w:val="0"/>
      <w:marRight w:val="0"/>
      <w:marTop w:val="0"/>
      <w:marBottom w:val="0"/>
      <w:divBdr>
        <w:top w:val="none" w:sz="0" w:space="0" w:color="auto"/>
        <w:left w:val="none" w:sz="0" w:space="0" w:color="auto"/>
        <w:bottom w:val="none" w:sz="0" w:space="0" w:color="auto"/>
        <w:right w:val="none" w:sz="0" w:space="0" w:color="auto"/>
      </w:divBdr>
    </w:div>
    <w:div w:id="550309314">
      <w:bodyDiv w:val="1"/>
      <w:marLeft w:val="0"/>
      <w:marRight w:val="0"/>
      <w:marTop w:val="0"/>
      <w:marBottom w:val="0"/>
      <w:divBdr>
        <w:top w:val="none" w:sz="0" w:space="0" w:color="auto"/>
        <w:left w:val="none" w:sz="0" w:space="0" w:color="auto"/>
        <w:bottom w:val="none" w:sz="0" w:space="0" w:color="auto"/>
        <w:right w:val="none" w:sz="0" w:space="0" w:color="auto"/>
      </w:divBdr>
    </w:div>
    <w:div w:id="561840704">
      <w:bodyDiv w:val="1"/>
      <w:marLeft w:val="0"/>
      <w:marRight w:val="0"/>
      <w:marTop w:val="0"/>
      <w:marBottom w:val="0"/>
      <w:divBdr>
        <w:top w:val="none" w:sz="0" w:space="0" w:color="auto"/>
        <w:left w:val="none" w:sz="0" w:space="0" w:color="auto"/>
        <w:bottom w:val="none" w:sz="0" w:space="0" w:color="auto"/>
        <w:right w:val="none" w:sz="0" w:space="0" w:color="auto"/>
      </w:divBdr>
    </w:div>
    <w:div w:id="584994936">
      <w:bodyDiv w:val="1"/>
      <w:marLeft w:val="0"/>
      <w:marRight w:val="0"/>
      <w:marTop w:val="0"/>
      <w:marBottom w:val="0"/>
      <w:divBdr>
        <w:top w:val="none" w:sz="0" w:space="0" w:color="auto"/>
        <w:left w:val="none" w:sz="0" w:space="0" w:color="auto"/>
        <w:bottom w:val="none" w:sz="0" w:space="0" w:color="auto"/>
        <w:right w:val="none" w:sz="0" w:space="0" w:color="auto"/>
      </w:divBdr>
    </w:div>
    <w:div w:id="595287935">
      <w:bodyDiv w:val="1"/>
      <w:marLeft w:val="0"/>
      <w:marRight w:val="0"/>
      <w:marTop w:val="0"/>
      <w:marBottom w:val="0"/>
      <w:divBdr>
        <w:top w:val="none" w:sz="0" w:space="0" w:color="auto"/>
        <w:left w:val="none" w:sz="0" w:space="0" w:color="auto"/>
        <w:bottom w:val="none" w:sz="0" w:space="0" w:color="auto"/>
        <w:right w:val="none" w:sz="0" w:space="0" w:color="auto"/>
      </w:divBdr>
    </w:div>
    <w:div w:id="620889317">
      <w:bodyDiv w:val="1"/>
      <w:marLeft w:val="0"/>
      <w:marRight w:val="0"/>
      <w:marTop w:val="0"/>
      <w:marBottom w:val="0"/>
      <w:divBdr>
        <w:top w:val="none" w:sz="0" w:space="0" w:color="auto"/>
        <w:left w:val="none" w:sz="0" w:space="0" w:color="auto"/>
        <w:bottom w:val="none" w:sz="0" w:space="0" w:color="auto"/>
        <w:right w:val="none" w:sz="0" w:space="0" w:color="auto"/>
      </w:divBdr>
    </w:div>
    <w:div w:id="639652412">
      <w:bodyDiv w:val="1"/>
      <w:marLeft w:val="0"/>
      <w:marRight w:val="0"/>
      <w:marTop w:val="0"/>
      <w:marBottom w:val="0"/>
      <w:divBdr>
        <w:top w:val="none" w:sz="0" w:space="0" w:color="auto"/>
        <w:left w:val="none" w:sz="0" w:space="0" w:color="auto"/>
        <w:bottom w:val="none" w:sz="0" w:space="0" w:color="auto"/>
        <w:right w:val="none" w:sz="0" w:space="0" w:color="auto"/>
      </w:divBdr>
    </w:div>
    <w:div w:id="639729058">
      <w:bodyDiv w:val="1"/>
      <w:marLeft w:val="0"/>
      <w:marRight w:val="0"/>
      <w:marTop w:val="0"/>
      <w:marBottom w:val="0"/>
      <w:divBdr>
        <w:top w:val="none" w:sz="0" w:space="0" w:color="auto"/>
        <w:left w:val="none" w:sz="0" w:space="0" w:color="auto"/>
        <w:bottom w:val="none" w:sz="0" w:space="0" w:color="auto"/>
        <w:right w:val="none" w:sz="0" w:space="0" w:color="auto"/>
      </w:divBdr>
    </w:div>
    <w:div w:id="669797791">
      <w:bodyDiv w:val="1"/>
      <w:marLeft w:val="0"/>
      <w:marRight w:val="0"/>
      <w:marTop w:val="0"/>
      <w:marBottom w:val="0"/>
      <w:divBdr>
        <w:top w:val="none" w:sz="0" w:space="0" w:color="auto"/>
        <w:left w:val="none" w:sz="0" w:space="0" w:color="auto"/>
        <w:bottom w:val="none" w:sz="0" w:space="0" w:color="auto"/>
        <w:right w:val="none" w:sz="0" w:space="0" w:color="auto"/>
      </w:divBdr>
    </w:div>
    <w:div w:id="699623695">
      <w:bodyDiv w:val="1"/>
      <w:marLeft w:val="0"/>
      <w:marRight w:val="0"/>
      <w:marTop w:val="0"/>
      <w:marBottom w:val="0"/>
      <w:divBdr>
        <w:top w:val="none" w:sz="0" w:space="0" w:color="auto"/>
        <w:left w:val="none" w:sz="0" w:space="0" w:color="auto"/>
        <w:bottom w:val="none" w:sz="0" w:space="0" w:color="auto"/>
        <w:right w:val="none" w:sz="0" w:space="0" w:color="auto"/>
      </w:divBdr>
    </w:div>
    <w:div w:id="714308192">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48967155">
      <w:bodyDiv w:val="1"/>
      <w:marLeft w:val="0"/>
      <w:marRight w:val="0"/>
      <w:marTop w:val="0"/>
      <w:marBottom w:val="0"/>
      <w:divBdr>
        <w:top w:val="none" w:sz="0" w:space="0" w:color="auto"/>
        <w:left w:val="none" w:sz="0" w:space="0" w:color="auto"/>
        <w:bottom w:val="none" w:sz="0" w:space="0" w:color="auto"/>
        <w:right w:val="none" w:sz="0" w:space="0" w:color="auto"/>
      </w:divBdr>
    </w:div>
    <w:div w:id="797449685">
      <w:bodyDiv w:val="1"/>
      <w:marLeft w:val="0"/>
      <w:marRight w:val="0"/>
      <w:marTop w:val="0"/>
      <w:marBottom w:val="0"/>
      <w:divBdr>
        <w:top w:val="none" w:sz="0" w:space="0" w:color="auto"/>
        <w:left w:val="none" w:sz="0" w:space="0" w:color="auto"/>
        <w:bottom w:val="none" w:sz="0" w:space="0" w:color="auto"/>
        <w:right w:val="none" w:sz="0" w:space="0" w:color="auto"/>
      </w:divBdr>
    </w:div>
    <w:div w:id="815731348">
      <w:bodyDiv w:val="1"/>
      <w:marLeft w:val="0"/>
      <w:marRight w:val="0"/>
      <w:marTop w:val="0"/>
      <w:marBottom w:val="0"/>
      <w:divBdr>
        <w:top w:val="none" w:sz="0" w:space="0" w:color="auto"/>
        <w:left w:val="none" w:sz="0" w:space="0" w:color="auto"/>
        <w:bottom w:val="none" w:sz="0" w:space="0" w:color="auto"/>
        <w:right w:val="none" w:sz="0" w:space="0" w:color="auto"/>
      </w:divBdr>
    </w:div>
    <w:div w:id="842549402">
      <w:bodyDiv w:val="1"/>
      <w:marLeft w:val="0"/>
      <w:marRight w:val="0"/>
      <w:marTop w:val="0"/>
      <w:marBottom w:val="0"/>
      <w:divBdr>
        <w:top w:val="none" w:sz="0" w:space="0" w:color="auto"/>
        <w:left w:val="none" w:sz="0" w:space="0" w:color="auto"/>
        <w:bottom w:val="none" w:sz="0" w:space="0" w:color="auto"/>
        <w:right w:val="none" w:sz="0" w:space="0" w:color="auto"/>
      </w:divBdr>
    </w:div>
    <w:div w:id="853808483">
      <w:bodyDiv w:val="1"/>
      <w:marLeft w:val="0"/>
      <w:marRight w:val="0"/>
      <w:marTop w:val="0"/>
      <w:marBottom w:val="0"/>
      <w:divBdr>
        <w:top w:val="none" w:sz="0" w:space="0" w:color="auto"/>
        <w:left w:val="none" w:sz="0" w:space="0" w:color="auto"/>
        <w:bottom w:val="none" w:sz="0" w:space="0" w:color="auto"/>
        <w:right w:val="none" w:sz="0" w:space="0" w:color="auto"/>
      </w:divBdr>
    </w:div>
    <w:div w:id="854613512">
      <w:bodyDiv w:val="1"/>
      <w:marLeft w:val="0"/>
      <w:marRight w:val="0"/>
      <w:marTop w:val="0"/>
      <w:marBottom w:val="0"/>
      <w:divBdr>
        <w:top w:val="none" w:sz="0" w:space="0" w:color="auto"/>
        <w:left w:val="none" w:sz="0" w:space="0" w:color="auto"/>
        <w:bottom w:val="none" w:sz="0" w:space="0" w:color="auto"/>
        <w:right w:val="none" w:sz="0" w:space="0" w:color="auto"/>
      </w:divBdr>
    </w:div>
    <w:div w:id="864175914">
      <w:bodyDiv w:val="1"/>
      <w:marLeft w:val="0"/>
      <w:marRight w:val="0"/>
      <w:marTop w:val="0"/>
      <w:marBottom w:val="0"/>
      <w:divBdr>
        <w:top w:val="none" w:sz="0" w:space="0" w:color="auto"/>
        <w:left w:val="none" w:sz="0" w:space="0" w:color="auto"/>
        <w:bottom w:val="none" w:sz="0" w:space="0" w:color="auto"/>
        <w:right w:val="none" w:sz="0" w:space="0" w:color="auto"/>
      </w:divBdr>
    </w:div>
    <w:div w:id="891159010">
      <w:bodyDiv w:val="1"/>
      <w:marLeft w:val="0"/>
      <w:marRight w:val="0"/>
      <w:marTop w:val="0"/>
      <w:marBottom w:val="0"/>
      <w:divBdr>
        <w:top w:val="none" w:sz="0" w:space="0" w:color="auto"/>
        <w:left w:val="none" w:sz="0" w:space="0" w:color="auto"/>
        <w:bottom w:val="none" w:sz="0" w:space="0" w:color="auto"/>
        <w:right w:val="none" w:sz="0" w:space="0" w:color="auto"/>
      </w:divBdr>
    </w:div>
    <w:div w:id="897672820">
      <w:bodyDiv w:val="1"/>
      <w:marLeft w:val="0"/>
      <w:marRight w:val="0"/>
      <w:marTop w:val="0"/>
      <w:marBottom w:val="0"/>
      <w:divBdr>
        <w:top w:val="none" w:sz="0" w:space="0" w:color="auto"/>
        <w:left w:val="none" w:sz="0" w:space="0" w:color="auto"/>
        <w:bottom w:val="none" w:sz="0" w:space="0" w:color="auto"/>
        <w:right w:val="none" w:sz="0" w:space="0" w:color="auto"/>
      </w:divBdr>
    </w:div>
    <w:div w:id="900598416">
      <w:bodyDiv w:val="1"/>
      <w:marLeft w:val="0"/>
      <w:marRight w:val="0"/>
      <w:marTop w:val="0"/>
      <w:marBottom w:val="0"/>
      <w:divBdr>
        <w:top w:val="none" w:sz="0" w:space="0" w:color="auto"/>
        <w:left w:val="none" w:sz="0" w:space="0" w:color="auto"/>
        <w:bottom w:val="none" w:sz="0" w:space="0" w:color="auto"/>
        <w:right w:val="none" w:sz="0" w:space="0" w:color="auto"/>
      </w:divBdr>
    </w:div>
    <w:div w:id="901132908">
      <w:bodyDiv w:val="1"/>
      <w:marLeft w:val="0"/>
      <w:marRight w:val="0"/>
      <w:marTop w:val="0"/>
      <w:marBottom w:val="0"/>
      <w:divBdr>
        <w:top w:val="none" w:sz="0" w:space="0" w:color="auto"/>
        <w:left w:val="none" w:sz="0" w:space="0" w:color="auto"/>
        <w:bottom w:val="none" w:sz="0" w:space="0" w:color="auto"/>
        <w:right w:val="none" w:sz="0" w:space="0" w:color="auto"/>
      </w:divBdr>
    </w:div>
    <w:div w:id="936714924">
      <w:bodyDiv w:val="1"/>
      <w:marLeft w:val="0"/>
      <w:marRight w:val="0"/>
      <w:marTop w:val="0"/>
      <w:marBottom w:val="0"/>
      <w:divBdr>
        <w:top w:val="none" w:sz="0" w:space="0" w:color="auto"/>
        <w:left w:val="none" w:sz="0" w:space="0" w:color="auto"/>
        <w:bottom w:val="none" w:sz="0" w:space="0" w:color="auto"/>
        <w:right w:val="none" w:sz="0" w:space="0" w:color="auto"/>
      </w:divBdr>
    </w:div>
    <w:div w:id="938416495">
      <w:bodyDiv w:val="1"/>
      <w:marLeft w:val="0"/>
      <w:marRight w:val="0"/>
      <w:marTop w:val="0"/>
      <w:marBottom w:val="0"/>
      <w:divBdr>
        <w:top w:val="none" w:sz="0" w:space="0" w:color="auto"/>
        <w:left w:val="none" w:sz="0" w:space="0" w:color="auto"/>
        <w:bottom w:val="none" w:sz="0" w:space="0" w:color="auto"/>
        <w:right w:val="none" w:sz="0" w:space="0" w:color="auto"/>
      </w:divBdr>
    </w:div>
    <w:div w:id="945503455">
      <w:bodyDiv w:val="1"/>
      <w:marLeft w:val="0"/>
      <w:marRight w:val="0"/>
      <w:marTop w:val="0"/>
      <w:marBottom w:val="0"/>
      <w:divBdr>
        <w:top w:val="none" w:sz="0" w:space="0" w:color="auto"/>
        <w:left w:val="none" w:sz="0" w:space="0" w:color="auto"/>
        <w:bottom w:val="none" w:sz="0" w:space="0" w:color="auto"/>
        <w:right w:val="none" w:sz="0" w:space="0" w:color="auto"/>
      </w:divBdr>
    </w:div>
    <w:div w:id="947397447">
      <w:bodyDiv w:val="1"/>
      <w:marLeft w:val="0"/>
      <w:marRight w:val="0"/>
      <w:marTop w:val="0"/>
      <w:marBottom w:val="0"/>
      <w:divBdr>
        <w:top w:val="none" w:sz="0" w:space="0" w:color="auto"/>
        <w:left w:val="none" w:sz="0" w:space="0" w:color="auto"/>
        <w:bottom w:val="none" w:sz="0" w:space="0" w:color="auto"/>
        <w:right w:val="none" w:sz="0" w:space="0" w:color="auto"/>
      </w:divBdr>
    </w:div>
    <w:div w:id="948857187">
      <w:bodyDiv w:val="1"/>
      <w:marLeft w:val="0"/>
      <w:marRight w:val="0"/>
      <w:marTop w:val="0"/>
      <w:marBottom w:val="0"/>
      <w:divBdr>
        <w:top w:val="none" w:sz="0" w:space="0" w:color="auto"/>
        <w:left w:val="none" w:sz="0" w:space="0" w:color="auto"/>
        <w:bottom w:val="none" w:sz="0" w:space="0" w:color="auto"/>
        <w:right w:val="none" w:sz="0" w:space="0" w:color="auto"/>
      </w:divBdr>
    </w:div>
    <w:div w:id="951595644">
      <w:bodyDiv w:val="1"/>
      <w:marLeft w:val="0"/>
      <w:marRight w:val="0"/>
      <w:marTop w:val="0"/>
      <w:marBottom w:val="0"/>
      <w:divBdr>
        <w:top w:val="none" w:sz="0" w:space="0" w:color="auto"/>
        <w:left w:val="none" w:sz="0" w:space="0" w:color="auto"/>
        <w:bottom w:val="none" w:sz="0" w:space="0" w:color="auto"/>
        <w:right w:val="none" w:sz="0" w:space="0" w:color="auto"/>
      </w:divBdr>
    </w:div>
    <w:div w:id="957492864">
      <w:bodyDiv w:val="1"/>
      <w:marLeft w:val="0"/>
      <w:marRight w:val="0"/>
      <w:marTop w:val="0"/>
      <w:marBottom w:val="0"/>
      <w:divBdr>
        <w:top w:val="none" w:sz="0" w:space="0" w:color="auto"/>
        <w:left w:val="none" w:sz="0" w:space="0" w:color="auto"/>
        <w:bottom w:val="none" w:sz="0" w:space="0" w:color="auto"/>
        <w:right w:val="none" w:sz="0" w:space="0" w:color="auto"/>
      </w:divBdr>
    </w:div>
    <w:div w:id="1007948886">
      <w:bodyDiv w:val="1"/>
      <w:marLeft w:val="0"/>
      <w:marRight w:val="0"/>
      <w:marTop w:val="0"/>
      <w:marBottom w:val="0"/>
      <w:divBdr>
        <w:top w:val="none" w:sz="0" w:space="0" w:color="auto"/>
        <w:left w:val="none" w:sz="0" w:space="0" w:color="auto"/>
        <w:bottom w:val="none" w:sz="0" w:space="0" w:color="auto"/>
        <w:right w:val="none" w:sz="0" w:space="0" w:color="auto"/>
      </w:divBdr>
    </w:div>
    <w:div w:id="1040394014">
      <w:bodyDiv w:val="1"/>
      <w:marLeft w:val="0"/>
      <w:marRight w:val="0"/>
      <w:marTop w:val="0"/>
      <w:marBottom w:val="0"/>
      <w:divBdr>
        <w:top w:val="none" w:sz="0" w:space="0" w:color="auto"/>
        <w:left w:val="none" w:sz="0" w:space="0" w:color="auto"/>
        <w:bottom w:val="none" w:sz="0" w:space="0" w:color="auto"/>
        <w:right w:val="none" w:sz="0" w:space="0" w:color="auto"/>
      </w:divBdr>
    </w:div>
    <w:div w:id="1049064426">
      <w:bodyDiv w:val="1"/>
      <w:marLeft w:val="0"/>
      <w:marRight w:val="0"/>
      <w:marTop w:val="0"/>
      <w:marBottom w:val="0"/>
      <w:divBdr>
        <w:top w:val="none" w:sz="0" w:space="0" w:color="auto"/>
        <w:left w:val="none" w:sz="0" w:space="0" w:color="auto"/>
        <w:bottom w:val="none" w:sz="0" w:space="0" w:color="auto"/>
        <w:right w:val="none" w:sz="0" w:space="0" w:color="auto"/>
      </w:divBdr>
    </w:div>
    <w:div w:id="1053381596">
      <w:bodyDiv w:val="1"/>
      <w:marLeft w:val="0"/>
      <w:marRight w:val="0"/>
      <w:marTop w:val="0"/>
      <w:marBottom w:val="0"/>
      <w:divBdr>
        <w:top w:val="none" w:sz="0" w:space="0" w:color="auto"/>
        <w:left w:val="none" w:sz="0" w:space="0" w:color="auto"/>
        <w:bottom w:val="none" w:sz="0" w:space="0" w:color="auto"/>
        <w:right w:val="none" w:sz="0" w:space="0" w:color="auto"/>
      </w:divBdr>
    </w:div>
    <w:div w:id="1072312264">
      <w:bodyDiv w:val="1"/>
      <w:marLeft w:val="0"/>
      <w:marRight w:val="0"/>
      <w:marTop w:val="0"/>
      <w:marBottom w:val="0"/>
      <w:divBdr>
        <w:top w:val="none" w:sz="0" w:space="0" w:color="auto"/>
        <w:left w:val="none" w:sz="0" w:space="0" w:color="auto"/>
        <w:bottom w:val="none" w:sz="0" w:space="0" w:color="auto"/>
        <w:right w:val="none" w:sz="0" w:space="0" w:color="auto"/>
      </w:divBdr>
    </w:div>
    <w:div w:id="1110659931">
      <w:bodyDiv w:val="1"/>
      <w:marLeft w:val="0"/>
      <w:marRight w:val="0"/>
      <w:marTop w:val="0"/>
      <w:marBottom w:val="0"/>
      <w:divBdr>
        <w:top w:val="none" w:sz="0" w:space="0" w:color="auto"/>
        <w:left w:val="none" w:sz="0" w:space="0" w:color="auto"/>
        <w:bottom w:val="none" w:sz="0" w:space="0" w:color="auto"/>
        <w:right w:val="none" w:sz="0" w:space="0" w:color="auto"/>
      </w:divBdr>
    </w:div>
    <w:div w:id="1114179618">
      <w:bodyDiv w:val="1"/>
      <w:marLeft w:val="0"/>
      <w:marRight w:val="0"/>
      <w:marTop w:val="0"/>
      <w:marBottom w:val="0"/>
      <w:divBdr>
        <w:top w:val="none" w:sz="0" w:space="0" w:color="auto"/>
        <w:left w:val="none" w:sz="0" w:space="0" w:color="auto"/>
        <w:bottom w:val="none" w:sz="0" w:space="0" w:color="auto"/>
        <w:right w:val="none" w:sz="0" w:space="0" w:color="auto"/>
      </w:divBdr>
    </w:div>
    <w:div w:id="1129589767">
      <w:bodyDiv w:val="1"/>
      <w:marLeft w:val="0"/>
      <w:marRight w:val="0"/>
      <w:marTop w:val="0"/>
      <w:marBottom w:val="0"/>
      <w:divBdr>
        <w:top w:val="none" w:sz="0" w:space="0" w:color="auto"/>
        <w:left w:val="none" w:sz="0" w:space="0" w:color="auto"/>
        <w:bottom w:val="none" w:sz="0" w:space="0" w:color="auto"/>
        <w:right w:val="none" w:sz="0" w:space="0" w:color="auto"/>
      </w:divBdr>
    </w:div>
    <w:div w:id="1144659714">
      <w:bodyDiv w:val="1"/>
      <w:marLeft w:val="0"/>
      <w:marRight w:val="0"/>
      <w:marTop w:val="0"/>
      <w:marBottom w:val="0"/>
      <w:divBdr>
        <w:top w:val="none" w:sz="0" w:space="0" w:color="auto"/>
        <w:left w:val="none" w:sz="0" w:space="0" w:color="auto"/>
        <w:bottom w:val="none" w:sz="0" w:space="0" w:color="auto"/>
        <w:right w:val="none" w:sz="0" w:space="0" w:color="auto"/>
      </w:divBdr>
    </w:div>
    <w:div w:id="1153063161">
      <w:bodyDiv w:val="1"/>
      <w:marLeft w:val="0"/>
      <w:marRight w:val="0"/>
      <w:marTop w:val="0"/>
      <w:marBottom w:val="0"/>
      <w:divBdr>
        <w:top w:val="none" w:sz="0" w:space="0" w:color="auto"/>
        <w:left w:val="none" w:sz="0" w:space="0" w:color="auto"/>
        <w:bottom w:val="none" w:sz="0" w:space="0" w:color="auto"/>
        <w:right w:val="none" w:sz="0" w:space="0" w:color="auto"/>
      </w:divBdr>
    </w:div>
    <w:div w:id="1177959919">
      <w:bodyDiv w:val="1"/>
      <w:marLeft w:val="0"/>
      <w:marRight w:val="0"/>
      <w:marTop w:val="0"/>
      <w:marBottom w:val="0"/>
      <w:divBdr>
        <w:top w:val="none" w:sz="0" w:space="0" w:color="auto"/>
        <w:left w:val="none" w:sz="0" w:space="0" w:color="auto"/>
        <w:bottom w:val="none" w:sz="0" w:space="0" w:color="auto"/>
        <w:right w:val="none" w:sz="0" w:space="0" w:color="auto"/>
      </w:divBdr>
    </w:div>
    <w:div w:id="1189412912">
      <w:bodyDiv w:val="1"/>
      <w:marLeft w:val="0"/>
      <w:marRight w:val="0"/>
      <w:marTop w:val="0"/>
      <w:marBottom w:val="0"/>
      <w:divBdr>
        <w:top w:val="none" w:sz="0" w:space="0" w:color="auto"/>
        <w:left w:val="none" w:sz="0" w:space="0" w:color="auto"/>
        <w:bottom w:val="none" w:sz="0" w:space="0" w:color="auto"/>
        <w:right w:val="none" w:sz="0" w:space="0" w:color="auto"/>
      </w:divBdr>
    </w:div>
    <w:div w:id="1190602517">
      <w:bodyDiv w:val="1"/>
      <w:marLeft w:val="0"/>
      <w:marRight w:val="0"/>
      <w:marTop w:val="0"/>
      <w:marBottom w:val="0"/>
      <w:divBdr>
        <w:top w:val="none" w:sz="0" w:space="0" w:color="auto"/>
        <w:left w:val="none" w:sz="0" w:space="0" w:color="auto"/>
        <w:bottom w:val="none" w:sz="0" w:space="0" w:color="auto"/>
        <w:right w:val="none" w:sz="0" w:space="0" w:color="auto"/>
      </w:divBdr>
    </w:div>
    <w:div w:id="1222181243">
      <w:bodyDiv w:val="1"/>
      <w:marLeft w:val="0"/>
      <w:marRight w:val="0"/>
      <w:marTop w:val="0"/>
      <w:marBottom w:val="0"/>
      <w:divBdr>
        <w:top w:val="none" w:sz="0" w:space="0" w:color="auto"/>
        <w:left w:val="none" w:sz="0" w:space="0" w:color="auto"/>
        <w:bottom w:val="none" w:sz="0" w:space="0" w:color="auto"/>
        <w:right w:val="none" w:sz="0" w:space="0" w:color="auto"/>
      </w:divBdr>
    </w:div>
    <w:div w:id="1233393578">
      <w:bodyDiv w:val="1"/>
      <w:marLeft w:val="0"/>
      <w:marRight w:val="0"/>
      <w:marTop w:val="0"/>
      <w:marBottom w:val="0"/>
      <w:divBdr>
        <w:top w:val="none" w:sz="0" w:space="0" w:color="auto"/>
        <w:left w:val="none" w:sz="0" w:space="0" w:color="auto"/>
        <w:bottom w:val="none" w:sz="0" w:space="0" w:color="auto"/>
        <w:right w:val="none" w:sz="0" w:space="0" w:color="auto"/>
      </w:divBdr>
    </w:div>
    <w:div w:id="1241911110">
      <w:bodyDiv w:val="1"/>
      <w:marLeft w:val="0"/>
      <w:marRight w:val="0"/>
      <w:marTop w:val="0"/>
      <w:marBottom w:val="0"/>
      <w:divBdr>
        <w:top w:val="none" w:sz="0" w:space="0" w:color="auto"/>
        <w:left w:val="none" w:sz="0" w:space="0" w:color="auto"/>
        <w:bottom w:val="none" w:sz="0" w:space="0" w:color="auto"/>
        <w:right w:val="none" w:sz="0" w:space="0" w:color="auto"/>
      </w:divBdr>
    </w:div>
    <w:div w:id="1275870075">
      <w:bodyDiv w:val="1"/>
      <w:marLeft w:val="0"/>
      <w:marRight w:val="0"/>
      <w:marTop w:val="0"/>
      <w:marBottom w:val="0"/>
      <w:divBdr>
        <w:top w:val="none" w:sz="0" w:space="0" w:color="auto"/>
        <w:left w:val="none" w:sz="0" w:space="0" w:color="auto"/>
        <w:bottom w:val="none" w:sz="0" w:space="0" w:color="auto"/>
        <w:right w:val="none" w:sz="0" w:space="0" w:color="auto"/>
      </w:divBdr>
    </w:div>
    <w:div w:id="1278835682">
      <w:bodyDiv w:val="1"/>
      <w:marLeft w:val="0"/>
      <w:marRight w:val="0"/>
      <w:marTop w:val="0"/>
      <w:marBottom w:val="0"/>
      <w:divBdr>
        <w:top w:val="none" w:sz="0" w:space="0" w:color="auto"/>
        <w:left w:val="none" w:sz="0" w:space="0" w:color="auto"/>
        <w:bottom w:val="none" w:sz="0" w:space="0" w:color="auto"/>
        <w:right w:val="none" w:sz="0" w:space="0" w:color="auto"/>
      </w:divBdr>
    </w:div>
    <w:div w:id="1284848290">
      <w:bodyDiv w:val="1"/>
      <w:marLeft w:val="0"/>
      <w:marRight w:val="0"/>
      <w:marTop w:val="0"/>
      <w:marBottom w:val="0"/>
      <w:divBdr>
        <w:top w:val="none" w:sz="0" w:space="0" w:color="auto"/>
        <w:left w:val="none" w:sz="0" w:space="0" w:color="auto"/>
        <w:bottom w:val="none" w:sz="0" w:space="0" w:color="auto"/>
        <w:right w:val="none" w:sz="0" w:space="0" w:color="auto"/>
      </w:divBdr>
    </w:div>
    <w:div w:id="1303271744">
      <w:bodyDiv w:val="1"/>
      <w:marLeft w:val="0"/>
      <w:marRight w:val="0"/>
      <w:marTop w:val="0"/>
      <w:marBottom w:val="0"/>
      <w:divBdr>
        <w:top w:val="none" w:sz="0" w:space="0" w:color="auto"/>
        <w:left w:val="none" w:sz="0" w:space="0" w:color="auto"/>
        <w:bottom w:val="none" w:sz="0" w:space="0" w:color="auto"/>
        <w:right w:val="none" w:sz="0" w:space="0" w:color="auto"/>
      </w:divBdr>
    </w:div>
    <w:div w:id="1309673357">
      <w:bodyDiv w:val="1"/>
      <w:marLeft w:val="0"/>
      <w:marRight w:val="0"/>
      <w:marTop w:val="0"/>
      <w:marBottom w:val="0"/>
      <w:divBdr>
        <w:top w:val="none" w:sz="0" w:space="0" w:color="auto"/>
        <w:left w:val="none" w:sz="0" w:space="0" w:color="auto"/>
        <w:bottom w:val="none" w:sz="0" w:space="0" w:color="auto"/>
        <w:right w:val="none" w:sz="0" w:space="0" w:color="auto"/>
      </w:divBdr>
    </w:div>
    <w:div w:id="1309821349">
      <w:bodyDiv w:val="1"/>
      <w:marLeft w:val="0"/>
      <w:marRight w:val="0"/>
      <w:marTop w:val="0"/>
      <w:marBottom w:val="0"/>
      <w:divBdr>
        <w:top w:val="none" w:sz="0" w:space="0" w:color="auto"/>
        <w:left w:val="none" w:sz="0" w:space="0" w:color="auto"/>
        <w:bottom w:val="none" w:sz="0" w:space="0" w:color="auto"/>
        <w:right w:val="none" w:sz="0" w:space="0" w:color="auto"/>
      </w:divBdr>
    </w:div>
    <w:div w:id="1310087299">
      <w:bodyDiv w:val="1"/>
      <w:marLeft w:val="0"/>
      <w:marRight w:val="0"/>
      <w:marTop w:val="0"/>
      <w:marBottom w:val="0"/>
      <w:divBdr>
        <w:top w:val="none" w:sz="0" w:space="0" w:color="auto"/>
        <w:left w:val="none" w:sz="0" w:space="0" w:color="auto"/>
        <w:bottom w:val="none" w:sz="0" w:space="0" w:color="auto"/>
        <w:right w:val="none" w:sz="0" w:space="0" w:color="auto"/>
      </w:divBdr>
    </w:div>
    <w:div w:id="1326396438">
      <w:bodyDiv w:val="1"/>
      <w:marLeft w:val="0"/>
      <w:marRight w:val="0"/>
      <w:marTop w:val="0"/>
      <w:marBottom w:val="0"/>
      <w:divBdr>
        <w:top w:val="none" w:sz="0" w:space="0" w:color="auto"/>
        <w:left w:val="none" w:sz="0" w:space="0" w:color="auto"/>
        <w:bottom w:val="none" w:sz="0" w:space="0" w:color="auto"/>
        <w:right w:val="none" w:sz="0" w:space="0" w:color="auto"/>
      </w:divBdr>
    </w:div>
    <w:div w:id="1327054184">
      <w:bodyDiv w:val="1"/>
      <w:marLeft w:val="0"/>
      <w:marRight w:val="0"/>
      <w:marTop w:val="0"/>
      <w:marBottom w:val="0"/>
      <w:divBdr>
        <w:top w:val="none" w:sz="0" w:space="0" w:color="auto"/>
        <w:left w:val="none" w:sz="0" w:space="0" w:color="auto"/>
        <w:bottom w:val="none" w:sz="0" w:space="0" w:color="auto"/>
        <w:right w:val="none" w:sz="0" w:space="0" w:color="auto"/>
      </w:divBdr>
    </w:div>
    <w:div w:id="1327434970">
      <w:bodyDiv w:val="1"/>
      <w:marLeft w:val="0"/>
      <w:marRight w:val="0"/>
      <w:marTop w:val="0"/>
      <w:marBottom w:val="0"/>
      <w:divBdr>
        <w:top w:val="none" w:sz="0" w:space="0" w:color="auto"/>
        <w:left w:val="none" w:sz="0" w:space="0" w:color="auto"/>
        <w:bottom w:val="none" w:sz="0" w:space="0" w:color="auto"/>
        <w:right w:val="none" w:sz="0" w:space="0" w:color="auto"/>
      </w:divBdr>
    </w:div>
    <w:div w:id="1334214200">
      <w:bodyDiv w:val="1"/>
      <w:marLeft w:val="0"/>
      <w:marRight w:val="0"/>
      <w:marTop w:val="0"/>
      <w:marBottom w:val="0"/>
      <w:divBdr>
        <w:top w:val="none" w:sz="0" w:space="0" w:color="auto"/>
        <w:left w:val="none" w:sz="0" w:space="0" w:color="auto"/>
        <w:bottom w:val="none" w:sz="0" w:space="0" w:color="auto"/>
        <w:right w:val="none" w:sz="0" w:space="0" w:color="auto"/>
      </w:divBdr>
    </w:div>
    <w:div w:id="1335035741">
      <w:bodyDiv w:val="1"/>
      <w:marLeft w:val="0"/>
      <w:marRight w:val="0"/>
      <w:marTop w:val="0"/>
      <w:marBottom w:val="0"/>
      <w:divBdr>
        <w:top w:val="none" w:sz="0" w:space="0" w:color="auto"/>
        <w:left w:val="none" w:sz="0" w:space="0" w:color="auto"/>
        <w:bottom w:val="none" w:sz="0" w:space="0" w:color="auto"/>
        <w:right w:val="none" w:sz="0" w:space="0" w:color="auto"/>
      </w:divBdr>
    </w:div>
    <w:div w:id="1348408839">
      <w:bodyDiv w:val="1"/>
      <w:marLeft w:val="0"/>
      <w:marRight w:val="0"/>
      <w:marTop w:val="0"/>
      <w:marBottom w:val="0"/>
      <w:divBdr>
        <w:top w:val="none" w:sz="0" w:space="0" w:color="auto"/>
        <w:left w:val="none" w:sz="0" w:space="0" w:color="auto"/>
        <w:bottom w:val="none" w:sz="0" w:space="0" w:color="auto"/>
        <w:right w:val="none" w:sz="0" w:space="0" w:color="auto"/>
      </w:divBdr>
    </w:div>
    <w:div w:id="1355958535">
      <w:bodyDiv w:val="1"/>
      <w:marLeft w:val="0"/>
      <w:marRight w:val="0"/>
      <w:marTop w:val="0"/>
      <w:marBottom w:val="0"/>
      <w:divBdr>
        <w:top w:val="none" w:sz="0" w:space="0" w:color="auto"/>
        <w:left w:val="none" w:sz="0" w:space="0" w:color="auto"/>
        <w:bottom w:val="none" w:sz="0" w:space="0" w:color="auto"/>
        <w:right w:val="none" w:sz="0" w:space="0" w:color="auto"/>
      </w:divBdr>
    </w:div>
    <w:div w:id="1371373297">
      <w:bodyDiv w:val="1"/>
      <w:marLeft w:val="0"/>
      <w:marRight w:val="0"/>
      <w:marTop w:val="0"/>
      <w:marBottom w:val="0"/>
      <w:divBdr>
        <w:top w:val="none" w:sz="0" w:space="0" w:color="auto"/>
        <w:left w:val="none" w:sz="0" w:space="0" w:color="auto"/>
        <w:bottom w:val="none" w:sz="0" w:space="0" w:color="auto"/>
        <w:right w:val="none" w:sz="0" w:space="0" w:color="auto"/>
      </w:divBdr>
    </w:div>
    <w:div w:id="1378358783">
      <w:bodyDiv w:val="1"/>
      <w:marLeft w:val="0"/>
      <w:marRight w:val="0"/>
      <w:marTop w:val="0"/>
      <w:marBottom w:val="0"/>
      <w:divBdr>
        <w:top w:val="none" w:sz="0" w:space="0" w:color="auto"/>
        <w:left w:val="none" w:sz="0" w:space="0" w:color="auto"/>
        <w:bottom w:val="none" w:sz="0" w:space="0" w:color="auto"/>
        <w:right w:val="none" w:sz="0" w:space="0" w:color="auto"/>
      </w:divBdr>
    </w:div>
    <w:div w:id="1426880170">
      <w:bodyDiv w:val="1"/>
      <w:marLeft w:val="0"/>
      <w:marRight w:val="0"/>
      <w:marTop w:val="0"/>
      <w:marBottom w:val="0"/>
      <w:divBdr>
        <w:top w:val="none" w:sz="0" w:space="0" w:color="auto"/>
        <w:left w:val="none" w:sz="0" w:space="0" w:color="auto"/>
        <w:bottom w:val="none" w:sz="0" w:space="0" w:color="auto"/>
        <w:right w:val="none" w:sz="0" w:space="0" w:color="auto"/>
      </w:divBdr>
    </w:div>
    <w:div w:id="1429696417">
      <w:bodyDiv w:val="1"/>
      <w:marLeft w:val="0"/>
      <w:marRight w:val="0"/>
      <w:marTop w:val="0"/>
      <w:marBottom w:val="0"/>
      <w:divBdr>
        <w:top w:val="none" w:sz="0" w:space="0" w:color="auto"/>
        <w:left w:val="none" w:sz="0" w:space="0" w:color="auto"/>
        <w:bottom w:val="none" w:sz="0" w:space="0" w:color="auto"/>
        <w:right w:val="none" w:sz="0" w:space="0" w:color="auto"/>
      </w:divBdr>
    </w:div>
    <w:div w:id="1478568021">
      <w:bodyDiv w:val="1"/>
      <w:marLeft w:val="0"/>
      <w:marRight w:val="0"/>
      <w:marTop w:val="0"/>
      <w:marBottom w:val="0"/>
      <w:divBdr>
        <w:top w:val="none" w:sz="0" w:space="0" w:color="auto"/>
        <w:left w:val="none" w:sz="0" w:space="0" w:color="auto"/>
        <w:bottom w:val="none" w:sz="0" w:space="0" w:color="auto"/>
        <w:right w:val="none" w:sz="0" w:space="0" w:color="auto"/>
      </w:divBdr>
    </w:div>
    <w:div w:id="1513763501">
      <w:bodyDiv w:val="1"/>
      <w:marLeft w:val="0"/>
      <w:marRight w:val="0"/>
      <w:marTop w:val="0"/>
      <w:marBottom w:val="0"/>
      <w:divBdr>
        <w:top w:val="none" w:sz="0" w:space="0" w:color="auto"/>
        <w:left w:val="none" w:sz="0" w:space="0" w:color="auto"/>
        <w:bottom w:val="none" w:sz="0" w:space="0" w:color="auto"/>
        <w:right w:val="none" w:sz="0" w:space="0" w:color="auto"/>
      </w:divBdr>
    </w:div>
    <w:div w:id="1551647397">
      <w:bodyDiv w:val="1"/>
      <w:marLeft w:val="0"/>
      <w:marRight w:val="0"/>
      <w:marTop w:val="0"/>
      <w:marBottom w:val="0"/>
      <w:divBdr>
        <w:top w:val="none" w:sz="0" w:space="0" w:color="auto"/>
        <w:left w:val="none" w:sz="0" w:space="0" w:color="auto"/>
        <w:bottom w:val="none" w:sz="0" w:space="0" w:color="auto"/>
        <w:right w:val="none" w:sz="0" w:space="0" w:color="auto"/>
      </w:divBdr>
    </w:div>
    <w:div w:id="1555777109">
      <w:bodyDiv w:val="1"/>
      <w:marLeft w:val="0"/>
      <w:marRight w:val="0"/>
      <w:marTop w:val="0"/>
      <w:marBottom w:val="0"/>
      <w:divBdr>
        <w:top w:val="none" w:sz="0" w:space="0" w:color="auto"/>
        <w:left w:val="none" w:sz="0" w:space="0" w:color="auto"/>
        <w:bottom w:val="none" w:sz="0" w:space="0" w:color="auto"/>
        <w:right w:val="none" w:sz="0" w:space="0" w:color="auto"/>
      </w:divBdr>
    </w:div>
    <w:div w:id="1573659820">
      <w:bodyDiv w:val="1"/>
      <w:marLeft w:val="0"/>
      <w:marRight w:val="0"/>
      <w:marTop w:val="0"/>
      <w:marBottom w:val="0"/>
      <w:divBdr>
        <w:top w:val="none" w:sz="0" w:space="0" w:color="auto"/>
        <w:left w:val="none" w:sz="0" w:space="0" w:color="auto"/>
        <w:bottom w:val="none" w:sz="0" w:space="0" w:color="auto"/>
        <w:right w:val="none" w:sz="0" w:space="0" w:color="auto"/>
      </w:divBdr>
    </w:div>
    <w:div w:id="1583635992">
      <w:bodyDiv w:val="1"/>
      <w:marLeft w:val="0"/>
      <w:marRight w:val="0"/>
      <w:marTop w:val="0"/>
      <w:marBottom w:val="0"/>
      <w:divBdr>
        <w:top w:val="none" w:sz="0" w:space="0" w:color="auto"/>
        <w:left w:val="none" w:sz="0" w:space="0" w:color="auto"/>
        <w:bottom w:val="none" w:sz="0" w:space="0" w:color="auto"/>
        <w:right w:val="none" w:sz="0" w:space="0" w:color="auto"/>
      </w:divBdr>
    </w:div>
    <w:div w:id="1597865815">
      <w:bodyDiv w:val="1"/>
      <w:marLeft w:val="0"/>
      <w:marRight w:val="0"/>
      <w:marTop w:val="0"/>
      <w:marBottom w:val="0"/>
      <w:divBdr>
        <w:top w:val="none" w:sz="0" w:space="0" w:color="auto"/>
        <w:left w:val="none" w:sz="0" w:space="0" w:color="auto"/>
        <w:bottom w:val="none" w:sz="0" w:space="0" w:color="auto"/>
        <w:right w:val="none" w:sz="0" w:space="0" w:color="auto"/>
      </w:divBdr>
    </w:div>
    <w:div w:id="1616407822">
      <w:bodyDiv w:val="1"/>
      <w:marLeft w:val="0"/>
      <w:marRight w:val="0"/>
      <w:marTop w:val="0"/>
      <w:marBottom w:val="0"/>
      <w:divBdr>
        <w:top w:val="none" w:sz="0" w:space="0" w:color="auto"/>
        <w:left w:val="none" w:sz="0" w:space="0" w:color="auto"/>
        <w:bottom w:val="none" w:sz="0" w:space="0" w:color="auto"/>
        <w:right w:val="none" w:sz="0" w:space="0" w:color="auto"/>
      </w:divBdr>
    </w:div>
    <w:div w:id="1646274747">
      <w:bodyDiv w:val="1"/>
      <w:marLeft w:val="0"/>
      <w:marRight w:val="0"/>
      <w:marTop w:val="0"/>
      <w:marBottom w:val="0"/>
      <w:divBdr>
        <w:top w:val="none" w:sz="0" w:space="0" w:color="auto"/>
        <w:left w:val="none" w:sz="0" w:space="0" w:color="auto"/>
        <w:bottom w:val="none" w:sz="0" w:space="0" w:color="auto"/>
        <w:right w:val="none" w:sz="0" w:space="0" w:color="auto"/>
      </w:divBdr>
    </w:div>
    <w:div w:id="1661035827">
      <w:bodyDiv w:val="1"/>
      <w:marLeft w:val="0"/>
      <w:marRight w:val="0"/>
      <w:marTop w:val="0"/>
      <w:marBottom w:val="0"/>
      <w:divBdr>
        <w:top w:val="none" w:sz="0" w:space="0" w:color="auto"/>
        <w:left w:val="none" w:sz="0" w:space="0" w:color="auto"/>
        <w:bottom w:val="none" w:sz="0" w:space="0" w:color="auto"/>
        <w:right w:val="none" w:sz="0" w:space="0" w:color="auto"/>
      </w:divBdr>
    </w:div>
    <w:div w:id="1673021431">
      <w:bodyDiv w:val="1"/>
      <w:marLeft w:val="0"/>
      <w:marRight w:val="0"/>
      <w:marTop w:val="0"/>
      <w:marBottom w:val="0"/>
      <w:divBdr>
        <w:top w:val="none" w:sz="0" w:space="0" w:color="auto"/>
        <w:left w:val="none" w:sz="0" w:space="0" w:color="auto"/>
        <w:bottom w:val="none" w:sz="0" w:space="0" w:color="auto"/>
        <w:right w:val="none" w:sz="0" w:space="0" w:color="auto"/>
      </w:divBdr>
    </w:div>
    <w:div w:id="1688098119">
      <w:bodyDiv w:val="1"/>
      <w:marLeft w:val="0"/>
      <w:marRight w:val="0"/>
      <w:marTop w:val="0"/>
      <w:marBottom w:val="0"/>
      <w:divBdr>
        <w:top w:val="none" w:sz="0" w:space="0" w:color="auto"/>
        <w:left w:val="none" w:sz="0" w:space="0" w:color="auto"/>
        <w:bottom w:val="none" w:sz="0" w:space="0" w:color="auto"/>
        <w:right w:val="none" w:sz="0" w:space="0" w:color="auto"/>
      </w:divBdr>
    </w:div>
    <w:div w:id="1706639848">
      <w:bodyDiv w:val="1"/>
      <w:marLeft w:val="0"/>
      <w:marRight w:val="0"/>
      <w:marTop w:val="0"/>
      <w:marBottom w:val="0"/>
      <w:divBdr>
        <w:top w:val="none" w:sz="0" w:space="0" w:color="auto"/>
        <w:left w:val="none" w:sz="0" w:space="0" w:color="auto"/>
        <w:bottom w:val="none" w:sz="0" w:space="0" w:color="auto"/>
        <w:right w:val="none" w:sz="0" w:space="0" w:color="auto"/>
      </w:divBdr>
    </w:div>
    <w:div w:id="1712224423">
      <w:bodyDiv w:val="1"/>
      <w:marLeft w:val="0"/>
      <w:marRight w:val="0"/>
      <w:marTop w:val="0"/>
      <w:marBottom w:val="0"/>
      <w:divBdr>
        <w:top w:val="none" w:sz="0" w:space="0" w:color="auto"/>
        <w:left w:val="none" w:sz="0" w:space="0" w:color="auto"/>
        <w:bottom w:val="none" w:sz="0" w:space="0" w:color="auto"/>
        <w:right w:val="none" w:sz="0" w:space="0" w:color="auto"/>
      </w:divBdr>
    </w:div>
    <w:div w:id="1749233894">
      <w:bodyDiv w:val="1"/>
      <w:marLeft w:val="0"/>
      <w:marRight w:val="0"/>
      <w:marTop w:val="0"/>
      <w:marBottom w:val="0"/>
      <w:divBdr>
        <w:top w:val="none" w:sz="0" w:space="0" w:color="auto"/>
        <w:left w:val="none" w:sz="0" w:space="0" w:color="auto"/>
        <w:bottom w:val="none" w:sz="0" w:space="0" w:color="auto"/>
        <w:right w:val="none" w:sz="0" w:space="0" w:color="auto"/>
      </w:divBdr>
    </w:div>
    <w:div w:id="1758358803">
      <w:bodyDiv w:val="1"/>
      <w:marLeft w:val="0"/>
      <w:marRight w:val="0"/>
      <w:marTop w:val="0"/>
      <w:marBottom w:val="0"/>
      <w:divBdr>
        <w:top w:val="none" w:sz="0" w:space="0" w:color="auto"/>
        <w:left w:val="none" w:sz="0" w:space="0" w:color="auto"/>
        <w:bottom w:val="none" w:sz="0" w:space="0" w:color="auto"/>
        <w:right w:val="none" w:sz="0" w:space="0" w:color="auto"/>
      </w:divBdr>
    </w:div>
    <w:div w:id="1778018997">
      <w:bodyDiv w:val="1"/>
      <w:marLeft w:val="0"/>
      <w:marRight w:val="0"/>
      <w:marTop w:val="0"/>
      <w:marBottom w:val="0"/>
      <w:divBdr>
        <w:top w:val="none" w:sz="0" w:space="0" w:color="auto"/>
        <w:left w:val="none" w:sz="0" w:space="0" w:color="auto"/>
        <w:bottom w:val="none" w:sz="0" w:space="0" w:color="auto"/>
        <w:right w:val="none" w:sz="0" w:space="0" w:color="auto"/>
      </w:divBdr>
    </w:div>
    <w:div w:id="1778790382">
      <w:bodyDiv w:val="1"/>
      <w:marLeft w:val="0"/>
      <w:marRight w:val="0"/>
      <w:marTop w:val="0"/>
      <w:marBottom w:val="0"/>
      <w:divBdr>
        <w:top w:val="none" w:sz="0" w:space="0" w:color="auto"/>
        <w:left w:val="none" w:sz="0" w:space="0" w:color="auto"/>
        <w:bottom w:val="none" w:sz="0" w:space="0" w:color="auto"/>
        <w:right w:val="none" w:sz="0" w:space="0" w:color="auto"/>
      </w:divBdr>
    </w:div>
    <w:div w:id="1783525038">
      <w:bodyDiv w:val="1"/>
      <w:marLeft w:val="0"/>
      <w:marRight w:val="0"/>
      <w:marTop w:val="0"/>
      <w:marBottom w:val="0"/>
      <w:divBdr>
        <w:top w:val="none" w:sz="0" w:space="0" w:color="auto"/>
        <w:left w:val="none" w:sz="0" w:space="0" w:color="auto"/>
        <w:bottom w:val="none" w:sz="0" w:space="0" w:color="auto"/>
        <w:right w:val="none" w:sz="0" w:space="0" w:color="auto"/>
      </w:divBdr>
    </w:div>
    <w:div w:id="1804346848">
      <w:bodyDiv w:val="1"/>
      <w:marLeft w:val="0"/>
      <w:marRight w:val="0"/>
      <w:marTop w:val="0"/>
      <w:marBottom w:val="0"/>
      <w:divBdr>
        <w:top w:val="none" w:sz="0" w:space="0" w:color="auto"/>
        <w:left w:val="none" w:sz="0" w:space="0" w:color="auto"/>
        <w:bottom w:val="none" w:sz="0" w:space="0" w:color="auto"/>
        <w:right w:val="none" w:sz="0" w:space="0" w:color="auto"/>
      </w:divBdr>
    </w:div>
    <w:div w:id="1845582440">
      <w:bodyDiv w:val="1"/>
      <w:marLeft w:val="0"/>
      <w:marRight w:val="0"/>
      <w:marTop w:val="0"/>
      <w:marBottom w:val="0"/>
      <w:divBdr>
        <w:top w:val="none" w:sz="0" w:space="0" w:color="auto"/>
        <w:left w:val="none" w:sz="0" w:space="0" w:color="auto"/>
        <w:bottom w:val="none" w:sz="0" w:space="0" w:color="auto"/>
        <w:right w:val="none" w:sz="0" w:space="0" w:color="auto"/>
      </w:divBdr>
    </w:div>
    <w:div w:id="1883327510">
      <w:bodyDiv w:val="1"/>
      <w:marLeft w:val="0"/>
      <w:marRight w:val="0"/>
      <w:marTop w:val="0"/>
      <w:marBottom w:val="0"/>
      <w:divBdr>
        <w:top w:val="none" w:sz="0" w:space="0" w:color="auto"/>
        <w:left w:val="none" w:sz="0" w:space="0" w:color="auto"/>
        <w:bottom w:val="none" w:sz="0" w:space="0" w:color="auto"/>
        <w:right w:val="none" w:sz="0" w:space="0" w:color="auto"/>
      </w:divBdr>
    </w:div>
    <w:div w:id="1884514547">
      <w:bodyDiv w:val="1"/>
      <w:marLeft w:val="0"/>
      <w:marRight w:val="0"/>
      <w:marTop w:val="0"/>
      <w:marBottom w:val="0"/>
      <w:divBdr>
        <w:top w:val="none" w:sz="0" w:space="0" w:color="auto"/>
        <w:left w:val="none" w:sz="0" w:space="0" w:color="auto"/>
        <w:bottom w:val="none" w:sz="0" w:space="0" w:color="auto"/>
        <w:right w:val="none" w:sz="0" w:space="0" w:color="auto"/>
      </w:divBdr>
    </w:div>
    <w:div w:id="1899440855">
      <w:bodyDiv w:val="1"/>
      <w:marLeft w:val="0"/>
      <w:marRight w:val="0"/>
      <w:marTop w:val="0"/>
      <w:marBottom w:val="0"/>
      <w:divBdr>
        <w:top w:val="none" w:sz="0" w:space="0" w:color="auto"/>
        <w:left w:val="none" w:sz="0" w:space="0" w:color="auto"/>
        <w:bottom w:val="none" w:sz="0" w:space="0" w:color="auto"/>
        <w:right w:val="none" w:sz="0" w:space="0" w:color="auto"/>
      </w:divBdr>
    </w:div>
    <w:div w:id="1901014943">
      <w:bodyDiv w:val="1"/>
      <w:marLeft w:val="0"/>
      <w:marRight w:val="0"/>
      <w:marTop w:val="0"/>
      <w:marBottom w:val="0"/>
      <w:divBdr>
        <w:top w:val="none" w:sz="0" w:space="0" w:color="auto"/>
        <w:left w:val="none" w:sz="0" w:space="0" w:color="auto"/>
        <w:bottom w:val="none" w:sz="0" w:space="0" w:color="auto"/>
        <w:right w:val="none" w:sz="0" w:space="0" w:color="auto"/>
      </w:divBdr>
    </w:div>
    <w:div w:id="1919557500">
      <w:bodyDiv w:val="1"/>
      <w:marLeft w:val="0"/>
      <w:marRight w:val="0"/>
      <w:marTop w:val="0"/>
      <w:marBottom w:val="0"/>
      <w:divBdr>
        <w:top w:val="none" w:sz="0" w:space="0" w:color="auto"/>
        <w:left w:val="none" w:sz="0" w:space="0" w:color="auto"/>
        <w:bottom w:val="none" w:sz="0" w:space="0" w:color="auto"/>
        <w:right w:val="none" w:sz="0" w:space="0" w:color="auto"/>
      </w:divBdr>
    </w:div>
    <w:div w:id="1922252457">
      <w:bodyDiv w:val="1"/>
      <w:marLeft w:val="0"/>
      <w:marRight w:val="0"/>
      <w:marTop w:val="0"/>
      <w:marBottom w:val="0"/>
      <w:divBdr>
        <w:top w:val="none" w:sz="0" w:space="0" w:color="auto"/>
        <w:left w:val="none" w:sz="0" w:space="0" w:color="auto"/>
        <w:bottom w:val="none" w:sz="0" w:space="0" w:color="auto"/>
        <w:right w:val="none" w:sz="0" w:space="0" w:color="auto"/>
      </w:divBdr>
    </w:div>
    <w:div w:id="1945186884">
      <w:bodyDiv w:val="1"/>
      <w:marLeft w:val="0"/>
      <w:marRight w:val="0"/>
      <w:marTop w:val="0"/>
      <w:marBottom w:val="0"/>
      <w:divBdr>
        <w:top w:val="none" w:sz="0" w:space="0" w:color="auto"/>
        <w:left w:val="none" w:sz="0" w:space="0" w:color="auto"/>
        <w:bottom w:val="none" w:sz="0" w:space="0" w:color="auto"/>
        <w:right w:val="none" w:sz="0" w:space="0" w:color="auto"/>
      </w:divBdr>
    </w:div>
    <w:div w:id="1994597427">
      <w:bodyDiv w:val="1"/>
      <w:marLeft w:val="0"/>
      <w:marRight w:val="0"/>
      <w:marTop w:val="0"/>
      <w:marBottom w:val="0"/>
      <w:divBdr>
        <w:top w:val="none" w:sz="0" w:space="0" w:color="auto"/>
        <w:left w:val="none" w:sz="0" w:space="0" w:color="auto"/>
        <w:bottom w:val="none" w:sz="0" w:space="0" w:color="auto"/>
        <w:right w:val="none" w:sz="0" w:space="0" w:color="auto"/>
      </w:divBdr>
    </w:div>
    <w:div w:id="2011180793">
      <w:bodyDiv w:val="1"/>
      <w:marLeft w:val="0"/>
      <w:marRight w:val="0"/>
      <w:marTop w:val="0"/>
      <w:marBottom w:val="0"/>
      <w:divBdr>
        <w:top w:val="none" w:sz="0" w:space="0" w:color="auto"/>
        <w:left w:val="none" w:sz="0" w:space="0" w:color="auto"/>
        <w:bottom w:val="none" w:sz="0" w:space="0" w:color="auto"/>
        <w:right w:val="none" w:sz="0" w:space="0" w:color="auto"/>
      </w:divBdr>
    </w:div>
    <w:div w:id="2018917028">
      <w:bodyDiv w:val="1"/>
      <w:marLeft w:val="0"/>
      <w:marRight w:val="0"/>
      <w:marTop w:val="0"/>
      <w:marBottom w:val="0"/>
      <w:divBdr>
        <w:top w:val="none" w:sz="0" w:space="0" w:color="auto"/>
        <w:left w:val="none" w:sz="0" w:space="0" w:color="auto"/>
        <w:bottom w:val="none" w:sz="0" w:space="0" w:color="auto"/>
        <w:right w:val="none" w:sz="0" w:space="0" w:color="auto"/>
      </w:divBdr>
    </w:div>
    <w:div w:id="2055808223">
      <w:bodyDiv w:val="1"/>
      <w:marLeft w:val="0"/>
      <w:marRight w:val="0"/>
      <w:marTop w:val="0"/>
      <w:marBottom w:val="0"/>
      <w:divBdr>
        <w:top w:val="none" w:sz="0" w:space="0" w:color="auto"/>
        <w:left w:val="none" w:sz="0" w:space="0" w:color="auto"/>
        <w:bottom w:val="none" w:sz="0" w:space="0" w:color="auto"/>
        <w:right w:val="none" w:sz="0" w:space="0" w:color="auto"/>
      </w:divBdr>
    </w:div>
    <w:div w:id="2056735488">
      <w:bodyDiv w:val="1"/>
      <w:marLeft w:val="0"/>
      <w:marRight w:val="0"/>
      <w:marTop w:val="0"/>
      <w:marBottom w:val="0"/>
      <w:divBdr>
        <w:top w:val="none" w:sz="0" w:space="0" w:color="auto"/>
        <w:left w:val="none" w:sz="0" w:space="0" w:color="auto"/>
        <w:bottom w:val="none" w:sz="0" w:space="0" w:color="auto"/>
        <w:right w:val="none" w:sz="0" w:space="0" w:color="auto"/>
      </w:divBdr>
    </w:div>
    <w:div w:id="2095852375">
      <w:bodyDiv w:val="1"/>
      <w:marLeft w:val="0"/>
      <w:marRight w:val="0"/>
      <w:marTop w:val="0"/>
      <w:marBottom w:val="0"/>
      <w:divBdr>
        <w:top w:val="none" w:sz="0" w:space="0" w:color="auto"/>
        <w:left w:val="none" w:sz="0" w:space="0" w:color="auto"/>
        <w:bottom w:val="none" w:sz="0" w:space="0" w:color="auto"/>
        <w:right w:val="none" w:sz="0" w:space="0" w:color="auto"/>
      </w:divBdr>
    </w:div>
    <w:div w:id="2104180326">
      <w:bodyDiv w:val="1"/>
      <w:marLeft w:val="0"/>
      <w:marRight w:val="0"/>
      <w:marTop w:val="0"/>
      <w:marBottom w:val="0"/>
      <w:divBdr>
        <w:top w:val="none" w:sz="0" w:space="0" w:color="auto"/>
        <w:left w:val="none" w:sz="0" w:space="0" w:color="auto"/>
        <w:bottom w:val="none" w:sz="0" w:space="0" w:color="auto"/>
        <w:right w:val="none" w:sz="0" w:space="0" w:color="auto"/>
      </w:divBdr>
    </w:div>
    <w:div w:id="2105608729">
      <w:bodyDiv w:val="1"/>
      <w:marLeft w:val="0"/>
      <w:marRight w:val="0"/>
      <w:marTop w:val="0"/>
      <w:marBottom w:val="0"/>
      <w:divBdr>
        <w:top w:val="none" w:sz="0" w:space="0" w:color="auto"/>
        <w:left w:val="none" w:sz="0" w:space="0" w:color="auto"/>
        <w:bottom w:val="none" w:sz="0" w:space="0" w:color="auto"/>
        <w:right w:val="none" w:sz="0" w:space="0" w:color="auto"/>
      </w:divBdr>
    </w:div>
    <w:div w:id="2118988871">
      <w:bodyDiv w:val="1"/>
      <w:marLeft w:val="0"/>
      <w:marRight w:val="0"/>
      <w:marTop w:val="0"/>
      <w:marBottom w:val="0"/>
      <w:divBdr>
        <w:top w:val="none" w:sz="0" w:space="0" w:color="auto"/>
        <w:left w:val="none" w:sz="0" w:space="0" w:color="auto"/>
        <w:bottom w:val="none" w:sz="0" w:space="0" w:color="auto"/>
        <w:right w:val="none" w:sz="0" w:space="0" w:color="auto"/>
      </w:divBdr>
    </w:div>
    <w:div w:id="2119443714">
      <w:bodyDiv w:val="1"/>
      <w:marLeft w:val="0"/>
      <w:marRight w:val="0"/>
      <w:marTop w:val="0"/>
      <w:marBottom w:val="0"/>
      <w:divBdr>
        <w:top w:val="none" w:sz="0" w:space="0" w:color="auto"/>
        <w:left w:val="none" w:sz="0" w:space="0" w:color="auto"/>
        <w:bottom w:val="none" w:sz="0" w:space="0" w:color="auto"/>
        <w:right w:val="none" w:sz="0" w:space="0" w:color="auto"/>
      </w:divBdr>
    </w:div>
    <w:div w:id="2128698373">
      <w:bodyDiv w:val="1"/>
      <w:marLeft w:val="0"/>
      <w:marRight w:val="0"/>
      <w:marTop w:val="0"/>
      <w:marBottom w:val="0"/>
      <w:divBdr>
        <w:top w:val="none" w:sz="0" w:space="0" w:color="auto"/>
        <w:left w:val="none" w:sz="0" w:space="0" w:color="auto"/>
        <w:bottom w:val="none" w:sz="0" w:space="0" w:color="auto"/>
        <w:right w:val="none" w:sz="0" w:space="0" w:color="auto"/>
      </w:divBdr>
    </w:div>
    <w:div w:id="2133285811">
      <w:bodyDiv w:val="1"/>
      <w:marLeft w:val="0"/>
      <w:marRight w:val="0"/>
      <w:marTop w:val="0"/>
      <w:marBottom w:val="0"/>
      <w:divBdr>
        <w:top w:val="none" w:sz="0" w:space="0" w:color="auto"/>
        <w:left w:val="none" w:sz="0" w:space="0" w:color="auto"/>
        <w:bottom w:val="none" w:sz="0" w:space="0" w:color="auto"/>
        <w:right w:val="none" w:sz="0" w:space="0" w:color="auto"/>
      </w:divBdr>
    </w:div>
    <w:div w:id="2133742481">
      <w:bodyDiv w:val="1"/>
      <w:marLeft w:val="0"/>
      <w:marRight w:val="0"/>
      <w:marTop w:val="0"/>
      <w:marBottom w:val="0"/>
      <w:divBdr>
        <w:top w:val="none" w:sz="0" w:space="0" w:color="auto"/>
        <w:left w:val="none" w:sz="0" w:space="0" w:color="auto"/>
        <w:bottom w:val="none" w:sz="0" w:space="0" w:color="auto"/>
        <w:right w:val="none" w:sz="0" w:space="0" w:color="auto"/>
      </w:divBdr>
    </w:div>
    <w:div w:id="213505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ividata.org/en/united-king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7EE59-0967-4CB2-93B0-EA8AA0C0C0CF}">
  <ds:schemaRefs>
    <ds:schemaRef ds:uri="http://schemas.openxmlformats.org/officeDocument/2006/bibliography"/>
  </ds:schemaRefs>
</ds:datastoreItem>
</file>

<file path=docMetadata/LabelInfo.xml><?xml version="1.0" encoding="utf-8"?>
<clbl:labelList xmlns:clbl="http://schemas.microsoft.com/office/2020/mipLabelMetadata">
  <clbl:label id="{8412d91d-9e36-4b7b-9f0e-6cb709942add}" enabled="1" method="Standard" siteId="{e8549c2e-0d2e-4560-9591-3186755fc587}" contentBits="0" removed="0"/>
</clbl:labelList>
</file>

<file path=docProps/app.xml><?xml version="1.0" encoding="utf-8"?>
<Properties xmlns="http://schemas.openxmlformats.org/officeDocument/2006/extended-properties" xmlns:vt="http://schemas.openxmlformats.org/officeDocument/2006/docPropsVTypes">
  <Template>Normal</Template>
  <TotalTime>76</TotalTime>
  <Pages>44</Pages>
  <Words>15158</Words>
  <Characters>86403</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Mchembere</dc:creator>
  <cp:keywords/>
  <dc:description/>
  <cp:lastModifiedBy>Dafydd Mali (NBS - Staff)</cp:lastModifiedBy>
  <cp:revision>55</cp:revision>
  <dcterms:created xsi:type="dcterms:W3CDTF">2026-01-05T10:45:00Z</dcterms:created>
  <dcterms:modified xsi:type="dcterms:W3CDTF">2026-03-25T07:22:00Z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-30044969</vt:i4>
  </property>
  <property fmtid="{D5CDD505-2E9C-101B-9397-08002B2CF9AE}" pid="4" name="_EmailSubject">
    <vt:lpwstr>Journal of Public Budgeting, Accounting &amp; Financial Management - Decision on Manuscript ID JPBAFM-07-2025-0206.R1</vt:lpwstr>
  </property>
  <property fmtid="{D5CDD505-2E9C-101B-9397-08002B2CF9AE}" pid="5" name="_AuthorEmail">
    <vt:lpwstr>D.Mali@uea.ac.uk</vt:lpwstr>
  </property>
  <property fmtid="{D5CDD505-2E9C-101B-9397-08002B2CF9AE}" pid="6" name="_AuthorEmailDisplayName">
    <vt:lpwstr>Dafydd Mali (NBS - Staff)</vt:lpwstr>
  </property>
  <property fmtid="{D5CDD505-2E9C-101B-9397-08002B2CF9AE}" pid="7" name="_PreviousAdHocReviewCycleID">
    <vt:i4>1668357698</vt:i4>
  </property>
  <property fmtid="{D5CDD505-2E9C-101B-9397-08002B2CF9AE}" pid="8" name="_ReviewingToolsShownOnce">
    <vt:lpwstr/>
  </property>
</Properties>
</file>