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4677E" w14:textId="77777777" w:rsidR="0074324D" w:rsidRDefault="0074324D">
      <w:pPr>
        <w:pStyle w:val="Style2"/>
        <w:spacing w:line="295" w:lineRule="auto"/>
        <w:rPr>
          <w:rFonts w:ascii="Times New Roman" w:hAnsi="Times New Roman" w:cs="Times New Roman"/>
          <w:sz w:val="24"/>
          <w:szCs w:val="24"/>
        </w:rPr>
      </w:pPr>
      <w:r>
        <w:rPr>
          <w:rStyle w:val="CharStyle3"/>
          <w:lang w:eastAsia="da-DK"/>
        </w:rPr>
        <w:t>Ocean Sci., 18, 1451–1475, 2022</w:t>
      </w:r>
    </w:p>
    <w:p w14:paraId="1AC3166E" w14:textId="77777777" w:rsidR="0074324D" w:rsidRDefault="0074324D">
      <w:pPr>
        <w:pStyle w:val="Style2"/>
        <w:spacing w:line="295" w:lineRule="auto"/>
        <w:rPr>
          <w:rFonts w:ascii="Times New Roman" w:hAnsi="Times New Roman" w:cs="Times New Roman"/>
          <w:sz w:val="24"/>
          <w:szCs w:val="24"/>
        </w:rPr>
      </w:pPr>
      <w:hyperlink r:id="rId7" w:history="1">
        <w:r>
          <w:rPr>
            <w:rStyle w:val="CharStyle3"/>
            <w:lang w:eastAsia="da-DK"/>
          </w:rPr>
          <w:t>https://doi.org/10.5194/os-18-1451-2022</w:t>
        </w:r>
      </w:hyperlink>
    </w:p>
    <w:p w14:paraId="494042A4" w14:textId="77777777" w:rsidR="0074324D" w:rsidRDefault="0074324D">
      <w:pPr>
        <w:pStyle w:val="Style2"/>
        <w:spacing w:after="1360" w:line="295" w:lineRule="auto"/>
        <w:rPr>
          <w:rFonts w:ascii="Times New Roman" w:hAnsi="Times New Roman" w:cs="Times New Roman"/>
          <w:sz w:val="24"/>
          <w:szCs w:val="24"/>
        </w:rPr>
      </w:pPr>
      <w:r>
        <w:rPr>
          <w:rStyle w:val="CharStyle3"/>
          <w:lang w:eastAsia="da-DK"/>
        </w:rPr>
        <w:t xml:space="preserve">© Author(s) 2022. This work is distributed under </w:t>
      </w:r>
      <w:r>
        <w:rPr>
          <w:rStyle w:val="CharStyle3"/>
          <w:u w:val="single"/>
          <w:lang w:eastAsia="da-DK"/>
        </w:rPr>
        <w:t>the Creativ</w:t>
      </w:r>
      <w:r>
        <w:rPr>
          <w:rStyle w:val="CharStyle3"/>
          <w:lang w:eastAsia="da-DK"/>
        </w:rPr>
        <w:t>e Commons Attribution 4.0 License.</w:t>
      </w:r>
    </w:p>
    <w:p w14:paraId="41496EC3" w14:textId="77777777" w:rsidR="0074324D" w:rsidRDefault="0074324D">
      <w:pPr>
        <w:pStyle w:val="Style5"/>
        <w:rPr>
          <w:rFonts w:ascii="Times New Roman" w:hAnsi="Times New Roman" w:cs="Times New Roman"/>
          <w:sz w:val="24"/>
          <w:szCs w:val="24"/>
        </w:rPr>
      </w:pPr>
      <w:r>
        <w:rPr>
          <w:rStyle w:val="CharStyle6"/>
          <w:lang w:eastAsia="da-DK"/>
        </w:rPr>
        <w:t>A clustering approach to determine biophysical provinces and physical drivers of productivity dynamics in a complex coastal sea</w:t>
      </w:r>
    </w:p>
    <w:p w14:paraId="392AF8DF" w14:textId="77777777" w:rsidR="0074324D" w:rsidRDefault="0074324D">
      <w:pPr>
        <w:pStyle w:val="Style2"/>
        <w:spacing w:after="60" w:line="240" w:lineRule="auto"/>
        <w:rPr>
          <w:rFonts w:ascii="Times New Roman" w:hAnsi="Times New Roman" w:cs="Times New Roman"/>
          <w:sz w:val="24"/>
          <w:szCs w:val="24"/>
        </w:rPr>
      </w:pPr>
      <w:r>
        <w:rPr>
          <w:rStyle w:val="CharStyle3"/>
          <w:lang w:eastAsia="da-DK"/>
        </w:rPr>
        <w:t>Tereza Jarníkov</w:t>
      </w:r>
      <w:hyperlink w:anchor="bookmark0" w:tooltip="Current Document" w:history="1">
        <w:r>
          <w:rPr>
            <w:rStyle w:val="CharStyle3"/>
            <w:lang w:eastAsia="da-DK"/>
          </w:rPr>
          <w:t>á</w:t>
        </w:r>
        <w:r>
          <w:rPr>
            <w:rStyle w:val="CharStyle3"/>
            <w:vertAlign w:val="superscript"/>
            <w:lang w:eastAsia="da-DK"/>
          </w:rPr>
          <w:t>1</w:t>
        </w:r>
        <w:r>
          <w:rPr>
            <w:rStyle w:val="CharStyle3"/>
            <w:lang w:eastAsia="da-DK"/>
          </w:rPr>
          <w:t xml:space="preserve"> </w:t>
        </w:r>
      </w:hyperlink>
      <w:r>
        <w:rPr>
          <w:rStyle w:val="CharStyle3"/>
          <w:lang w:eastAsia="da-DK"/>
        </w:rPr>
        <w:t>, Elise M. Olso</w:t>
      </w:r>
      <w:hyperlink w:anchor="bookmark0" w:tooltip="Current Document" w:history="1">
        <w:r>
          <w:rPr>
            <w:rStyle w:val="CharStyle3"/>
            <w:lang w:eastAsia="da-DK"/>
          </w:rPr>
          <w:t>n</w:t>
        </w:r>
        <w:r>
          <w:rPr>
            <w:rStyle w:val="CharStyle3"/>
            <w:vertAlign w:val="superscript"/>
            <w:lang w:eastAsia="da-DK"/>
          </w:rPr>
          <w:t>1</w:t>
        </w:r>
        <w:r>
          <w:rPr>
            <w:rStyle w:val="CharStyle3"/>
            <w:lang w:eastAsia="da-DK"/>
          </w:rPr>
          <w:t xml:space="preserve"> </w:t>
        </w:r>
      </w:hyperlink>
      <w:r>
        <w:rPr>
          <w:rStyle w:val="CharStyle3"/>
          <w:lang w:eastAsia="da-DK"/>
        </w:rPr>
        <w:t>, Susan E. Alle</w:t>
      </w:r>
      <w:hyperlink w:anchor="bookmark0" w:tooltip="Current Document" w:history="1">
        <w:r>
          <w:rPr>
            <w:rStyle w:val="CharStyle3"/>
            <w:lang w:eastAsia="da-DK"/>
          </w:rPr>
          <w:t>n</w:t>
        </w:r>
        <w:r>
          <w:rPr>
            <w:rStyle w:val="CharStyle3"/>
            <w:vertAlign w:val="superscript"/>
            <w:lang w:eastAsia="da-DK"/>
          </w:rPr>
          <w:t>1</w:t>
        </w:r>
        <w:r>
          <w:rPr>
            <w:rStyle w:val="CharStyle3"/>
            <w:lang w:eastAsia="da-DK"/>
          </w:rPr>
          <w:t xml:space="preserve"> </w:t>
        </w:r>
      </w:hyperlink>
      <w:r>
        <w:rPr>
          <w:rStyle w:val="CharStyle3"/>
          <w:lang w:eastAsia="da-DK"/>
        </w:rPr>
        <w:t>, Debby Ianso</w:t>
      </w:r>
      <w:hyperlink w:anchor="bookmark0" w:tooltip="Current Document" w:history="1">
        <w:r>
          <w:rPr>
            <w:rStyle w:val="CharStyle3"/>
            <w:lang w:eastAsia="da-DK"/>
          </w:rPr>
          <w:t>n</w:t>
        </w:r>
        <w:r>
          <w:rPr>
            <w:rStyle w:val="CharStyle3"/>
            <w:vertAlign w:val="superscript"/>
            <w:lang w:eastAsia="da-DK"/>
          </w:rPr>
          <w:t>2,1</w:t>
        </w:r>
        <w:r>
          <w:rPr>
            <w:rStyle w:val="CharStyle3"/>
            <w:lang w:eastAsia="da-DK"/>
          </w:rPr>
          <w:t xml:space="preserve"> ,</w:t>
        </w:r>
      </w:hyperlink>
      <w:r>
        <w:rPr>
          <w:rStyle w:val="CharStyle3"/>
          <w:lang w:eastAsia="da-DK"/>
        </w:rPr>
        <w:t xml:space="preserve"> and Karyn D. Such</w:t>
      </w:r>
      <w:hyperlink w:anchor="bookmark0" w:tooltip="Current Document" w:history="1">
        <w:r>
          <w:rPr>
            <w:rStyle w:val="CharStyle3"/>
            <w:lang w:eastAsia="da-DK"/>
          </w:rPr>
          <w:t>y</w:t>
        </w:r>
        <w:r>
          <w:rPr>
            <w:rStyle w:val="CharStyle3"/>
            <w:vertAlign w:val="superscript"/>
            <w:lang w:eastAsia="da-DK"/>
          </w:rPr>
          <w:t>1</w:t>
        </w:r>
      </w:hyperlink>
    </w:p>
    <w:p w14:paraId="409A482C" w14:textId="77777777" w:rsidR="0074324D" w:rsidRDefault="0074324D">
      <w:pPr>
        <w:pStyle w:val="Style2"/>
        <w:numPr>
          <w:ilvl w:val="0"/>
          <w:numId w:val="1"/>
        </w:numPr>
        <w:tabs>
          <w:tab w:val="left" w:pos="243"/>
        </w:tabs>
        <w:spacing w:line="240" w:lineRule="auto"/>
        <w:rPr>
          <w:sz w:val="24"/>
          <w:szCs w:val="24"/>
        </w:rPr>
      </w:pPr>
      <w:r>
        <w:rPr>
          <w:rStyle w:val="CharStyle3"/>
          <w:lang w:eastAsia="da-DK"/>
        </w:rPr>
        <w:t xml:space="preserve">Department of Earth, Ocean, and Atmospheric Sciences, University of British Columbia, Vancouver, BC, Canada </w:t>
      </w:r>
      <w:r>
        <w:rPr>
          <w:rStyle w:val="CharStyle3"/>
          <w:vertAlign w:val="superscript"/>
          <w:lang w:eastAsia="da-DK"/>
        </w:rPr>
        <w:t>2</w:t>
      </w:r>
      <w:r>
        <w:rPr>
          <w:rStyle w:val="CharStyle3"/>
          <w:lang w:eastAsia="da-DK"/>
        </w:rPr>
        <w:tab/>
        <w:t>Institute of Ocean Sciences, Fisheries and Oceans Canada, Sidney, BC, Canada</w:t>
      </w:r>
    </w:p>
    <w:p w14:paraId="79CF8C8F" w14:textId="77777777" w:rsidR="0074324D" w:rsidRDefault="0074324D">
      <w:pPr>
        <w:pStyle w:val="Style2"/>
        <w:spacing w:after="180" w:line="240" w:lineRule="auto"/>
        <w:rPr>
          <w:rFonts w:ascii="Times New Roman" w:hAnsi="Times New Roman" w:cs="Times New Roman"/>
          <w:sz w:val="24"/>
          <w:szCs w:val="24"/>
        </w:rPr>
      </w:pPr>
      <w:r>
        <w:rPr>
          <w:rStyle w:val="CharStyle3"/>
          <w:lang w:eastAsia="da-DK"/>
        </w:rPr>
        <w:t>Correspondence: Tereza Jarníková (</w:t>
      </w:r>
      <w:hyperlink r:id="rId8" w:history="1">
        <w:r>
          <w:rPr>
            <w:rStyle w:val="CharStyle3"/>
            <w:lang w:eastAsia="da-DK"/>
          </w:rPr>
          <w:t>t.jarnikova@uea.ac.uk</w:t>
        </w:r>
      </w:hyperlink>
      <w:r>
        <w:rPr>
          <w:rStyle w:val="CharStyle3"/>
          <w:lang w:eastAsia="da-DK"/>
        </w:rPr>
        <w:t>)</w:t>
      </w:r>
    </w:p>
    <w:p w14:paraId="2A503C37" w14:textId="77777777" w:rsidR="0074324D" w:rsidRDefault="0074324D">
      <w:pPr>
        <w:pStyle w:val="Style2"/>
        <w:spacing w:line="240" w:lineRule="auto"/>
        <w:rPr>
          <w:rFonts w:ascii="Times New Roman" w:hAnsi="Times New Roman" w:cs="Times New Roman"/>
          <w:sz w:val="24"/>
          <w:szCs w:val="24"/>
        </w:rPr>
      </w:pPr>
      <w:r>
        <w:rPr>
          <w:rStyle w:val="CharStyle3"/>
          <w:lang w:eastAsia="da-DK"/>
        </w:rPr>
        <w:t>Received: 1 July 2021 – Discussion started: 26 July 2021</w:t>
      </w:r>
    </w:p>
    <w:p w14:paraId="6322E3F8" w14:textId="77777777" w:rsidR="0074324D" w:rsidRDefault="0074324D">
      <w:pPr>
        <w:pStyle w:val="Style2"/>
        <w:spacing w:line="240" w:lineRule="auto"/>
        <w:rPr>
          <w:rFonts w:ascii="Times New Roman" w:hAnsi="Times New Roman" w:cs="Times New Roman"/>
          <w:sz w:val="24"/>
          <w:szCs w:val="24"/>
        </w:rPr>
        <w:sectPr w:rsidR="00000000">
          <w:pgSz w:w="11909" w:h="16834"/>
          <w:pgMar w:top="1308" w:right="905" w:bottom="1022" w:left="905" w:header="880" w:footer="594" w:gutter="0"/>
          <w:pgNumType w:start="1"/>
          <w:cols w:space="720"/>
          <w:noEndnote/>
          <w:docGrid w:linePitch="360"/>
        </w:sectPr>
      </w:pPr>
      <w:r>
        <w:rPr>
          <w:rStyle w:val="CharStyle3"/>
          <w:lang w:eastAsia="da-DK"/>
        </w:rPr>
        <w:t>Revised: 28 May 2022 – Accepted: 31 May 2022 – Published: 13 October 2022</w:t>
      </w:r>
    </w:p>
    <w:p w14:paraId="4C9080B4" w14:textId="77777777" w:rsidR="0074324D" w:rsidRDefault="0074324D">
      <w:pPr>
        <w:spacing w:before="33" w:after="33" w:line="240" w:lineRule="exact"/>
        <w:rPr>
          <w:color w:val="auto"/>
          <w:lang w:eastAsia="en-GB"/>
        </w:rPr>
      </w:pPr>
    </w:p>
    <w:p w14:paraId="5EA64A89" w14:textId="77777777" w:rsidR="0074324D" w:rsidRDefault="0074324D">
      <w:pPr>
        <w:spacing w:line="1" w:lineRule="exact"/>
        <w:rPr>
          <w:color w:val="auto"/>
          <w:lang w:eastAsia="en-GB"/>
        </w:rPr>
        <w:sectPr w:rsidR="00000000">
          <w:type w:val="continuous"/>
          <w:pgSz w:w="11909" w:h="16834"/>
          <w:pgMar w:top="1326" w:right="0" w:bottom="1204" w:left="0" w:header="0" w:footer="3" w:gutter="0"/>
          <w:cols w:space="720"/>
          <w:noEndnote/>
          <w:docGrid w:linePitch="360"/>
        </w:sectPr>
      </w:pPr>
    </w:p>
    <w:p w14:paraId="2C865F1C" w14:textId="31033183" w:rsidR="0074324D" w:rsidRDefault="0074324D">
      <w:pPr>
        <w:spacing w:line="1" w:lineRule="exact"/>
        <w:rPr>
          <w:color w:val="auto"/>
          <w:lang w:eastAsia="en-GB"/>
        </w:rPr>
      </w:pPr>
      <w:r>
        <w:rPr>
          <w:noProof/>
        </w:rPr>
        <mc:AlternateContent>
          <mc:Choice Requires="wps">
            <w:drawing>
              <wp:anchor distT="127000" distB="254000" distL="114300" distR="114300" simplePos="0" relativeHeight="251658240" behindDoc="0" locked="0" layoutInCell="1" allowOverlap="1" wp14:anchorId="4AB9336E" wp14:editId="1B47EAB0">
                <wp:simplePos x="0" y="0"/>
                <wp:positionH relativeFrom="margin">
                  <wp:posOffset>11430</wp:posOffset>
                </wp:positionH>
                <wp:positionV relativeFrom="paragraph">
                  <wp:posOffset>5239385</wp:posOffset>
                </wp:positionV>
                <wp:extent cx="4580890" cy="176530"/>
                <wp:effectExtent l="0" t="635" r="3810" b="3810"/>
                <wp:wrapTopAndBottom/>
                <wp:docPr id="1958539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4ACB8" w14:textId="77777777" w:rsidR="0074324D" w:rsidRDefault="0074324D">
                            <w:pPr>
                              <w:pStyle w:val="Style2"/>
                              <w:spacing w:line="240" w:lineRule="auto"/>
                              <w:rPr>
                                <w:rFonts w:ascii="Times New Roman" w:hAnsi="Times New Roman" w:cs="Times New Roman"/>
                                <w:sz w:val="24"/>
                                <w:szCs w:val="24"/>
                              </w:rPr>
                            </w:pPr>
                            <w:r>
                              <w:rPr>
                                <w:rStyle w:val="CharStyle3"/>
                                <w:lang w:eastAsia="da-DK"/>
                              </w:rPr>
                              <w:t>Published by Copernicus Publications on behalf of the European Geosciences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9336E" id="_x0000_t202" coordsize="21600,21600" o:spt="202" path="m,l,21600r21600,l21600,xe">
                <v:stroke joinstyle="miter"/>
                <v:path gradientshapeok="t" o:connecttype="rect"/>
              </v:shapetype>
              <v:shape id="Text Box 2" o:spid="_x0000_s1026" type="#_x0000_t202" style="position:absolute;margin-left:.9pt;margin-top:412.55pt;width:360.7pt;height:13.9pt;z-index:251658240;visibility:visible;mso-wrap-style:square;mso-width-percent:0;mso-height-percent:0;mso-wrap-distance-left:9pt;mso-wrap-distance-top:10pt;mso-wrap-distance-right:9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" filled="f" stroked="f">
                <v:textbox inset="0,0,0,0">
                  <w:txbxContent>
                    <w:p w14:paraId="57C4ACB8" w14:textId="77777777" w:rsidR="0074324D" w:rsidRDefault="0074324D">
                      <w:pPr>
                        <w:pStyle w:val="Style2"/>
                        <w:spacing w:line="240" w:lineRule="auto"/>
                        <w:rPr>
                          <w:rFonts w:ascii="Times New Roman" w:hAnsi="Times New Roman" w:cs="Times New Roman"/>
                          <w:sz w:val="24"/>
                          <w:szCs w:val="24"/>
                        </w:rPr>
                      </w:pPr>
                      <w:r>
                        <w:rPr>
                          <w:rStyle w:val="CharStyle3"/>
                          <w:lang w:eastAsia="da-DK"/>
                        </w:rPr>
                        <w:t>Published by Copernicus Publications on behalf of the European Geosciences Union.</w:t>
                      </w:r>
                    </w:p>
                  </w:txbxContent>
                </v:textbox>
                <w10:wrap type="topAndBottom" anchorx="margin"/>
              </v:shape>
            </w:pict>
          </mc:Fallback>
        </mc:AlternateContent>
      </w:r>
    </w:p>
    <w:p w14:paraId="39FB79E2" w14:textId="77777777" w:rsidR="0074324D" w:rsidRDefault="0074324D">
      <w:pPr>
        <w:pStyle w:val="Style2"/>
        <w:jc w:val="both"/>
        <w:rPr>
          <w:rFonts w:ascii="Times New Roman" w:hAnsi="Times New Roman" w:cs="Times New Roman"/>
          <w:sz w:val="24"/>
          <w:szCs w:val="24"/>
        </w:rPr>
      </w:pPr>
      <w:bookmarkStart w:id="0" w:name="bookmark0"/>
      <w:r>
        <w:rPr>
          <w:rStyle w:val="CharStyle3"/>
          <w:lang w:eastAsia="da-DK"/>
        </w:rPr>
        <w:t xml:space="preserve">Abstract. The balance between ocean mixing and </w:t>
      </w:r>
      <w:r>
        <w:rPr>
          <w:rStyle w:val="CharStyle3"/>
          <w:lang w:val="en-US" w:eastAsia="en-US"/>
        </w:rPr>
        <w:t>stratifi</w:t>
      </w:r>
      <w:r>
        <w:rPr>
          <w:rStyle w:val="CharStyle3"/>
          <w:lang w:val="en-US" w:eastAsia="en-US"/>
        </w:rPr>
        <w:softHyphen/>
        <w:t>cation</w:t>
      </w:r>
      <w:r>
        <w:rPr>
          <w:rStyle w:val="CharStyle3"/>
          <w:lang w:eastAsia="da-DK"/>
        </w:rPr>
        <w:t xml:space="preserve"> influences primary productivity through light </w:t>
      </w:r>
      <w:r>
        <w:rPr>
          <w:rStyle w:val="CharStyle3"/>
          <w:lang w:val="en-US" w:eastAsia="en-US"/>
        </w:rPr>
        <w:t>limita</w:t>
      </w:r>
      <w:r>
        <w:rPr>
          <w:rStyle w:val="CharStyle3"/>
          <w:lang w:val="en-US" w:eastAsia="en-US"/>
        </w:rPr>
        <w:softHyphen/>
        <w:t>tion</w:t>
      </w:r>
      <w:r>
        <w:rPr>
          <w:rStyle w:val="CharStyle3"/>
          <w:lang w:eastAsia="da-DK"/>
        </w:rPr>
        <w:t xml:space="preserve"> and nutrient supply in the euphotic ocean. Here, we </w:t>
      </w:r>
      <w:r>
        <w:rPr>
          <w:rStyle w:val="CharStyle3"/>
          <w:lang w:val="en-US" w:eastAsia="en-US"/>
        </w:rPr>
        <w:t>ap</w:t>
      </w:r>
      <w:r>
        <w:rPr>
          <w:rStyle w:val="CharStyle3"/>
          <w:lang w:val="en-US" w:eastAsia="en-US"/>
        </w:rPr>
        <w:softHyphen/>
        <w:t>ply</w:t>
      </w:r>
      <w:r>
        <w:rPr>
          <w:rStyle w:val="CharStyle3"/>
          <w:lang w:eastAsia="da-DK"/>
        </w:rPr>
        <w:t xml:space="preserve"> a hierarchical clustering algorithm (Ward’s method) to four factors relating to stratification (wind energy, freshwater index, water-column-averaged vertical eddy diffusivity, and halocline depth), as well as to depth-integrated </w:t>
      </w:r>
      <w:r>
        <w:rPr>
          <w:rStyle w:val="CharStyle3"/>
          <w:lang w:val="en-US" w:eastAsia="en-US"/>
        </w:rPr>
        <w:t>phytoplank</w:t>
      </w:r>
      <w:r>
        <w:rPr>
          <w:rStyle w:val="CharStyle3"/>
          <w:lang w:val="en-US" w:eastAsia="en-US"/>
        </w:rPr>
        <w:softHyphen/>
        <w:t>ton</w:t>
      </w:r>
      <w:r>
        <w:rPr>
          <w:rStyle w:val="CharStyle3"/>
          <w:lang w:eastAsia="da-DK"/>
        </w:rPr>
        <w:t xml:space="preserve"> biomass, extracted from a biophysical ocean model of the Salish Sea. Running the clustering algorithm on 4 years of model output, we identify distinct regions of the model </w:t>
      </w:r>
      <w:r>
        <w:rPr>
          <w:rStyle w:val="CharStyle3"/>
          <w:lang w:val="en-US" w:eastAsia="en-US"/>
        </w:rPr>
        <w:t>do</w:t>
      </w:r>
      <w:r>
        <w:rPr>
          <w:rStyle w:val="CharStyle3"/>
          <w:lang w:val="en-US" w:eastAsia="en-US"/>
        </w:rPr>
        <w:softHyphen/>
        <w:t>main</w:t>
      </w:r>
      <w:r>
        <w:rPr>
          <w:rStyle w:val="CharStyle3"/>
          <w:lang w:eastAsia="da-DK"/>
        </w:rPr>
        <w:t xml:space="preserve"> that exhibit contrasting wind and freshwater input </w:t>
      </w:r>
      <w:r>
        <w:rPr>
          <w:rStyle w:val="CharStyle3"/>
          <w:lang w:val="en-US" w:eastAsia="en-US"/>
        </w:rPr>
        <w:t>dy</w:t>
      </w:r>
      <w:r>
        <w:rPr>
          <w:rStyle w:val="CharStyle3"/>
          <w:lang w:val="en-US" w:eastAsia="en-US"/>
        </w:rPr>
        <w:softHyphen/>
        <w:t>namics,</w:t>
      </w:r>
      <w:r>
        <w:rPr>
          <w:rStyle w:val="CharStyle3"/>
          <w:lang w:eastAsia="da-DK"/>
        </w:rPr>
        <w:t xml:space="preserve"> as well as regions of var</w:t>
      </w:r>
      <w:r>
        <w:rPr>
          <w:rStyle w:val="CharStyle3"/>
          <w:lang w:eastAsia="da-DK"/>
        </w:rPr>
        <w:t xml:space="preserve">ying water-column-averaged vertical eddy diffusivity and halocline depth regimes. The spatial regionalizations in physical variables are similar in all 4 analyzed years. We also find distinct interannually </w:t>
      </w:r>
      <w:r>
        <w:rPr>
          <w:rStyle w:val="CharStyle3"/>
          <w:lang w:val="en-US" w:eastAsia="en-US"/>
        </w:rPr>
        <w:t>con</w:t>
      </w:r>
      <w:r>
        <w:rPr>
          <w:rStyle w:val="CharStyle3"/>
          <w:lang w:val="en-US" w:eastAsia="en-US"/>
        </w:rPr>
        <w:softHyphen/>
        <w:t>sistent</w:t>
      </w:r>
      <w:r>
        <w:rPr>
          <w:rStyle w:val="CharStyle3"/>
          <w:lang w:eastAsia="da-DK"/>
        </w:rPr>
        <w:t xml:space="preserve"> biological zones. In the northern Strait of Georgia and Juan de Fuca Strait, a deeper winter halocline and episodic summer mixing coincide with higher summer diatom </w:t>
      </w:r>
      <w:r>
        <w:rPr>
          <w:rStyle w:val="CharStyle3"/>
          <w:lang w:val="en-US" w:eastAsia="en-US"/>
        </w:rPr>
        <w:t>abun</w:t>
      </w:r>
      <w:r>
        <w:rPr>
          <w:rStyle w:val="CharStyle3"/>
          <w:lang w:val="en-US" w:eastAsia="en-US"/>
        </w:rPr>
        <w:softHyphen/>
        <w:t>dance,</w:t>
      </w:r>
      <w:r>
        <w:rPr>
          <w:rStyle w:val="CharStyle3"/>
          <w:lang w:eastAsia="da-DK"/>
        </w:rPr>
        <w:t xml:space="preserve"> while in the Fraser River stratified central Strait of Georgia, shallower haloclines and stronger summer </w:t>
      </w:r>
      <w:r>
        <w:rPr>
          <w:rStyle w:val="CharStyle3"/>
          <w:lang w:val="en-US" w:eastAsia="en-US"/>
        </w:rPr>
        <w:t>stratifi</w:t>
      </w:r>
      <w:r>
        <w:rPr>
          <w:rStyle w:val="CharStyle3"/>
          <w:lang w:val="en-US" w:eastAsia="en-US"/>
        </w:rPr>
        <w:softHyphen/>
        <w:t>cat</w:t>
      </w:r>
      <w:r>
        <w:rPr>
          <w:rStyle w:val="CharStyle3"/>
          <w:lang w:val="en-US" w:eastAsia="en-US"/>
        </w:rPr>
        <w:t>ion</w:t>
      </w:r>
      <w:r>
        <w:rPr>
          <w:rStyle w:val="CharStyle3"/>
          <w:lang w:eastAsia="da-DK"/>
        </w:rPr>
        <w:t xml:space="preserve"> coincide with summer flagellate abundance. </w:t>
      </w:r>
      <w:r>
        <w:rPr>
          <w:rStyle w:val="CharStyle3"/>
          <w:lang w:val="en-US" w:eastAsia="en-US"/>
        </w:rPr>
        <w:t>Cluster</w:t>
      </w:r>
      <w:r>
        <w:rPr>
          <w:rStyle w:val="CharStyle3"/>
          <w:lang w:val="en-US" w:eastAsia="en-US"/>
        </w:rPr>
        <w:softHyphen/>
        <w:t>based</w:t>
      </w:r>
      <w:r>
        <w:rPr>
          <w:rStyle w:val="CharStyle3"/>
          <w:lang w:eastAsia="da-DK"/>
        </w:rPr>
        <w:t xml:space="preserve"> model results and evaluation suggest that the Juan de Fuca Strait supports more biomass than previously thought. Our approach elucidates probable physical mechanisms </w:t>
      </w:r>
      <w:r>
        <w:rPr>
          <w:rStyle w:val="CharStyle3"/>
          <w:lang w:val="en-US" w:eastAsia="en-US"/>
        </w:rPr>
        <w:t>con</w:t>
      </w:r>
      <w:r>
        <w:rPr>
          <w:rStyle w:val="CharStyle3"/>
          <w:lang w:val="en-US" w:eastAsia="en-US"/>
        </w:rPr>
        <w:softHyphen/>
        <w:t>trolling</w:t>
      </w:r>
      <w:r>
        <w:rPr>
          <w:rStyle w:val="CharStyle3"/>
          <w:lang w:eastAsia="da-DK"/>
        </w:rPr>
        <w:t xml:space="preserve"> phytoplankton abundance and composition. It also demonstrates a simple, powerful technique for finding </w:t>
      </w:r>
      <w:r>
        <w:rPr>
          <w:rStyle w:val="CharStyle3"/>
          <w:lang w:val="en-US" w:eastAsia="en-US"/>
        </w:rPr>
        <w:t>struc</w:t>
      </w:r>
      <w:r>
        <w:rPr>
          <w:rStyle w:val="CharStyle3"/>
          <w:lang w:val="en-US" w:eastAsia="en-US"/>
        </w:rPr>
        <w:softHyphen/>
        <w:t>ture</w:t>
      </w:r>
      <w:r>
        <w:rPr>
          <w:rStyle w:val="CharStyle3"/>
          <w:lang w:eastAsia="da-DK"/>
        </w:rPr>
        <w:t xml:space="preserve"> in large datasets and determining boundaries of </w:t>
      </w:r>
      <w:r>
        <w:rPr>
          <w:rStyle w:val="CharStyle3"/>
          <w:lang w:val="en-US" w:eastAsia="en-US"/>
        </w:rPr>
        <w:t>biophys</w:t>
      </w:r>
      <w:r>
        <w:rPr>
          <w:rStyle w:val="CharStyle3"/>
          <w:lang w:val="en-US" w:eastAsia="en-US"/>
        </w:rPr>
        <w:softHyphen/>
        <w:t>ical</w:t>
      </w:r>
      <w:r>
        <w:rPr>
          <w:rStyle w:val="CharStyle3"/>
          <w:lang w:eastAsia="da-DK"/>
        </w:rPr>
        <w:t xml:space="preserve"> provinces.</w:t>
      </w:r>
      <w:bookmarkEnd w:id="0"/>
    </w:p>
    <w:p w14:paraId="7F7F9C3A" w14:textId="77777777" w:rsidR="0074324D" w:rsidRDefault="0074324D">
      <w:pPr>
        <w:pStyle w:val="Style13"/>
        <w:keepNext/>
        <w:keepLines/>
        <w:numPr>
          <w:ilvl w:val="0"/>
          <w:numId w:val="2"/>
        </w:numPr>
        <w:tabs>
          <w:tab w:val="left" w:pos="288"/>
        </w:tabs>
        <w:spacing w:after="220"/>
        <w:jc w:val="both"/>
        <w:rPr>
          <w:sz w:val="24"/>
          <w:szCs w:val="24"/>
        </w:rPr>
      </w:pPr>
      <w:bookmarkStart w:id="1" w:name="bookmark2"/>
      <w:r>
        <w:rPr>
          <w:rStyle w:val="CharStyle14"/>
          <w:lang w:eastAsia="da-DK"/>
        </w:rPr>
        <w:t>Introduction</w:t>
      </w:r>
      <w:bookmarkEnd w:id="1"/>
    </w:p>
    <w:p w14:paraId="5D996810" w14:textId="77777777" w:rsidR="0074324D" w:rsidRDefault="0074324D">
      <w:pPr>
        <w:pStyle w:val="Style2"/>
        <w:jc w:val="both"/>
        <w:rPr>
          <w:rFonts w:ascii="Times New Roman" w:hAnsi="Times New Roman" w:cs="Times New Roman"/>
          <w:sz w:val="24"/>
          <w:szCs w:val="24"/>
        </w:rPr>
      </w:pPr>
      <w:r>
        <w:rPr>
          <w:rStyle w:val="CharStyle3"/>
          <w:lang w:eastAsia="da-DK"/>
        </w:rPr>
        <w:t xml:space="preserve">Marine phytoplankton form the basis of the oceanographic food web and are responsible for approximately half of global carbon fixation </w:t>
      </w:r>
      <w:hyperlink w:anchor="bookmark71" w:tooltip="Current Document" w:history="1">
        <w:r>
          <w:rPr>
            <w:rStyle w:val="CharStyle3"/>
            <w:lang w:eastAsia="da-DK"/>
          </w:rPr>
          <w:t>(Field et al., 1998)</w:t>
        </w:r>
      </w:hyperlink>
      <w:r>
        <w:rPr>
          <w:rStyle w:val="CharStyle3"/>
          <w:lang w:eastAsia="da-DK"/>
        </w:rPr>
        <w:t xml:space="preserve">. To predict changes in global ecosystem functioning, itis necessary to understand the underlying controls on marine productivity. Primary </w:t>
      </w:r>
      <w:r>
        <w:rPr>
          <w:rStyle w:val="CharStyle3"/>
          <w:lang w:val="en-US" w:eastAsia="en-US"/>
        </w:rPr>
        <w:t>pro</w:t>
      </w:r>
      <w:r>
        <w:rPr>
          <w:rStyle w:val="CharStyle3"/>
          <w:lang w:val="en-US" w:eastAsia="en-US"/>
        </w:rPr>
        <w:softHyphen/>
        <w:t>ductivity</w:t>
      </w:r>
      <w:r>
        <w:rPr>
          <w:rStyle w:val="CharStyle3"/>
          <w:lang w:eastAsia="da-DK"/>
        </w:rPr>
        <w:t xml:space="preserve"> in the near-surface ocean is controlled by the </w:t>
      </w:r>
      <w:r>
        <w:rPr>
          <w:rStyle w:val="CharStyle3"/>
          <w:lang w:val="en-US" w:eastAsia="en-US"/>
        </w:rPr>
        <w:t>avail</w:t>
      </w:r>
      <w:r>
        <w:rPr>
          <w:rStyle w:val="CharStyle3"/>
          <w:lang w:val="en-US" w:eastAsia="en-US"/>
        </w:rPr>
        <w:softHyphen/>
        <w:t>ability</w:t>
      </w:r>
      <w:r>
        <w:rPr>
          <w:rStyle w:val="CharStyle3"/>
          <w:lang w:eastAsia="da-DK"/>
        </w:rPr>
        <w:t xml:space="preserve"> of macronutrients, micronutrients, and light, as well as temperature, which are in turn controlled by the interplay of stratifying </w:t>
      </w:r>
      <w:r>
        <w:rPr>
          <w:rStyle w:val="CharStyle3"/>
          <w:lang w:eastAsia="da-DK"/>
        </w:rPr>
        <w:t>processes and sources of mixing.</w:t>
      </w:r>
    </w:p>
    <w:p w14:paraId="613A058D"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The breakdown of the surface ocean stratified layer may reduce the availability of light for phytoplankton, inhibiting growth (e.g.,</w:t>
      </w:r>
      <w:hyperlink w:anchor="bookmark124" w:tooltip="Current Document" w:history="1">
        <w:r>
          <w:rPr>
            <w:rStyle w:val="CharStyle3"/>
            <w:lang w:eastAsia="da-DK"/>
          </w:rPr>
          <w:t xml:space="preserve"> Sverdrup, 1953)</w:t>
        </w:r>
      </w:hyperlink>
      <w:r>
        <w:rPr>
          <w:rStyle w:val="CharStyle3"/>
          <w:lang w:eastAsia="da-DK"/>
        </w:rPr>
        <w:t xml:space="preserve">, or contrastingly bring </w:t>
      </w:r>
      <w:r>
        <w:rPr>
          <w:rStyle w:val="CharStyle3"/>
          <w:lang w:val="en-US" w:eastAsia="en-US"/>
        </w:rPr>
        <w:t>nutri</w:t>
      </w:r>
      <w:r>
        <w:rPr>
          <w:rStyle w:val="CharStyle3"/>
          <w:lang w:val="en-US" w:eastAsia="en-US"/>
        </w:rPr>
        <w:softHyphen/>
        <w:t>ents</w:t>
      </w:r>
      <w:r>
        <w:rPr>
          <w:rStyle w:val="CharStyle3"/>
          <w:lang w:eastAsia="da-DK"/>
        </w:rPr>
        <w:t xml:space="preserve"> from deeper waters to nutrient-depleted surface waters, thus stimulating growth. The interplay of different </w:t>
      </w:r>
      <w:r>
        <w:rPr>
          <w:rStyle w:val="CharStyle3"/>
          <w:lang w:val="en-US" w:eastAsia="en-US"/>
        </w:rPr>
        <w:t>stratifica</w:t>
      </w:r>
      <w:r>
        <w:rPr>
          <w:rStyle w:val="CharStyle3"/>
          <w:lang w:val="en-US" w:eastAsia="en-US"/>
        </w:rPr>
        <w:softHyphen/>
        <w:t>tion</w:t>
      </w:r>
      <w:r>
        <w:rPr>
          <w:rStyle w:val="CharStyle3"/>
          <w:lang w:eastAsia="da-DK"/>
        </w:rPr>
        <w:t xml:space="preserve"> regimes exerts control on the structure of ocean </w:t>
      </w:r>
      <w:r>
        <w:rPr>
          <w:rStyle w:val="CharStyle3"/>
          <w:lang w:val="en-US" w:eastAsia="en-US"/>
        </w:rPr>
        <w:t>ecosys</w:t>
      </w:r>
      <w:r>
        <w:rPr>
          <w:rStyle w:val="CharStyle3"/>
          <w:lang w:val="en-US" w:eastAsia="en-US"/>
        </w:rPr>
        <w:softHyphen/>
        <w:t>tems</w:t>
      </w:r>
      <w:r>
        <w:rPr>
          <w:rStyle w:val="CharStyle3"/>
          <w:lang w:eastAsia="da-DK"/>
        </w:rPr>
        <w:t xml:space="preserve"> (e.g.,</w:t>
      </w:r>
      <w:hyperlink w:anchor="bookmark104" w:tooltip="Current Document" w:history="1">
        <w:r>
          <w:rPr>
            <w:rStyle w:val="CharStyle3"/>
            <w:lang w:eastAsia="da-DK"/>
          </w:rPr>
          <w:t xml:space="preserve"> Legendre, 1981)</w:t>
        </w:r>
      </w:hyperlink>
      <w:r>
        <w:rPr>
          <w:rStyle w:val="CharStyle3"/>
          <w:lang w:eastAsia="da-DK"/>
        </w:rPr>
        <w:t xml:space="preserve">, and changes in regime have been linked to shifts in phytoplankton community </w:t>
      </w:r>
      <w:r>
        <w:rPr>
          <w:rStyle w:val="CharStyle3"/>
          <w:lang w:val="en-US" w:eastAsia="en-US"/>
        </w:rPr>
        <w:t>compo</w:t>
      </w:r>
      <w:r>
        <w:rPr>
          <w:rStyle w:val="CharStyle3"/>
          <w:lang w:val="en-US" w:eastAsia="en-US"/>
        </w:rPr>
        <w:softHyphen/>
        <w:t>sition</w:t>
      </w:r>
      <w:r>
        <w:rPr>
          <w:rStyle w:val="CharStyle3"/>
          <w:lang w:eastAsia="da-DK"/>
        </w:rPr>
        <w:t xml:space="preserve"> (e.g.,</w:t>
      </w:r>
      <w:hyperlink w:anchor="bookmark88" w:tooltip="Current Document" w:history="1">
        <w:r>
          <w:rPr>
            <w:rStyle w:val="CharStyle3"/>
            <w:lang w:eastAsia="da-DK"/>
          </w:rPr>
          <w:t xml:space="preserve"> Huisman et al., 2004)</w:t>
        </w:r>
      </w:hyperlink>
      <w:r>
        <w:rPr>
          <w:rStyle w:val="CharStyle3"/>
          <w:lang w:eastAsia="da-DK"/>
        </w:rPr>
        <w:t>.</w:t>
      </w:r>
    </w:p>
    <w:p w14:paraId="09F3E6F7" w14:textId="77777777" w:rsidR="0074324D" w:rsidRDefault="0074324D">
      <w:pPr>
        <w:pStyle w:val="Style2"/>
        <w:ind w:firstLine="220"/>
        <w:jc w:val="both"/>
        <w:rPr>
          <w:rFonts w:ascii="Times New Roman" w:hAnsi="Times New Roman" w:cs="Times New Roman"/>
          <w:sz w:val="24"/>
          <w:szCs w:val="24"/>
        </w:rPr>
        <w:sectPr w:rsidR="00000000">
          <w:type w:val="continuous"/>
          <w:pgSz w:w="11909" w:h="16834"/>
          <w:pgMar w:top="1326" w:right="895" w:bottom="1204" w:left="892" w:header="0" w:footer="3" w:gutter="0"/>
          <w:cols w:num="2" w:space="299"/>
          <w:noEndnote/>
          <w:docGrid w:linePitch="360"/>
        </w:sectPr>
      </w:pPr>
      <w:r>
        <w:rPr>
          <w:rStyle w:val="CharStyle3"/>
          <w:lang w:eastAsia="da-DK"/>
        </w:rPr>
        <w:t xml:space="preserve">The importance of phytoplankton in biogeochemical </w:t>
      </w:r>
      <w:r>
        <w:rPr>
          <w:rStyle w:val="CharStyle3"/>
          <w:lang w:val="en-US" w:eastAsia="en-US"/>
        </w:rPr>
        <w:t>cy</w:t>
      </w:r>
      <w:r>
        <w:rPr>
          <w:rStyle w:val="CharStyle3"/>
          <w:lang w:val="en-US" w:eastAsia="en-US"/>
        </w:rPr>
        <w:softHyphen/>
        <w:t>cling,</w:t>
      </w:r>
      <w:r>
        <w:rPr>
          <w:rStyle w:val="CharStyle3"/>
          <w:lang w:eastAsia="da-DK"/>
        </w:rPr>
        <w:t xml:space="preserve"> as well as their position at the base of the food web and impact on higher trophic levels, globally motivates the study of phytoplankton distribution and dynamics. Coastal regions are more productive than the open ocean (e.g.,</w:t>
      </w:r>
      <w:hyperlink w:anchor="bookmark108" w:tooltip="Current Document" w:history="1">
        <w:r>
          <w:rPr>
            <w:rStyle w:val="CharStyle3"/>
            <w:lang w:eastAsia="da-DK"/>
          </w:rPr>
          <w:t xml:space="preserve"> Longhurst</w:t>
        </w:r>
      </w:hyperlink>
      <w:r>
        <w:rPr>
          <w:rStyle w:val="CharStyle3"/>
          <w:lang w:eastAsia="da-DK"/>
        </w:rPr>
        <w:t xml:space="preserve"> </w:t>
      </w:r>
      <w:hyperlink w:anchor="bookmark108" w:tooltip="Current Document" w:history="1">
        <w:r>
          <w:rPr>
            <w:rStyle w:val="CharStyle3"/>
            <w:lang w:eastAsia="da-DK"/>
          </w:rPr>
          <w:t>et al., 1995)</w:t>
        </w:r>
      </w:hyperlink>
      <w:r>
        <w:rPr>
          <w:rStyle w:val="CharStyle3"/>
          <w:lang w:eastAsia="da-DK"/>
        </w:rPr>
        <w:t xml:space="preserve">. Simultaneously, these regions typically have more complex mixing, circulation, and stratification </w:t>
      </w:r>
      <w:r>
        <w:rPr>
          <w:rStyle w:val="CharStyle3"/>
          <w:lang w:val="en-US" w:eastAsia="en-US"/>
        </w:rPr>
        <w:t>dynam</w:t>
      </w:r>
      <w:r>
        <w:rPr>
          <w:rStyle w:val="CharStyle3"/>
          <w:lang w:val="en-US" w:eastAsia="en-US"/>
        </w:rPr>
        <w:softHyphen/>
        <w:t>ics</w:t>
      </w:r>
      <w:r>
        <w:rPr>
          <w:rStyle w:val="CharStyle3"/>
          <w:lang w:eastAsia="da-DK"/>
        </w:rPr>
        <w:t xml:space="preserve"> than the open ocean, making resolution of </w:t>
      </w:r>
      <w:r>
        <w:rPr>
          <w:rStyle w:val="CharStyle3"/>
          <w:lang w:val="en-US" w:eastAsia="en-US"/>
        </w:rPr>
        <w:t>phytoplank</w:t>
      </w:r>
      <w:r>
        <w:rPr>
          <w:rStyle w:val="CharStyle3"/>
          <w:lang w:val="en-US" w:eastAsia="en-US"/>
        </w:rPr>
        <w:softHyphen/>
        <w:t>ton</w:t>
      </w:r>
      <w:r>
        <w:rPr>
          <w:rStyle w:val="CharStyle3"/>
          <w:lang w:eastAsia="da-DK"/>
        </w:rPr>
        <w:t xml:space="preserve"> biomass patterns difficult.</w:t>
      </w:r>
      <w:r>
        <w:rPr>
          <w:rStyle w:val="CharStyle3"/>
          <w:lang w:eastAsia="da-DK"/>
        </w:rPr>
        <w:t xml:space="preserve"> Finally, because both ocean stratification patterns and phytoplankton biomass dynamics may be expected to shift under anthropogenic climate change </w:t>
      </w:r>
      <w:hyperlink w:anchor="bookmark125" w:tooltip="Current Document" w:history="1">
        <w:r>
          <w:rPr>
            <w:rStyle w:val="CharStyle3"/>
            <w:lang w:eastAsia="da-DK"/>
          </w:rPr>
          <w:t>(Richardson, 2008)</w:t>
        </w:r>
      </w:hyperlink>
      <w:r>
        <w:rPr>
          <w:rStyle w:val="CharStyle3"/>
          <w:lang w:eastAsia="da-DK"/>
        </w:rPr>
        <w:t xml:space="preserve">, there is a need to characterize their </w:t>
      </w:r>
      <w:r>
        <w:rPr>
          <w:rStyle w:val="CharStyle3"/>
          <w:lang w:val="en-US" w:eastAsia="en-US"/>
        </w:rPr>
        <w:t>dy</w:t>
      </w:r>
      <w:r>
        <w:rPr>
          <w:rStyle w:val="CharStyle3"/>
          <w:lang w:val="en-US" w:eastAsia="en-US"/>
        </w:rPr>
        <w:softHyphen/>
        <w:t>namic</w:t>
      </w:r>
      <w:r>
        <w:rPr>
          <w:rStyle w:val="CharStyle3"/>
          <w:lang w:eastAsia="da-DK"/>
        </w:rPr>
        <w:t xml:space="preserve"> structure and identify key drivers.</w:t>
      </w:r>
    </w:p>
    <w:p w14:paraId="6CF0450E" w14:textId="77777777" w:rsidR="0074324D" w:rsidRDefault="0074324D">
      <w:pPr>
        <w:pStyle w:val="Style15"/>
        <w:keepNext/>
        <w:keepLines/>
        <w:numPr>
          <w:ilvl w:val="1"/>
          <w:numId w:val="2"/>
        </w:numPr>
        <w:tabs>
          <w:tab w:val="left" w:pos="446"/>
        </w:tabs>
        <w:jc w:val="both"/>
        <w:rPr>
          <w:sz w:val="24"/>
          <w:szCs w:val="24"/>
        </w:rPr>
      </w:pPr>
      <w:bookmarkStart w:id="2" w:name="bookmark4"/>
      <w:r>
        <w:rPr>
          <w:rStyle w:val="CharStyle16"/>
          <w:lang w:eastAsia="da-DK"/>
        </w:rPr>
        <w:lastRenderedPageBreak/>
        <w:t>Oceanographic setting</w:t>
      </w:r>
      <w:bookmarkEnd w:id="2"/>
    </w:p>
    <w:p w14:paraId="5896142F" w14:textId="77777777" w:rsidR="0074324D" w:rsidRDefault="0074324D">
      <w:pPr>
        <w:pStyle w:val="Style2"/>
        <w:jc w:val="both"/>
        <w:rPr>
          <w:rFonts w:ascii="Times New Roman" w:hAnsi="Times New Roman" w:cs="Times New Roman"/>
          <w:sz w:val="24"/>
          <w:szCs w:val="24"/>
        </w:rPr>
      </w:pPr>
      <w:r>
        <w:rPr>
          <w:rStyle w:val="CharStyle3"/>
          <w:lang w:eastAsia="da-DK"/>
        </w:rPr>
        <w:t>The Salish Sea is a semi-enclosed</w:t>
      </w:r>
      <w:r>
        <w:rPr>
          <w:rStyle w:val="CharStyle3"/>
          <w:lang w:eastAsia="da-DK"/>
        </w:rPr>
        <w:t xml:space="preserve"> fjord-like estuary on the British Columbia coast, composed of the Strait of Georgia (SoG), Juan de Fuca Strait (JdF), and Puget Sound (Fig.</w:t>
      </w:r>
      <w:hyperlink w:anchor="bookmark12" w:tooltip="Current Document" w:history="1">
        <w:r>
          <w:rPr>
            <w:rStyle w:val="CharStyle3"/>
            <w:lang w:eastAsia="da-DK"/>
          </w:rPr>
          <w:t xml:space="preserve"> 1)</w:t>
        </w:r>
      </w:hyperlink>
      <w:r>
        <w:rPr>
          <w:rStyle w:val="CharStyle3"/>
          <w:lang w:eastAsia="da-DK"/>
        </w:rPr>
        <w:t>. The SoG is connected to the open ocean by Juan de Fuca Strait to the south and Johnstone Strait to the north, with Juan de Fuca Strait serving as the site of primary seawater ex</w:t>
      </w:r>
      <w:r>
        <w:rPr>
          <w:rStyle w:val="CharStyle3"/>
          <w:lang w:eastAsia="da-DK"/>
        </w:rPr>
        <w:softHyphen/>
        <w:t xml:space="preserve">change with the open ocean </w:t>
      </w:r>
      <w:hyperlink w:anchor="bookmark98" w:tooltip="Current Document" w:history="1">
        <w:r>
          <w:rPr>
            <w:rStyle w:val="CharStyle3"/>
            <w:lang w:eastAsia="da-DK"/>
          </w:rPr>
          <w:t>(Khangaonkar et al., 2017)</w:t>
        </w:r>
      </w:hyperlink>
      <w:r>
        <w:rPr>
          <w:rStyle w:val="CharStyle3"/>
          <w:lang w:eastAsia="da-DK"/>
        </w:rPr>
        <w:t xml:space="preserve">. The Salish Sea receives freshwater input from over 200 rivers, but the primary freshwater source is the nival–glacial Fraser River </w:t>
      </w:r>
      <w:hyperlink w:anchor="bookmark118" w:tooltip="Current Document" w:history="1">
        <w:r>
          <w:rPr>
            <w:rStyle w:val="CharStyle3"/>
            <w:lang w:eastAsia="da-DK"/>
          </w:rPr>
          <w:t>(Pike et al., 2010)</w:t>
        </w:r>
      </w:hyperlink>
      <w:r>
        <w:rPr>
          <w:rStyle w:val="CharStyle3"/>
          <w:lang w:eastAsia="da-DK"/>
        </w:rPr>
        <w:t xml:space="preserve">, which drives salinity-induced </w:t>
      </w:r>
      <w:r>
        <w:rPr>
          <w:rStyle w:val="CharStyle3"/>
          <w:lang w:val="en-US" w:eastAsia="en-US"/>
        </w:rPr>
        <w:t>strat</w:t>
      </w:r>
      <w:r>
        <w:rPr>
          <w:rStyle w:val="CharStyle3"/>
          <w:lang w:val="en-US" w:eastAsia="en-US"/>
        </w:rPr>
        <w:softHyphen/>
        <w:t>ification</w:t>
      </w:r>
      <w:r>
        <w:rPr>
          <w:rStyle w:val="CharStyle3"/>
          <w:lang w:eastAsia="da-DK"/>
        </w:rPr>
        <w:t xml:space="preserve"> in the CSoG and a strong estuarine exchange </w:t>
      </w:r>
      <w:hyperlink w:anchor="bookmark79" w:tooltip="Current Document" w:history="1">
        <w:r>
          <w:rPr>
            <w:rStyle w:val="CharStyle3"/>
            <w:lang w:val="en-US" w:eastAsia="en-US"/>
          </w:rPr>
          <w:t>(Gid</w:t>
        </w:r>
        <w:r>
          <w:rPr>
            <w:rStyle w:val="CharStyle3"/>
            <w:lang w:val="en-US" w:eastAsia="en-US"/>
          </w:rPr>
          <w:softHyphen/>
        </w:r>
      </w:hyperlink>
      <w:hyperlink w:anchor="bookmark79" w:tooltip="Current Document" w:history="1">
        <w:r>
          <w:rPr>
            <w:rStyle w:val="CharStyle3"/>
            <w:lang w:val="en-US" w:eastAsia="en-US"/>
          </w:rPr>
          <w:t>dings</w:t>
        </w:r>
        <w:r>
          <w:rPr>
            <w:rStyle w:val="CharStyle3"/>
            <w:lang w:eastAsia="da-DK"/>
          </w:rPr>
          <w:t xml:space="preserve"> and MacCready, 2017)</w:t>
        </w:r>
      </w:hyperlink>
      <w:r>
        <w:rPr>
          <w:rStyle w:val="CharStyle3"/>
          <w:lang w:eastAsia="da-DK"/>
        </w:rPr>
        <w:t xml:space="preserve">. Salinity stratification is </w:t>
      </w:r>
      <w:r>
        <w:rPr>
          <w:rStyle w:val="CharStyle3"/>
          <w:lang w:val="en-US" w:eastAsia="en-US"/>
        </w:rPr>
        <w:t>op</w:t>
      </w:r>
      <w:r>
        <w:rPr>
          <w:rStyle w:val="CharStyle3"/>
          <w:lang w:val="en-US" w:eastAsia="en-US"/>
        </w:rPr>
        <w:softHyphen/>
        <w:t>posed</w:t>
      </w:r>
      <w:r>
        <w:rPr>
          <w:rStyle w:val="CharStyle3"/>
          <w:lang w:eastAsia="da-DK"/>
        </w:rPr>
        <w:t xml:space="preserve"> by wind and tidal action. Strong winds in the fall and winter months lead to mixing of surface and intermediate </w:t>
      </w:r>
      <w:r>
        <w:rPr>
          <w:rStyle w:val="CharStyle3"/>
          <w:lang w:val="en-US" w:eastAsia="en-US"/>
        </w:rPr>
        <w:t>wa</w:t>
      </w:r>
      <w:r>
        <w:rPr>
          <w:rStyle w:val="CharStyle3"/>
          <w:lang w:val="en-US" w:eastAsia="en-US"/>
        </w:rPr>
        <w:softHyphen/>
        <w:t>ter</w:t>
      </w:r>
      <w:r>
        <w:rPr>
          <w:rStyle w:val="CharStyle3"/>
          <w:lang w:eastAsia="da-DK"/>
        </w:rPr>
        <w:t xml:space="preserve"> masses. The SoG contains two deep basins (north and central), with the Fraser River plume sitting on top of the central basin. Deep SoG water is relatively unmixed, except during deep-water renewal events </w:t>
      </w:r>
      <w:hyperlink w:anchor="bookmark121" w:tooltip="Current Document" w:history="1">
        <w:r>
          <w:rPr>
            <w:rStyle w:val="CharStyle3"/>
            <w:lang w:eastAsia="da-DK"/>
          </w:rPr>
          <w:t>(Masson, 2002)</w:t>
        </w:r>
      </w:hyperlink>
      <w:r>
        <w:rPr>
          <w:rStyle w:val="CharStyle3"/>
          <w:lang w:eastAsia="da-DK"/>
        </w:rPr>
        <w:t>.</w:t>
      </w:r>
    </w:p>
    <w:p w14:paraId="109130B6"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This coastal ocean is a region of ecological and cultural importance, providing habitats for important megafauna, </w:t>
      </w:r>
      <w:r>
        <w:rPr>
          <w:rStyle w:val="CharStyle3"/>
          <w:lang w:val="en-US" w:eastAsia="en-US"/>
        </w:rPr>
        <w:t>in</w:t>
      </w:r>
      <w:r>
        <w:rPr>
          <w:rStyle w:val="CharStyle3"/>
          <w:lang w:val="en-US" w:eastAsia="en-US"/>
        </w:rPr>
        <w:softHyphen/>
        <w:t>cluding</w:t>
      </w:r>
      <w:r>
        <w:rPr>
          <w:rStyle w:val="CharStyle3"/>
          <w:lang w:eastAsia="da-DK"/>
        </w:rPr>
        <w:t xml:space="preserve"> the southern resident killer whales (</w:t>
      </w:r>
      <w:r>
        <w:rPr>
          <w:rStyle w:val="CharStyle3"/>
          <w:i/>
          <w:iCs/>
          <w:sz w:val="16"/>
          <w:szCs w:val="16"/>
          <w:lang w:eastAsia="da-DK"/>
        </w:rPr>
        <w:t>Orcinus orca</w:t>
      </w:r>
      <w:r>
        <w:rPr>
          <w:rStyle w:val="CharStyle3"/>
          <w:lang w:eastAsia="da-DK"/>
        </w:rPr>
        <w:t xml:space="preserve">) and the local salmon populations. The ongoing significant decline of the local Coho and Chinook salmon </w:t>
      </w:r>
      <w:hyperlink w:anchor="bookmark122" w:tooltip="Current Document" w:history="1">
        <w:r>
          <w:rPr>
            <w:rStyle w:val="CharStyle3"/>
            <w:lang w:eastAsia="da-DK"/>
          </w:rPr>
          <w:t>(Preikshot</w:t>
        </w:r>
      </w:hyperlink>
      <w:r>
        <w:rPr>
          <w:rStyle w:val="CharStyle3"/>
          <w:lang w:eastAsia="da-DK"/>
        </w:rPr>
        <w:t xml:space="preserve"> </w:t>
      </w:r>
      <w:hyperlink w:anchor="bookmark122" w:tooltip="Current Document" w:history="1">
        <w:r>
          <w:rPr>
            <w:rStyle w:val="CharStyle3"/>
            <w:lang w:eastAsia="da-DK"/>
          </w:rPr>
          <w:t>et al., 2013)</w:t>
        </w:r>
      </w:hyperlink>
      <w:r>
        <w:rPr>
          <w:rStyle w:val="CharStyle3"/>
          <w:lang w:eastAsia="da-DK"/>
        </w:rPr>
        <w:t xml:space="preserve"> has been implicated as a factor in the low </w:t>
      </w:r>
      <w:r>
        <w:rPr>
          <w:rStyle w:val="CharStyle3"/>
          <w:lang w:val="en-US" w:eastAsia="en-US"/>
        </w:rPr>
        <w:t>repro</w:t>
      </w:r>
      <w:r>
        <w:rPr>
          <w:rStyle w:val="CharStyle3"/>
          <w:lang w:val="en-US" w:eastAsia="en-US"/>
        </w:rPr>
        <w:softHyphen/>
        <w:t>ductive</w:t>
      </w:r>
      <w:r>
        <w:rPr>
          <w:rStyle w:val="CharStyle3"/>
          <w:lang w:eastAsia="da-DK"/>
        </w:rPr>
        <w:t xml:space="preserve"> success of the killer whale populations </w:t>
      </w:r>
      <w:hyperlink w:anchor="bookmark133" w:tooltip="Current Document" w:history="1">
        <w:r>
          <w:rPr>
            <w:rStyle w:val="CharStyle3"/>
            <w:lang w:eastAsia="da-DK"/>
          </w:rPr>
          <w:t>(Wasser et al.,</w:t>
        </w:r>
      </w:hyperlink>
      <w:r>
        <w:rPr>
          <w:rStyle w:val="CharStyle3"/>
          <w:lang w:eastAsia="da-DK"/>
        </w:rPr>
        <w:t xml:space="preserve"> </w:t>
      </w:r>
      <w:hyperlink w:anchor="bookmark133" w:tooltip="Current Document" w:history="1">
        <w:r>
          <w:rPr>
            <w:rStyle w:val="CharStyle3"/>
            <w:lang w:eastAsia="da-DK"/>
          </w:rPr>
          <w:t>2017)</w:t>
        </w:r>
      </w:hyperlink>
      <w:r>
        <w:rPr>
          <w:rStyle w:val="CharStyle3"/>
          <w:lang w:eastAsia="da-DK"/>
        </w:rPr>
        <w:t>, which depend on these salmon as a food source. The health of fish populations in the Pacific Northwest has been linked to spring bloom timing and phytoplankton abundance (e.g.,</w:t>
      </w:r>
      <w:hyperlink w:anchor="bookmark119" w:tooltip="Current Document" w:history="1">
        <w:r>
          <w:rPr>
            <w:rStyle w:val="CharStyle3"/>
            <w:lang w:eastAsia="da-DK"/>
          </w:rPr>
          <w:t xml:space="preserve"> Malick et al., 2015;</w:t>
        </w:r>
      </w:hyperlink>
      <w:hyperlink w:anchor="bookmark81" w:tooltip="Current Document" w:history="1">
        <w:r>
          <w:rPr>
            <w:rStyle w:val="CharStyle3"/>
            <w:lang w:eastAsia="da-DK"/>
          </w:rPr>
          <w:t xml:space="preserve"> Boldt et al., 2019)</w:t>
        </w:r>
      </w:hyperlink>
      <w:r>
        <w:rPr>
          <w:rStyle w:val="CharStyle3"/>
          <w:lang w:eastAsia="da-DK"/>
        </w:rPr>
        <w:t>. Thus, potential population declines in upper trophic levels further motivate the understanding of factors controlling the base of the food web.</w:t>
      </w:r>
    </w:p>
    <w:p w14:paraId="2D065D3B"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The physical environment of the Salish Sea is well-known, with functionally distinct physical–oceanographic regions </w:t>
      </w:r>
      <w:hyperlink w:anchor="bookmark126" w:tooltip="Current Document" w:history="1">
        <w:r>
          <w:rPr>
            <w:rStyle w:val="CharStyle3"/>
            <w:lang w:eastAsia="da-DK"/>
          </w:rPr>
          <w:t>(Thomson, 1981;</w:t>
        </w:r>
      </w:hyperlink>
      <w:hyperlink w:anchor="bookmark102" w:tooltip="Current Document" w:history="1">
        <w:r>
          <w:rPr>
            <w:rStyle w:val="CharStyle3"/>
            <w:lang w:eastAsia="da-DK"/>
          </w:rPr>
          <w:t xml:space="preserve"> LeBlond, 1983</w:t>
        </w:r>
      </w:hyperlink>
      <w:r>
        <w:rPr>
          <w:rStyle w:val="CharStyle3"/>
          <w:lang w:eastAsia="da-DK"/>
        </w:rPr>
        <w:t>;</w:t>
      </w:r>
      <w:hyperlink w:anchor="bookmark115" w:tooltip="Current Document" w:history="1">
        <w:r>
          <w:rPr>
            <w:rStyle w:val="CharStyle3"/>
            <w:lang w:eastAsia="da-DK"/>
          </w:rPr>
          <w:t xml:space="preserve"> Pawlowicz et al., 2020)</w:t>
        </w:r>
      </w:hyperlink>
      <w:r>
        <w:rPr>
          <w:rStyle w:val="CharStyle3"/>
          <w:lang w:eastAsia="da-DK"/>
        </w:rPr>
        <w:t xml:space="preserve">. An ongoing subject of interest in this coastal sea is the </w:t>
      </w:r>
      <w:r>
        <w:rPr>
          <w:rStyle w:val="CharStyle3"/>
          <w:lang w:val="en-US" w:eastAsia="en-US"/>
        </w:rPr>
        <w:t>re</w:t>
      </w:r>
      <w:r>
        <w:rPr>
          <w:rStyle w:val="CharStyle3"/>
          <w:lang w:val="en-US" w:eastAsia="en-US"/>
        </w:rPr>
        <w:softHyphen/>
        <w:t>lationship</w:t>
      </w:r>
      <w:r>
        <w:rPr>
          <w:rStyle w:val="CharStyle3"/>
          <w:lang w:eastAsia="da-DK"/>
        </w:rPr>
        <w:t xml:space="preserve"> between known physical and presumed </w:t>
      </w:r>
      <w:r>
        <w:rPr>
          <w:rStyle w:val="CharStyle3"/>
          <w:lang w:val="en-US" w:eastAsia="en-US"/>
        </w:rPr>
        <w:t>ecologi</w:t>
      </w:r>
      <w:r>
        <w:rPr>
          <w:rStyle w:val="CharStyle3"/>
          <w:lang w:val="en-US" w:eastAsia="en-US"/>
        </w:rPr>
        <w:softHyphen/>
        <w:t>cal</w:t>
      </w:r>
      <w:r>
        <w:rPr>
          <w:rStyle w:val="CharStyle3"/>
          <w:lang w:eastAsia="da-DK"/>
        </w:rPr>
        <w:t xml:space="preserve"> regions. Three prominent parts of the Salish Sea–Juan de Fuca Strait (JdF), the northern Strait of Georgia (NSoG), and the central SoG (CSoG) have been defined by distinct </w:t>
      </w:r>
      <w:r>
        <w:rPr>
          <w:rStyle w:val="CharStyle3"/>
          <w:lang w:val="en-US" w:eastAsia="en-US"/>
        </w:rPr>
        <w:t>strat</w:t>
      </w:r>
      <w:r>
        <w:rPr>
          <w:rStyle w:val="CharStyle3"/>
          <w:lang w:val="en-US" w:eastAsia="en-US"/>
        </w:rPr>
        <w:softHyphen/>
        <w:t>ification</w:t>
      </w:r>
      <w:r>
        <w:rPr>
          <w:rStyle w:val="CharStyle3"/>
          <w:lang w:eastAsia="da-DK"/>
        </w:rPr>
        <w:t xml:space="preserve"> regimes and water mass characteristics, and </w:t>
      </w:r>
      <w:r>
        <w:rPr>
          <w:rStyle w:val="CharStyle3"/>
          <w:lang w:val="en-US" w:eastAsia="en-US"/>
        </w:rPr>
        <w:t>avail</w:t>
      </w:r>
      <w:r>
        <w:rPr>
          <w:rStyle w:val="CharStyle3"/>
          <w:lang w:val="en-US" w:eastAsia="en-US"/>
        </w:rPr>
        <w:softHyphen/>
        <w:t>able</w:t>
      </w:r>
      <w:r>
        <w:rPr>
          <w:rStyle w:val="CharStyle3"/>
          <w:lang w:eastAsia="da-DK"/>
        </w:rPr>
        <w:t xml:space="preserve"> biological observations and model results (e.g.,</w:t>
      </w:r>
      <w:hyperlink w:anchor="bookmark123" w:tooltip="Current Document" w:history="1">
        <w:r>
          <w:rPr>
            <w:rStyle w:val="CharStyle3"/>
            <w:lang w:eastAsia="da-DK"/>
          </w:rPr>
          <w:t xml:space="preserve"> Masson</w:t>
        </w:r>
      </w:hyperlink>
      <w:r>
        <w:rPr>
          <w:rStyle w:val="CharStyle3"/>
          <w:lang w:eastAsia="da-DK"/>
        </w:rPr>
        <w:t xml:space="preserve"> </w:t>
      </w:r>
      <w:hyperlink w:anchor="bookmark123" w:tooltip="Current Document" w:history="1">
        <w:r>
          <w:rPr>
            <w:rStyle w:val="CharStyle3"/>
            <w:lang w:eastAsia="da-DK"/>
          </w:rPr>
          <w:t>and Peña, 2009;</w:t>
        </w:r>
      </w:hyperlink>
      <w:hyperlink w:anchor="bookmark137" w:tooltip="Current Document" w:history="1">
        <w:r>
          <w:rPr>
            <w:rStyle w:val="CharStyle3"/>
            <w:lang w:eastAsia="da-DK"/>
          </w:rPr>
          <w:t xml:space="preserve"> Suchy et al., 2019;</w:t>
        </w:r>
      </w:hyperlink>
      <w:hyperlink w:anchor="bookmark116" w:tooltip="Current Document" w:history="1">
        <w:r>
          <w:rPr>
            <w:rStyle w:val="CharStyle3"/>
            <w:lang w:eastAsia="da-DK"/>
          </w:rPr>
          <w:t xml:space="preserve"> Peña et al., 2016)</w:t>
        </w:r>
      </w:hyperlink>
      <w:r>
        <w:rPr>
          <w:rStyle w:val="CharStyle3"/>
          <w:lang w:eastAsia="da-DK"/>
        </w:rPr>
        <w:t xml:space="preserve"> are typically discussed in the context of these differing physical environments. However, in situ sampling of phytoplankton biomass remains relatively sparse and episodic and may not capture inherently dynamic phytoplankton biomass </w:t>
      </w:r>
      <w:r>
        <w:rPr>
          <w:rStyle w:val="CharStyle3"/>
          <w:lang w:val="en-US" w:eastAsia="en-US"/>
        </w:rPr>
        <w:t>fluctua</w:t>
      </w:r>
      <w:r>
        <w:rPr>
          <w:rStyle w:val="CharStyle3"/>
          <w:lang w:val="en-US" w:eastAsia="en-US"/>
        </w:rPr>
        <w:softHyphen/>
        <w:t>tions,</w:t>
      </w:r>
      <w:r>
        <w:rPr>
          <w:rStyle w:val="CharStyle3"/>
          <w:lang w:eastAsia="da-DK"/>
        </w:rPr>
        <w:t xml:space="preserve"> and remote sensing approaches can provide only </w:t>
      </w:r>
      <w:r>
        <w:rPr>
          <w:rStyle w:val="CharStyle3"/>
          <w:lang w:val="en-US" w:eastAsia="en-US"/>
        </w:rPr>
        <w:t>sur</w:t>
      </w:r>
      <w:r>
        <w:rPr>
          <w:rStyle w:val="CharStyle3"/>
          <w:lang w:val="en-US" w:eastAsia="en-US"/>
        </w:rPr>
        <w:softHyphen/>
        <w:t>face</w:t>
      </w:r>
      <w:r>
        <w:rPr>
          <w:rStyle w:val="CharStyle3"/>
          <w:lang w:eastAsia="da-DK"/>
        </w:rPr>
        <w:t xml:space="preserve"> chlorophyll concentrations. Here, we aim to use an </w:t>
      </w:r>
      <w:r>
        <w:rPr>
          <w:rStyle w:val="CharStyle3"/>
          <w:lang w:val="en-US" w:eastAsia="en-US"/>
        </w:rPr>
        <w:t>un</w:t>
      </w:r>
      <w:r>
        <w:rPr>
          <w:rStyle w:val="CharStyle3"/>
          <w:lang w:val="en-US" w:eastAsia="en-US"/>
        </w:rPr>
        <w:softHyphen/>
        <w:t>supervised</w:t>
      </w:r>
      <w:r>
        <w:rPr>
          <w:rStyle w:val="CharStyle3"/>
          <w:lang w:eastAsia="da-DK"/>
        </w:rPr>
        <w:t xml:space="preserve"> cluster analysis of a well-resolved sub-mesoscale mechanistic biophysical model to consider the linkages </w:t>
      </w:r>
      <w:r>
        <w:rPr>
          <w:rStyle w:val="CharStyle3"/>
          <w:lang w:val="en-US" w:eastAsia="en-US"/>
        </w:rPr>
        <w:t>be</w:t>
      </w:r>
      <w:r>
        <w:rPr>
          <w:rStyle w:val="CharStyle3"/>
          <w:lang w:val="en-US" w:eastAsia="en-US"/>
        </w:rPr>
        <w:softHyphen/>
        <w:t>tween</w:t>
      </w:r>
      <w:r>
        <w:rPr>
          <w:rStyle w:val="CharStyle3"/>
          <w:lang w:eastAsia="da-DK"/>
        </w:rPr>
        <w:t xml:space="preserve"> the regional physical oceanog</w:t>
      </w:r>
      <w:r>
        <w:rPr>
          <w:rStyle w:val="CharStyle3"/>
          <w:lang w:eastAsia="da-DK"/>
        </w:rPr>
        <w:t>raphy of the system and its phytoplankton biomass dynamics.</w:t>
      </w:r>
    </w:p>
    <w:p w14:paraId="6833733A" w14:textId="77777777" w:rsidR="0074324D" w:rsidRDefault="0074324D">
      <w:pPr>
        <w:pStyle w:val="Style15"/>
        <w:keepNext/>
        <w:keepLines/>
        <w:numPr>
          <w:ilvl w:val="1"/>
          <w:numId w:val="2"/>
        </w:numPr>
        <w:tabs>
          <w:tab w:val="left" w:pos="446"/>
        </w:tabs>
        <w:spacing w:after="160" w:line="288" w:lineRule="auto"/>
        <w:ind w:left="480" w:hanging="480"/>
        <w:jc w:val="both"/>
        <w:rPr>
          <w:sz w:val="24"/>
          <w:szCs w:val="24"/>
        </w:rPr>
      </w:pPr>
      <w:bookmarkStart w:id="3" w:name="bookmark6"/>
      <w:r>
        <w:rPr>
          <w:rStyle w:val="CharStyle16"/>
          <w:lang w:eastAsia="da-DK"/>
        </w:rPr>
        <w:t>Application of clustering methods to a modeling framework</w:t>
      </w:r>
      <w:bookmarkEnd w:id="3"/>
    </w:p>
    <w:p w14:paraId="18D86D43" w14:textId="77777777" w:rsidR="0074324D" w:rsidRDefault="0074324D">
      <w:pPr>
        <w:pStyle w:val="Style2"/>
        <w:jc w:val="both"/>
        <w:rPr>
          <w:rFonts w:ascii="Times New Roman" w:hAnsi="Times New Roman" w:cs="Times New Roman"/>
          <w:sz w:val="24"/>
          <w:szCs w:val="24"/>
        </w:rPr>
      </w:pPr>
      <w:r>
        <w:rPr>
          <w:rStyle w:val="CharStyle3"/>
          <w:lang w:eastAsia="da-DK"/>
        </w:rPr>
        <w:t xml:space="preserve">Clustering methods have demonstrated utility in </w:t>
      </w:r>
      <w:r>
        <w:rPr>
          <w:rStyle w:val="CharStyle3"/>
          <w:lang w:val="en-US" w:eastAsia="en-US"/>
        </w:rPr>
        <w:t>identify</w:t>
      </w:r>
      <w:r>
        <w:rPr>
          <w:rStyle w:val="CharStyle3"/>
          <w:lang w:val="en-US" w:eastAsia="en-US"/>
        </w:rPr>
        <w:softHyphen/>
        <w:t>ing</w:t>
      </w:r>
      <w:r>
        <w:rPr>
          <w:rStyle w:val="CharStyle3"/>
          <w:lang w:eastAsia="da-DK"/>
        </w:rPr>
        <w:t xml:space="preserve"> underlying structures in</w:t>
      </w:r>
      <w:r>
        <w:rPr>
          <w:rStyle w:val="CharStyle3"/>
          <w:lang w:eastAsia="da-DK"/>
        </w:rPr>
        <w:t xml:space="preserve"> large observational datasets and are commonly used in ecological and biological observa</w:t>
      </w:r>
      <w:r>
        <w:rPr>
          <w:rStyle w:val="CharStyle3"/>
          <w:lang w:eastAsia="da-DK"/>
        </w:rPr>
        <w:softHyphen/>
        <w:t xml:space="preserve">tional studies. In recent years, the application of </w:t>
      </w:r>
      <w:r>
        <w:rPr>
          <w:rStyle w:val="CharStyle3"/>
          <w:lang w:val="en-US" w:eastAsia="en-US"/>
        </w:rPr>
        <w:t>cluster</w:t>
      </w:r>
      <w:r>
        <w:rPr>
          <w:rStyle w:val="CharStyle3"/>
          <w:lang w:val="en-US" w:eastAsia="en-US"/>
        </w:rPr>
        <w:softHyphen/>
        <w:t>ing</w:t>
      </w:r>
      <w:r>
        <w:rPr>
          <w:rStyle w:val="CharStyle3"/>
          <w:lang w:eastAsia="da-DK"/>
        </w:rPr>
        <w:t xml:space="preserve"> to physical and biogeochemical ocean models has </w:t>
      </w:r>
      <w:r>
        <w:rPr>
          <w:rStyle w:val="CharStyle3"/>
          <w:lang w:val="en-US" w:eastAsia="en-US"/>
        </w:rPr>
        <w:t>be</w:t>
      </w:r>
      <w:r>
        <w:rPr>
          <w:rStyle w:val="CharStyle3"/>
          <w:lang w:val="en-US" w:eastAsia="en-US"/>
        </w:rPr>
        <w:softHyphen/>
        <w:t>come</w:t>
      </w:r>
      <w:r>
        <w:rPr>
          <w:rStyle w:val="CharStyle3"/>
          <w:lang w:eastAsia="da-DK"/>
        </w:rPr>
        <w:t xml:space="preserve"> more common </w:t>
      </w:r>
      <w:r>
        <w:rPr>
          <w:rStyle w:val="CharStyle3"/>
          <w:lang w:eastAsia="da-DK"/>
        </w:rPr>
        <w:t>(e.g.,</w:t>
      </w:r>
      <w:hyperlink w:anchor="bookmark128" w:tooltip="Current Document" w:history="1">
        <w:r>
          <w:rPr>
            <w:rStyle w:val="CharStyle3"/>
            <w:lang w:eastAsia="da-DK"/>
          </w:rPr>
          <w:t xml:space="preserve"> Sonnewald et al., 2020;</w:t>
        </w:r>
      </w:hyperlink>
      <w:hyperlink w:anchor="bookmark72" w:tooltip="Current Document" w:history="1">
        <w:r>
          <w:rPr>
            <w:rStyle w:val="CharStyle3"/>
            <w:lang w:eastAsia="da-DK"/>
          </w:rPr>
          <w:t xml:space="preserve"> Follows</w:t>
        </w:r>
      </w:hyperlink>
      <w:r>
        <w:rPr>
          <w:rStyle w:val="CharStyle3"/>
          <w:lang w:eastAsia="da-DK"/>
        </w:rPr>
        <w:t xml:space="preserve"> </w:t>
      </w:r>
      <w:hyperlink w:anchor="bookmark72" w:tooltip="Current Document" w:history="1">
        <w:r>
          <w:rPr>
            <w:rStyle w:val="CharStyle3"/>
            <w:lang w:eastAsia="da-DK"/>
          </w:rPr>
          <w:t>et al., 2007;</w:t>
        </w:r>
      </w:hyperlink>
      <w:hyperlink w:anchor="bookmark139" w:tooltip="Current Document" w:history="1">
        <w:r>
          <w:rPr>
            <w:rStyle w:val="CharStyle3"/>
            <w:lang w:eastAsia="da-DK"/>
          </w:rPr>
          <w:t xml:space="preserve"> Sun et al., 2021)</w:t>
        </w:r>
      </w:hyperlink>
      <w:r>
        <w:rPr>
          <w:rStyle w:val="CharStyle3"/>
          <w:lang w:eastAsia="da-DK"/>
        </w:rPr>
        <w:t>, though these approaches are not yet in widespread use. The quantity of data motivates the use of clustering methods in a modeling context – even in our relatively spatially limited sub-mesoscale resolution model, 1 year of output of a single variable at hourly res</w:t>
      </w:r>
      <w:r>
        <w:rPr>
          <w:rStyle w:val="CharStyle3"/>
          <w:lang w:eastAsia="da-DK"/>
        </w:rPr>
        <w:softHyphen/>
        <w:t>olution is quite sizable (</w:t>
      </w:r>
      <w:r>
        <w:rPr>
          <w:rStyle w:val="CharStyle3"/>
          <w:rFonts w:ascii="Cambria Math" w:hAnsi="Cambria Math" w:cs="Cambria Math"/>
          <w:lang w:eastAsia="da-DK"/>
        </w:rPr>
        <w:t>∼</w:t>
      </w:r>
      <w:r>
        <w:rPr>
          <w:rStyle w:val="CharStyle3"/>
          <w:lang w:eastAsia="da-DK"/>
        </w:rPr>
        <w:t xml:space="preserve"> 60 GB and </w:t>
      </w:r>
      <w:r>
        <w:rPr>
          <w:rStyle w:val="CharStyle3"/>
          <w:rFonts w:ascii="Cambria Math" w:hAnsi="Cambria Math" w:cs="Cambria Math"/>
          <w:lang w:eastAsia="da-DK"/>
        </w:rPr>
        <w:t>∼</w:t>
      </w:r>
      <w:r>
        <w:rPr>
          <w:rStyle w:val="CharStyle3"/>
          <w:lang w:eastAsia="da-DK"/>
        </w:rPr>
        <w:t xml:space="preserve"> 3 × 10</w:t>
      </w:r>
      <w:r>
        <w:rPr>
          <w:rStyle w:val="CharStyle3"/>
          <w:vertAlign w:val="superscript"/>
          <w:lang w:eastAsia="da-DK"/>
        </w:rPr>
        <w:t>10</w:t>
      </w:r>
      <w:r>
        <w:rPr>
          <w:rStyle w:val="CharStyle3"/>
          <w:lang w:eastAsia="da-DK"/>
        </w:rPr>
        <w:t xml:space="preserve"> individual values); the output of global circulation models is </w:t>
      </w:r>
      <w:r>
        <w:rPr>
          <w:rStyle w:val="CharStyle3"/>
          <w:lang w:val="en-US" w:eastAsia="en-US"/>
        </w:rPr>
        <w:t>consid</w:t>
      </w:r>
      <w:r>
        <w:rPr>
          <w:rStyle w:val="CharStyle3"/>
          <w:lang w:val="en-US" w:eastAsia="en-US"/>
        </w:rPr>
        <w:softHyphen/>
        <w:t>erably</w:t>
      </w:r>
      <w:r>
        <w:rPr>
          <w:rStyle w:val="CharStyle3"/>
          <w:lang w:eastAsia="da-DK"/>
        </w:rPr>
        <w:t xml:space="preserve"> larger. Well-tuned, high-resolution numerical models of complex natural systems are uniquely poised to provide insight regarding physical oceanographic regimes and </w:t>
      </w:r>
      <w:r>
        <w:rPr>
          <w:rStyle w:val="CharStyle3"/>
          <w:lang w:val="en-US" w:eastAsia="en-US"/>
        </w:rPr>
        <w:t>over</w:t>
      </w:r>
      <w:r>
        <w:rPr>
          <w:rStyle w:val="CharStyle3"/>
          <w:lang w:val="en-US" w:eastAsia="en-US"/>
        </w:rPr>
        <w:softHyphen/>
        <w:t>arching</w:t>
      </w:r>
      <w:r>
        <w:rPr>
          <w:rStyle w:val="CharStyle3"/>
          <w:lang w:eastAsia="da-DK"/>
        </w:rPr>
        <w:t xml:space="preserve"> patterns, especially in diverse regimes where sam</w:t>
      </w:r>
      <w:r>
        <w:rPr>
          <w:rStyle w:val="CharStyle3"/>
          <w:lang w:eastAsia="da-DK"/>
        </w:rPr>
        <w:softHyphen/>
        <w:t xml:space="preserve">pling efforts are sparse and often seasonally biased to fair weather. However, interpreting (even visualizing) large </w:t>
      </w:r>
      <w:r>
        <w:rPr>
          <w:rStyle w:val="CharStyle3"/>
          <w:lang w:val="en-US" w:eastAsia="en-US"/>
        </w:rPr>
        <w:t>vol</w:t>
      </w:r>
      <w:r>
        <w:rPr>
          <w:rStyle w:val="CharStyle3"/>
          <w:lang w:val="en-US" w:eastAsia="en-US"/>
        </w:rPr>
        <w:softHyphen/>
        <w:t>umes</w:t>
      </w:r>
      <w:r>
        <w:rPr>
          <w:rStyle w:val="CharStyle3"/>
          <w:lang w:eastAsia="da-DK"/>
        </w:rPr>
        <w:t xml:space="preserve"> of data poses a unique challenge; common approaches, such as monthly ave</w:t>
      </w:r>
      <w:r>
        <w:rPr>
          <w:rStyle w:val="CharStyle3"/>
          <w:lang w:eastAsia="da-DK"/>
        </w:rPr>
        <w:t>raged map snapshots, may represent an oversimplification and fail to show the patterns present in the underlying system. By extracting small-data key metrics throughout the model domain, we reduce the size of the prob</w:t>
      </w:r>
      <w:r>
        <w:rPr>
          <w:rStyle w:val="CharStyle3"/>
          <w:lang w:eastAsia="da-DK"/>
        </w:rPr>
        <w:softHyphen/>
        <w:t xml:space="preserve">lem we are considering while keeping the key </w:t>
      </w:r>
      <w:r>
        <w:rPr>
          <w:rStyle w:val="CharStyle3"/>
          <w:lang w:val="en-US" w:eastAsia="en-US"/>
        </w:rPr>
        <w:t>characteris</w:t>
      </w:r>
      <w:r>
        <w:rPr>
          <w:rStyle w:val="CharStyle3"/>
          <w:lang w:val="en-US" w:eastAsia="en-US"/>
        </w:rPr>
        <w:softHyphen/>
        <w:t>tics</w:t>
      </w:r>
      <w:r>
        <w:rPr>
          <w:rStyle w:val="CharStyle3"/>
          <w:lang w:eastAsia="da-DK"/>
        </w:rPr>
        <w:t xml:space="preserve"> of the system that we are studying. We can then </w:t>
      </w:r>
      <w:r>
        <w:rPr>
          <w:rStyle w:val="CharStyle3"/>
          <w:lang w:val="en-US" w:eastAsia="en-US"/>
        </w:rPr>
        <w:t>clus</w:t>
      </w:r>
      <w:r>
        <w:rPr>
          <w:rStyle w:val="CharStyle3"/>
          <w:lang w:val="en-US" w:eastAsia="en-US"/>
        </w:rPr>
        <w:softHyphen/>
        <w:t>ter</w:t>
      </w:r>
      <w:r>
        <w:rPr>
          <w:rStyle w:val="CharStyle3"/>
          <w:lang w:eastAsia="da-DK"/>
        </w:rPr>
        <w:t xml:space="preserve"> these metrics in the hopes of revealing discrete </w:t>
      </w:r>
      <w:r>
        <w:rPr>
          <w:rStyle w:val="CharStyle3"/>
          <w:lang w:val="en-US" w:eastAsia="en-US"/>
        </w:rPr>
        <w:t>dynam</w:t>
      </w:r>
      <w:r>
        <w:rPr>
          <w:rStyle w:val="CharStyle3"/>
          <w:lang w:val="en-US" w:eastAsia="en-US"/>
        </w:rPr>
        <w:softHyphen/>
        <w:t>ical</w:t>
      </w:r>
      <w:r>
        <w:rPr>
          <w:rStyle w:val="CharStyle3"/>
          <w:lang w:eastAsia="da-DK"/>
        </w:rPr>
        <w:t xml:space="preserve"> regimes in complex regions. Furthermore, the </w:t>
      </w:r>
      <w:r>
        <w:rPr>
          <w:rStyle w:val="CharStyle3"/>
          <w:lang w:val="en-US" w:eastAsia="en-US"/>
        </w:rPr>
        <w:t>cluster</w:t>
      </w:r>
      <w:r>
        <w:rPr>
          <w:rStyle w:val="CharStyle3"/>
          <w:lang w:val="en-US" w:eastAsia="en-US"/>
        </w:rPr>
        <w:softHyphen/>
        <w:t>ing</w:t>
      </w:r>
      <w:r>
        <w:rPr>
          <w:rStyle w:val="CharStyle3"/>
          <w:lang w:eastAsia="da-DK"/>
        </w:rPr>
        <w:t xml:space="preserve"> method is an objective classification of the system in the sense that it makes no prior assumptions about the locations of any oceanographic features that it finds.</w:t>
      </w:r>
    </w:p>
    <w:p w14:paraId="41E45A1D"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Here our main goal is to investigate how physical </w:t>
      </w:r>
      <w:r>
        <w:rPr>
          <w:rStyle w:val="CharStyle3"/>
          <w:lang w:val="en-US" w:eastAsia="en-US"/>
        </w:rPr>
        <w:t>dynam</w:t>
      </w:r>
      <w:r>
        <w:rPr>
          <w:rStyle w:val="CharStyle3"/>
          <w:lang w:val="en-US" w:eastAsia="en-US"/>
        </w:rPr>
        <w:softHyphen/>
        <w:t>ics</w:t>
      </w:r>
      <w:r>
        <w:rPr>
          <w:rStyle w:val="CharStyle3"/>
          <w:lang w:eastAsia="da-DK"/>
        </w:rPr>
        <w:t xml:space="preserve"> in the Salish Sea objectively define regions of distinct phytoplankton biomass and functional group composition. We extract model-available proxies for four separate factors related to water column stratification: wind energy, </w:t>
      </w:r>
      <w:r>
        <w:rPr>
          <w:rStyle w:val="CharStyle3"/>
          <w:lang w:val="en-US" w:eastAsia="en-US"/>
        </w:rPr>
        <w:t>freshwa</w:t>
      </w:r>
      <w:r>
        <w:rPr>
          <w:rStyle w:val="CharStyle3"/>
          <w:lang w:val="en-US" w:eastAsia="en-US"/>
        </w:rPr>
        <w:softHyphen/>
        <w:t>ter</w:t>
      </w:r>
      <w:r>
        <w:rPr>
          <w:rStyle w:val="CharStyle3"/>
          <w:lang w:eastAsia="da-DK"/>
        </w:rPr>
        <w:t xml:space="preserve"> index, water-column-averaged vertical eddy diffusivity, and halocline depth, as well as one indicator of primary </w:t>
      </w:r>
      <w:r>
        <w:rPr>
          <w:rStyle w:val="CharStyle3"/>
          <w:lang w:val="en-US" w:eastAsia="en-US"/>
        </w:rPr>
        <w:t>pro</w:t>
      </w:r>
      <w:r>
        <w:rPr>
          <w:rStyle w:val="CharStyle3"/>
          <w:lang w:val="en-US" w:eastAsia="en-US"/>
        </w:rPr>
        <w:softHyphen/>
        <w:t>ductivity</w:t>
      </w:r>
      <w:r>
        <w:rPr>
          <w:rStyle w:val="CharStyle3"/>
          <w:lang w:eastAsia="da-DK"/>
        </w:rPr>
        <w:t xml:space="preserve"> (depth-integrated phytoplankton biomass separated by functional group). We then cluster each factor </w:t>
      </w:r>
      <w:r>
        <w:rPr>
          <w:rStyle w:val="CharStyle3"/>
          <w:lang w:val="en-US" w:eastAsia="en-US"/>
        </w:rPr>
        <w:t>individu</w:t>
      </w:r>
      <w:r>
        <w:rPr>
          <w:rStyle w:val="CharStyle3"/>
          <w:lang w:val="en-US" w:eastAsia="en-US"/>
        </w:rPr>
        <w:softHyphen/>
        <w:t>ally</w:t>
      </w:r>
      <w:r>
        <w:rPr>
          <w:rStyle w:val="CharStyle3"/>
          <w:lang w:eastAsia="da-DK"/>
        </w:rPr>
        <w:t xml:space="preserve"> in order to discuss th</w:t>
      </w:r>
      <w:r>
        <w:rPr>
          <w:rStyle w:val="CharStyle3"/>
          <w:lang w:eastAsia="da-DK"/>
        </w:rPr>
        <w:t>e three major regions of the Salish Sea in the context of the spatial patterns in the yearly sig</w:t>
      </w:r>
      <w:r>
        <w:rPr>
          <w:rStyle w:val="CharStyle3"/>
          <w:lang w:eastAsia="da-DK"/>
        </w:rPr>
        <w:softHyphen/>
        <w:t xml:space="preserve">nals of these factors, as well as to consider their interannual variability. We finally compare spatial patterns in </w:t>
      </w:r>
      <w:r>
        <w:rPr>
          <w:rStyle w:val="CharStyle3"/>
          <w:lang w:val="en-US" w:eastAsia="en-US"/>
        </w:rPr>
        <w:t>stratifica</w:t>
      </w:r>
      <w:r>
        <w:rPr>
          <w:rStyle w:val="CharStyle3"/>
          <w:lang w:val="en-US" w:eastAsia="en-US"/>
        </w:rPr>
        <w:softHyphen/>
        <w:t>tion</w:t>
      </w:r>
      <w:r>
        <w:rPr>
          <w:rStyle w:val="CharStyle3"/>
          <w:lang w:eastAsia="da-DK"/>
        </w:rPr>
        <w:t xml:space="preserve"> factors to spatial patterns in phytoplankton biomass and discuss possible linkages between the two.</w:t>
      </w:r>
    </w:p>
    <w:p w14:paraId="7061DBE8" w14:textId="77777777" w:rsidR="0074324D" w:rsidRDefault="0074324D">
      <w:pPr>
        <w:pStyle w:val="Style13"/>
        <w:keepNext/>
        <w:keepLines/>
        <w:numPr>
          <w:ilvl w:val="0"/>
          <w:numId w:val="2"/>
        </w:numPr>
        <w:tabs>
          <w:tab w:val="left" w:pos="288"/>
        </w:tabs>
        <w:spacing w:after="200"/>
        <w:jc w:val="both"/>
        <w:rPr>
          <w:sz w:val="24"/>
          <w:szCs w:val="24"/>
        </w:rPr>
      </w:pPr>
      <w:bookmarkStart w:id="4" w:name="bookmark8"/>
      <w:r>
        <w:rPr>
          <w:rStyle w:val="CharStyle14"/>
          <w:lang w:eastAsia="da-DK"/>
        </w:rPr>
        <w:t>Methods</w:t>
      </w:r>
      <w:bookmarkEnd w:id="4"/>
    </w:p>
    <w:p w14:paraId="753E3728" w14:textId="77777777" w:rsidR="0074324D" w:rsidRDefault="0074324D">
      <w:pPr>
        <w:pStyle w:val="Style15"/>
        <w:keepNext/>
        <w:keepLines/>
        <w:numPr>
          <w:ilvl w:val="1"/>
          <w:numId w:val="2"/>
        </w:numPr>
        <w:tabs>
          <w:tab w:val="left" w:pos="452"/>
        </w:tabs>
        <w:jc w:val="both"/>
        <w:rPr>
          <w:sz w:val="24"/>
          <w:szCs w:val="24"/>
        </w:rPr>
      </w:pPr>
      <w:bookmarkStart w:id="5" w:name="bookmark10"/>
      <w:r>
        <w:rPr>
          <w:rStyle w:val="CharStyle16"/>
          <w:lang w:eastAsia="da-DK"/>
        </w:rPr>
        <w:t>The SalishSeaCast biophysical model</w:t>
      </w:r>
      <w:bookmarkEnd w:id="5"/>
    </w:p>
    <w:p w14:paraId="6ED6FEAD" w14:textId="77777777" w:rsidR="0074324D" w:rsidRDefault="0074324D">
      <w:pPr>
        <w:pStyle w:val="Style2"/>
        <w:jc w:val="both"/>
        <w:rPr>
          <w:rFonts w:ascii="Times New Roman" w:hAnsi="Times New Roman" w:cs="Times New Roman"/>
          <w:sz w:val="24"/>
          <w:szCs w:val="24"/>
        </w:rPr>
      </w:pPr>
      <w:bookmarkStart w:id="6" w:name="bookmark12"/>
      <w:r>
        <w:rPr>
          <w:rStyle w:val="CharStyle3"/>
          <w:lang w:eastAsia="da-DK"/>
        </w:rPr>
        <w:t xml:space="preserve">We use SalishSeaCast, a regional oceanographic model </w:t>
      </w:r>
      <w:r>
        <w:rPr>
          <w:rStyle w:val="CharStyle3"/>
          <w:lang w:val="en-US" w:eastAsia="en-US"/>
        </w:rPr>
        <w:t>de</w:t>
      </w:r>
      <w:r>
        <w:rPr>
          <w:rStyle w:val="CharStyle3"/>
          <w:lang w:val="en-US" w:eastAsia="en-US"/>
        </w:rPr>
        <w:softHyphen/>
        <w:t>veloped</w:t>
      </w:r>
      <w:r>
        <w:rPr>
          <w:rStyle w:val="CharStyle3"/>
          <w:lang w:eastAsia="da-DK"/>
        </w:rPr>
        <w:t xml:space="preserve"> for the Salish Sea </w:t>
      </w:r>
      <w:hyperlink w:anchor="bookmark134" w:tooltip="Current Document" w:history="1">
        <w:r>
          <w:rPr>
            <w:rStyle w:val="CharStyle3"/>
            <w:lang w:eastAsia="da-DK"/>
          </w:rPr>
          <w:t>(Soontiens et al., 2016;</w:t>
        </w:r>
      </w:hyperlink>
      <w:hyperlink w:anchor="bookmark131" w:tooltip="Current Document" w:history="1">
        <w:r>
          <w:rPr>
            <w:rStyle w:val="CharStyle3"/>
            <w:lang w:eastAsia="da-DK"/>
          </w:rPr>
          <w:t xml:space="preserve"> Soontiens</w:t>
        </w:r>
      </w:hyperlink>
      <w:r>
        <w:rPr>
          <w:rStyle w:val="CharStyle3"/>
          <w:lang w:eastAsia="da-DK"/>
        </w:rPr>
        <w:t xml:space="preserve"> </w:t>
      </w:r>
      <w:hyperlink w:anchor="bookmark131" w:tooltip="Current Document" w:history="1">
        <w:r>
          <w:rPr>
            <w:rStyle w:val="CharStyle3"/>
            <w:lang w:eastAsia="da-DK"/>
          </w:rPr>
          <w:t>and Allen, 2017)</w:t>
        </w:r>
      </w:hyperlink>
      <w:r>
        <w:rPr>
          <w:rStyle w:val="CharStyle3"/>
          <w:lang w:eastAsia="da-DK"/>
        </w:rPr>
        <w:t xml:space="preserve"> using version 3.6 of the NEMO regional ocean modeling engine </w:t>
      </w:r>
      <w:hyperlink w:anchor="bookmark114" w:tooltip="Current Document" w:history="1">
        <w:r>
          <w:rPr>
            <w:rStyle w:val="CharStyle3"/>
            <w:lang w:eastAsia="da-DK"/>
          </w:rPr>
          <w:t>(Madec et al., 2017)</w:t>
        </w:r>
      </w:hyperlink>
      <w:r>
        <w:rPr>
          <w:rStyle w:val="CharStyle3"/>
          <w:lang w:eastAsia="da-DK"/>
        </w:rPr>
        <w:t xml:space="preserve">. The physical model solves the Reynolds-averaged Navier–Stokes </w:t>
      </w:r>
      <w:r>
        <w:rPr>
          <w:rStyle w:val="CharStyle3"/>
          <w:lang w:val="en-US" w:eastAsia="en-US"/>
        </w:rPr>
        <w:t>equa</w:t>
      </w:r>
      <w:r>
        <w:rPr>
          <w:rStyle w:val="CharStyle3"/>
          <w:lang w:val="en-US" w:eastAsia="en-US"/>
        </w:rPr>
        <w:softHyphen/>
        <w:t>tions</w:t>
      </w:r>
      <w:r>
        <w:rPr>
          <w:rStyle w:val="CharStyle3"/>
          <w:lang w:eastAsia="da-DK"/>
        </w:rPr>
        <w:t xml:space="preserve"> on an Arakawa-C grid with a 2 s barotropic time step, a 2 s vertical advection time step, and a 40 s baroclinic time step. Major physical model modifications since the first </w:t>
      </w:r>
      <w:r>
        <w:rPr>
          <w:rStyle w:val="CharStyle3"/>
          <w:lang w:val="en-US" w:eastAsia="en-US"/>
        </w:rPr>
        <w:t>im</w:t>
      </w:r>
      <w:r>
        <w:rPr>
          <w:rStyle w:val="CharStyle3"/>
          <w:lang w:val="en-US" w:eastAsia="en-US"/>
        </w:rPr>
        <w:softHyphen/>
        <w:t>plementation</w:t>
      </w:r>
      <w:r>
        <w:rPr>
          <w:rStyle w:val="CharStyle3"/>
          <w:lang w:eastAsia="da-DK"/>
        </w:rPr>
        <w:t xml:space="preserve"> are summarized in</w:t>
      </w:r>
      <w:hyperlink w:anchor="bookmark109" w:tooltip="Current Document" w:history="1">
        <w:r>
          <w:rPr>
            <w:rStyle w:val="CharStyle3"/>
            <w:lang w:eastAsia="da-DK"/>
          </w:rPr>
          <w:t xml:space="preserve"> Olson et al. (2020)</w:t>
        </w:r>
      </w:hyperlink>
      <w:r>
        <w:rPr>
          <w:rStyle w:val="CharStyle3"/>
          <w:lang w:eastAsia="da-DK"/>
        </w:rPr>
        <w:t>.</w:t>
      </w:r>
      <w:bookmarkEnd w:id="6"/>
    </w:p>
    <w:p w14:paraId="48F52A82"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The model domain (Fig.</w:t>
      </w:r>
      <w:hyperlink w:anchor="bookmark12" w:tooltip="Current Document" w:history="1">
        <w:r>
          <w:rPr>
            <w:rStyle w:val="CharStyle3"/>
            <w:lang w:eastAsia="da-DK"/>
          </w:rPr>
          <w:t xml:space="preserve"> 1)</w:t>
        </w:r>
      </w:hyperlink>
      <w:r>
        <w:rPr>
          <w:rStyle w:val="CharStyle3"/>
          <w:lang w:eastAsia="da-DK"/>
        </w:rPr>
        <w:t xml:space="preserve"> is 898 (</w:t>
      </w:r>
      <w:r>
        <w:rPr>
          <w:rStyle w:val="CharStyle3"/>
          <w:sz w:val="16"/>
          <w:szCs w:val="16"/>
          <w:lang w:eastAsia="da-DK"/>
        </w:rPr>
        <w:t>v</w:t>
      </w:r>
      <w:r>
        <w:rPr>
          <w:rStyle w:val="CharStyle3"/>
          <w:lang w:eastAsia="da-DK"/>
        </w:rPr>
        <w:t>) by 398 (</w:t>
      </w:r>
      <w:r>
        <w:rPr>
          <w:rStyle w:val="CharStyle3"/>
          <w:sz w:val="16"/>
          <w:szCs w:val="16"/>
          <w:lang w:eastAsia="da-DK"/>
        </w:rPr>
        <w:t>u</w:t>
      </w:r>
      <w:r>
        <w:rPr>
          <w:rStyle w:val="CharStyle3"/>
          <w:lang w:eastAsia="da-DK"/>
        </w:rPr>
        <w:t xml:space="preserve">) horizontal cells with approximately 500 m horizontal resolution and 40 vertical </w:t>
      </w:r>
      <w:r>
        <w:rPr>
          <w:rStyle w:val="CharStyle3"/>
          <w:sz w:val="16"/>
          <w:szCs w:val="16"/>
          <w:lang w:eastAsia="da-DK"/>
        </w:rPr>
        <w:t xml:space="preserve">z </w:t>
      </w:r>
      <w:r>
        <w:rPr>
          <w:rStyle w:val="CharStyle3"/>
          <w:lang w:eastAsia="da-DK"/>
        </w:rPr>
        <w:t xml:space="preserve">layers ranging from 1 m resolution at the surface to 27 m resolution at the bottom. SalishSeaCast has two open boundaries at JdF and Johnstone Strait, which are forced with eight tidal constituents and sea surface height </w:t>
      </w:r>
      <w:r>
        <w:rPr>
          <w:rStyle w:val="CharStyle3"/>
          <w:lang w:val="en-US" w:eastAsia="en-US"/>
        </w:rPr>
        <w:t>predic</w:t>
      </w:r>
      <w:r>
        <w:rPr>
          <w:rStyle w:val="CharStyle3"/>
          <w:lang w:val="en-US" w:eastAsia="en-US"/>
        </w:rPr>
        <w:softHyphen/>
        <w:t>tions</w:t>
      </w:r>
      <w:r>
        <w:rPr>
          <w:rStyle w:val="CharStyle3"/>
          <w:lang w:eastAsia="da-DK"/>
        </w:rPr>
        <w:t xml:space="preserve"> from NOAA’s storm surge forecast at Neah Bay in JdF near the </w:t>
      </w:r>
      <w:r>
        <w:rPr>
          <w:rStyle w:val="CharStyle3"/>
          <w:lang w:eastAsia="da-DK"/>
        </w:rPr>
        <w:lastRenderedPageBreak/>
        <w:t>seaward entrance. The model is forced with over 150 rivers; the Fraser River runoff is taken from the Environmen</w:t>
      </w:r>
      <w:r>
        <w:rPr>
          <w:rStyle w:val="CharStyle3"/>
          <w:lang w:eastAsia="da-DK"/>
        </w:rPr>
        <w:t xml:space="preserve">t and Climate Change Canada flow gauge at Hope, BC, and the remaining rivers, as well as the Fraser River downstream of Hope, are forced by a monthly climatology </w:t>
      </w:r>
      <w:hyperlink w:anchor="bookmark103" w:tooltip="Current Document" w:history="1">
        <w:r>
          <w:rPr>
            <w:rStyle w:val="CharStyle3"/>
            <w:lang w:eastAsia="da-DK"/>
          </w:rPr>
          <w:t>(Morrison</w:t>
        </w:r>
      </w:hyperlink>
      <w:r>
        <w:rPr>
          <w:rStyle w:val="CharStyle3"/>
          <w:lang w:eastAsia="da-DK"/>
        </w:rPr>
        <w:t xml:space="preserve"> </w:t>
      </w:r>
      <w:hyperlink w:anchor="bookmark103" w:tooltip="Current Document" w:history="1">
        <w:r>
          <w:rPr>
            <w:rStyle w:val="CharStyle3"/>
            <w:lang w:eastAsia="da-DK"/>
          </w:rPr>
          <w:t>et al., 2012)</w:t>
        </w:r>
      </w:hyperlink>
      <w:r>
        <w:rPr>
          <w:rStyle w:val="CharStyle3"/>
          <w:lang w:eastAsia="da-DK"/>
        </w:rPr>
        <w:t>. Atmospheric forcing, including winds and so</w:t>
      </w:r>
      <w:r>
        <w:rPr>
          <w:rStyle w:val="CharStyle3"/>
          <w:lang w:eastAsia="da-DK"/>
        </w:rPr>
        <w:softHyphen/>
        <w:t xml:space="preserve">lar radiation, is derived from the High Resolution </w:t>
      </w:r>
      <w:r>
        <w:rPr>
          <w:rStyle w:val="CharStyle3"/>
          <w:lang w:val="en-US" w:eastAsia="en-US"/>
        </w:rPr>
        <w:t>Determin</w:t>
      </w:r>
      <w:r>
        <w:rPr>
          <w:rStyle w:val="CharStyle3"/>
          <w:lang w:val="en-US" w:eastAsia="en-US"/>
        </w:rPr>
        <w:softHyphen/>
        <w:t>istic</w:t>
      </w:r>
      <w:r>
        <w:rPr>
          <w:rStyle w:val="CharStyle3"/>
          <w:lang w:eastAsia="da-DK"/>
        </w:rPr>
        <w:t xml:space="preserve"> Prediction System (HRDPS), a nested 2.5 km resolu</w:t>
      </w:r>
      <w:r>
        <w:rPr>
          <w:rStyle w:val="CharStyle3"/>
          <w:lang w:eastAsia="da-DK"/>
        </w:rPr>
        <w:softHyphen/>
        <w:t xml:space="preserve">tion operational atmospheric model </w:t>
      </w:r>
      <w:hyperlink w:anchor="bookmark95" w:tooltip="Current Document" w:history="1">
        <w:r>
          <w:rPr>
            <w:rStyle w:val="CharStyle3"/>
            <w:lang w:eastAsia="da-DK"/>
          </w:rPr>
          <w:t>(Milbrandt et al., 2016)</w:t>
        </w:r>
      </w:hyperlink>
      <w:r>
        <w:rPr>
          <w:rStyle w:val="CharStyle3"/>
          <w:lang w:eastAsia="da-DK"/>
        </w:rPr>
        <w:t xml:space="preserve">. The HRDPS model output is too coarse to accurately </w:t>
      </w:r>
      <w:r>
        <w:rPr>
          <w:rStyle w:val="CharStyle3"/>
          <w:lang w:val="en-US" w:eastAsia="en-US"/>
        </w:rPr>
        <w:t>re</w:t>
      </w:r>
      <w:r>
        <w:rPr>
          <w:rStyle w:val="CharStyle3"/>
          <w:lang w:val="en-US" w:eastAsia="en-US"/>
        </w:rPr>
        <w:softHyphen/>
        <w:t>solve</w:t>
      </w:r>
      <w:r>
        <w:rPr>
          <w:rStyle w:val="CharStyle3"/>
          <w:lang w:eastAsia="da-DK"/>
        </w:rPr>
        <w:t xml:space="preserve"> atmospheric conditions in the northern inlets, but its wind fields have shown good agreement with observations throughout the Strait of Georgia </w:t>
      </w:r>
      <w:hyperlink w:anchor="bookmark101" w:tooltip="Current Document" w:history="1">
        <w:r>
          <w:rPr>
            <w:rStyle w:val="CharStyle3"/>
            <w:lang w:eastAsia="da-DK"/>
          </w:rPr>
          <w:t>(Moore-Maley and Allen,</w:t>
        </w:r>
      </w:hyperlink>
      <w:r>
        <w:rPr>
          <w:rStyle w:val="CharStyle3"/>
          <w:lang w:eastAsia="da-DK"/>
        </w:rPr>
        <w:t xml:space="preserve"> </w:t>
      </w:r>
      <w:hyperlink w:anchor="bookmark101" w:tooltip="Current Document" w:history="1">
        <w:r>
          <w:rPr>
            <w:rStyle w:val="CharStyle3"/>
            <w:lang w:eastAsia="da-DK"/>
          </w:rPr>
          <w:t>2022)</w:t>
        </w:r>
      </w:hyperlink>
      <w:r>
        <w:rPr>
          <w:rStyle w:val="CharStyle3"/>
          <w:lang w:eastAsia="da-DK"/>
        </w:rPr>
        <w:t xml:space="preserve">. Coupled to the physical model is a NPZD-type </w:t>
      </w:r>
      <w:r>
        <w:rPr>
          <w:rStyle w:val="CharStyle3"/>
          <w:lang w:val="en-US" w:eastAsia="en-US"/>
        </w:rPr>
        <w:t>biolog</w:t>
      </w:r>
      <w:r>
        <w:rPr>
          <w:rStyle w:val="CharStyle3"/>
          <w:lang w:val="en-US" w:eastAsia="en-US"/>
        </w:rPr>
        <w:softHyphen/>
        <w:t>ical</w:t>
      </w:r>
      <w:r>
        <w:rPr>
          <w:rStyle w:val="CharStyle3"/>
          <w:lang w:eastAsia="da-DK"/>
        </w:rPr>
        <w:t xml:space="preserve"> model (SMELT – Salish Sea Lower Trophic Ecosystem Model;</w:t>
      </w:r>
      <w:hyperlink w:anchor="bookmark109" w:tooltip="Current Document" w:history="1">
        <w:r>
          <w:rPr>
            <w:rStyle w:val="CharStyle3"/>
            <w:lang w:eastAsia="da-DK"/>
          </w:rPr>
          <w:t xml:space="preserve"> Olson et al., 2020)</w:t>
        </w:r>
      </w:hyperlink>
      <w:r>
        <w:rPr>
          <w:rStyle w:val="CharStyle3"/>
          <w:lang w:eastAsia="da-DK"/>
        </w:rPr>
        <w:t>, which is described in summary below.</w:t>
      </w:r>
    </w:p>
    <w:p w14:paraId="006C9A37" w14:textId="77777777" w:rsidR="0074324D" w:rsidRDefault="0074324D">
      <w:pPr>
        <w:pStyle w:val="Style2"/>
        <w:spacing w:after="200"/>
        <w:ind w:firstLine="220"/>
        <w:jc w:val="both"/>
        <w:rPr>
          <w:rFonts w:ascii="Times New Roman" w:hAnsi="Times New Roman" w:cs="Times New Roman"/>
          <w:sz w:val="24"/>
          <w:szCs w:val="24"/>
        </w:rPr>
      </w:pPr>
      <w:r>
        <w:rPr>
          <w:rStyle w:val="CharStyle3"/>
          <w:lang w:eastAsia="da-DK"/>
        </w:rPr>
        <w:t xml:space="preserve">The SMELT biological model represents the transfer of matter, using nitrogen as currency, between three classes of primary producers (diatoms, small flagellates, and the </w:t>
      </w:r>
      <w:r>
        <w:rPr>
          <w:rStyle w:val="CharStyle3"/>
          <w:lang w:val="la-Latn" w:eastAsia="la-Latn"/>
        </w:rPr>
        <w:t>cili</w:t>
      </w:r>
      <w:r>
        <w:rPr>
          <w:rStyle w:val="CharStyle3"/>
          <w:lang w:val="la-Latn" w:eastAsia="la-Latn"/>
        </w:rPr>
        <w:softHyphen/>
        <w:t>ate</w:t>
      </w:r>
      <w:r>
        <w:rPr>
          <w:rStyle w:val="CharStyle3"/>
          <w:lang w:eastAsia="da-DK"/>
        </w:rPr>
        <w:t xml:space="preserve"> mixotroph </w:t>
      </w:r>
      <w:r>
        <w:rPr>
          <w:rStyle w:val="CharStyle3"/>
          <w:i/>
          <w:iCs/>
          <w:sz w:val="16"/>
          <w:szCs w:val="16"/>
          <w:lang w:eastAsia="da-DK"/>
        </w:rPr>
        <w:t>M. rubrum</w:t>
      </w:r>
      <w:r>
        <w:rPr>
          <w:rStyle w:val="CharStyle3"/>
          <w:lang w:eastAsia="da-DK"/>
        </w:rPr>
        <w:t xml:space="preserve">), three classes of nutrients (nitrate, ammonia, and silicic acid), three classes of detritus </w:t>
      </w:r>
      <w:r>
        <w:rPr>
          <w:rStyle w:val="CharStyle3"/>
          <w:lang w:val="en-US" w:eastAsia="en-US"/>
        </w:rPr>
        <w:t>(particu</w:t>
      </w:r>
      <w:r>
        <w:rPr>
          <w:rStyle w:val="CharStyle3"/>
          <w:lang w:val="en-US" w:eastAsia="en-US"/>
        </w:rPr>
        <w:softHyphen/>
        <w:t>late</w:t>
      </w:r>
      <w:r>
        <w:rPr>
          <w:rStyle w:val="CharStyle3"/>
          <w:lang w:eastAsia="da-DK"/>
        </w:rPr>
        <w:t xml:space="preserve"> and dissolved organic nitrogen, and biogenic silica), and one class of microzooplankton, with mesozooplankton </w:t>
      </w:r>
      <w:r>
        <w:rPr>
          <w:rStyle w:val="CharStyle3"/>
          <w:lang w:val="en-US" w:eastAsia="en-US"/>
        </w:rPr>
        <w:t>graz</w:t>
      </w:r>
      <w:r>
        <w:rPr>
          <w:rStyle w:val="CharStyle3"/>
          <w:lang w:val="en-US" w:eastAsia="en-US"/>
        </w:rPr>
        <w:softHyphen/>
        <w:t>ing</w:t>
      </w:r>
      <w:r>
        <w:rPr>
          <w:rStyle w:val="CharStyle3"/>
          <w:lang w:eastAsia="da-DK"/>
        </w:rPr>
        <w:t xml:space="preserve"> as a closure term. The growth rate of all three primary producer classes depends on the availability of nutrients and light and on temperature. The diatom class is assigned the highest maximum growth rate and the highest optimal light level and is the only </w:t>
      </w:r>
      <w:r>
        <w:rPr>
          <w:rStyle w:val="CharStyle3"/>
          <w:lang w:eastAsia="da-DK"/>
        </w:rPr>
        <w:t>class to take up dissolved silica – in the gleaner–opportunist framework, we consider it an oppor</w:t>
      </w:r>
      <w:r>
        <w:rPr>
          <w:rStyle w:val="CharStyle3"/>
          <w:lang w:eastAsia="da-DK"/>
        </w:rPr>
        <w:softHyphen/>
        <w:t xml:space="preserve">tunist class </w:t>
      </w:r>
      <w:hyperlink w:anchor="bookmark82" w:tooltip="Current Document" w:history="1">
        <w:r>
          <w:rPr>
            <w:rStyle w:val="CharStyle3"/>
            <w:lang w:eastAsia="da-DK"/>
          </w:rPr>
          <w:t>(Grover, 1990;</w:t>
        </w:r>
      </w:hyperlink>
      <w:hyperlink w:anchor="bookmark84" w:tooltip="Current Document" w:history="1">
        <w:r>
          <w:rPr>
            <w:rStyle w:val="CharStyle3"/>
            <w:lang w:eastAsia="da-DK"/>
          </w:rPr>
          <w:t xml:space="preserve"> Grover et al., 1997)</w:t>
        </w:r>
      </w:hyperlink>
      <w:r>
        <w:rPr>
          <w:rStyle w:val="CharStyle3"/>
          <w:lang w:eastAsia="da-DK"/>
        </w:rPr>
        <w:t>. Small flag</w:t>
      </w:r>
      <w:r>
        <w:rPr>
          <w:rStyle w:val="CharStyle3"/>
          <w:lang w:eastAsia="da-DK"/>
        </w:rPr>
        <w:softHyphen/>
        <w:t xml:space="preserve">ellates (representing phytoplankton groups such as </w:t>
      </w:r>
      <w:r>
        <w:rPr>
          <w:rStyle w:val="CharStyle3"/>
          <w:lang w:val="en-US" w:eastAsia="en-US"/>
        </w:rPr>
        <w:t>crypto</w:t>
      </w:r>
      <w:r>
        <w:rPr>
          <w:rStyle w:val="CharStyle3"/>
          <w:lang w:val="en-US" w:eastAsia="en-US"/>
        </w:rPr>
        <w:softHyphen/>
        <w:t>phytes)</w:t>
      </w:r>
      <w:r>
        <w:rPr>
          <w:rStyle w:val="CharStyle3"/>
          <w:lang w:eastAsia="da-DK"/>
        </w:rPr>
        <w:t xml:space="preserve"> have the lowest maximum growth rate while </w:t>
      </w:r>
      <w:r>
        <w:rPr>
          <w:rStyle w:val="CharStyle3"/>
          <w:lang w:val="en-US" w:eastAsia="en-US"/>
        </w:rPr>
        <w:t>compet</w:t>
      </w:r>
      <w:r>
        <w:rPr>
          <w:rStyle w:val="CharStyle3"/>
          <w:lang w:val="en-US" w:eastAsia="en-US"/>
        </w:rPr>
        <w:softHyphen/>
        <w:t>ing</w:t>
      </w:r>
      <w:r>
        <w:rPr>
          <w:rStyle w:val="CharStyle3"/>
          <w:lang w:eastAsia="da-DK"/>
        </w:rPr>
        <w:t xml:space="preserve"> better at low nitrogen levels, low light, and higher tem</w:t>
      </w:r>
      <w:r>
        <w:rPr>
          <w:rStyle w:val="CharStyle3"/>
          <w:lang w:eastAsia="da-DK"/>
        </w:rPr>
        <w:softHyphen/>
        <w:t>perature. Small flagellates have the lowest minimum nutrient</w:t>
      </w:r>
    </w:p>
    <w:p w14:paraId="6164F36A" w14:textId="68E76777" w:rsidR="0074324D" w:rsidRDefault="0074324D">
      <w:pPr>
        <w:jc w:val="center"/>
        <w:rPr>
          <w:color w:val="auto"/>
          <w:lang w:eastAsia="en-GB"/>
        </w:rPr>
      </w:pPr>
      <w:r>
        <w:rPr>
          <w:noProof/>
          <w:color w:val="auto"/>
          <w:lang w:eastAsia="en-GB"/>
        </w:rPr>
        <w:drawing>
          <wp:inline distT="0" distB="0" distL="0" distR="0" wp14:anchorId="3DF6E471" wp14:editId="28232FA4">
            <wp:extent cx="3067050" cy="30861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3086100"/>
                    </a:xfrm>
                    <a:prstGeom prst="rect">
                      <a:avLst/>
                    </a:prstGeom>
                    <a:noFill/>
                    <a:ln>
                      <a:noFill/>
                    </a:ln>
                  </pic:spPr>
                </pic:pic>
              </a:graphicData>
            </a:graphic>
          </wp:inline>
        </w:drawing>
      </w:r>
    </w:p>
    <w:p w14:paraId="78DB15A1" w14:textId="77777777" w:rsidR="0074324D" w:rsidRDefault="0074324D">
      <w:pPr>
        <w:pStyle w:val="Style7"/>
        <w:jc w:val="both"/>
        <w:rPr>
          <w:rFonts w:ascii="Times New Roman" w:hAnsi="Times New Roman" w:cs="Times New Roman"/>
          <w:sz w:val="24"/>
          <w:szCs w:val="24"/>
        </w:rPr>
      </w:pPr>
      <w:r>
        <w:rPr>
          <w:rStyle w:val="CharStyle8"/>
          <w:lang w:eastAsia="da-DK"/>
        </w:rPr>
        <w:t>Figure 1. SalishSeaCast model domain colored by 1 d of surface di</w:t>
      </w:r>
      <w:r>
        <w:rPr>
          <w:rStyle w:val="CharStyle8"/>
          <w:lang w:eastAsia="da-DK"/>
        </w:rPr>
        <w:softHyphen/>
        <w:t xml:space="preserve">atom concentration (1 April 2016), highlighting major geographic subregions and features. The Strait of Georgia is often subdivided into the central Strait of Georgia (CSoG) and northern Strait of Georgia (NSoG), with the divide between the two subregions </w:t>
      </w:r>
      <w:r>
        <w:rPr>
          <w:rStyle w:val="CharStyle8"/>
          <w:lang w:val="en-US" w:eastAsia="en-US"/>
        </w:rPr>
        <w:t>oc</w:t>
      </w:r>
      <w:r>
        <w:rPr>
          <w:rStyle w:val="CharStyle8"/>
          <w:lang w:val="en-US" w:eastAsia="en-US"/>
        </w:rPr>
        <w:softHyphen/>
        <w:t>curring</w:t>
      </w:r>
      <w:r>
        <w:rPr>
          <w:rStyle w:val="CharStyle8"/>
          <w:lang w:eastAsia="da-DK"/>
        </w:rPr>
        <w:t xml:space="preserve"> approximately near the </w:t>
      </w:r>
      <w:r>
        <w:rPr>
          <w:rStyle w:val="CharStyle8"/>
          <w:lang w:eastAsia="da-DK"/>
        </w:rPr>
        <w:t>southern tip of Texada Island.</w:t>
      </w:r>
    </w:p>
    <w:p w14:paraId="07D9AAEB" w14:textId="77777777" w:rsidR="0074324D" w:rsidRDefault="0074324D">
      <w:pPr>
        <w:spacing w:after="379" w:line="1" w:lineRule="exact"/>
        <w:rPr>
          <w:color w:val="auto"/>
          <w:lang w:eastAsia="en-GB"/>
        </w:rPr>
      </w:pPr>
    </w:p>
    <w:p w14:paraId="447E9C5D" w14:textId="77777777" w:rsidR="0074324D" w:rsidRDefault="0074324D">
      <w:pPr>
        <w:pStyle w:val="Style2"/>
        <w:jc w:val="both"/>
        <w:rPr>
          <w:rFonts w:ascii="Times New Roman" w:hAnsi="Times New Roman" w:cs="Times New Roman"/>
          <w:sz w:val="24"/>
          <w:szCs w:val="24"/>
        </w:rPr>
      </w:pPr>
      <w:r>
        <w:rPr>
          <w:rStyle w:val="CharStyle3"/>
          <w:lang w:eastAsia="da-DK"/>
        </w:rPr>
        <w:t xml:space="preserve">requirement, and we consider them the gleaner class in the gleaner–opportunist framework. The mixotroph </w:t>
      </w:r>
      <w:r>
        <w:rPr>
          <w:rStyle w:val="CharStyle3"/>
          <w:i/>
          <w:iCs/>
          <w:sz w:val="16"/>
          <w:szCs w:val="16"/>
          <w:lang w:eastAsia="da-DK"/>
        </w:rPr>
        <w:t xml:space="preserve">M. rubrum </w:t>
      </w:r>
      <w:r>
        <w:rPr>
          <w:rStyle w:val="CharStyle3"/>
          <w:lang w:eastAsia="da-DK"/>
        </w:rPr>
        <w:t>has intermediate growth</w:t>
      </w:r>
      <w:r>
        <w:rPr>
          <w:rStyle w:val="CharStyle3"/>
          <w:lang w:eastAsia="da-DK"/>
        </w:rPr>
        <w:t xml:space="preserve"> parameters while grazing on the flagellate class in addition to photosynthesizing. Details of phytoplankton growth rate as well as nutrient and light level preference are available in</w:t>
      </w:r>
      <w:hyperlink w:anchor="bookmark109" w:tooltip="Current Document" w:history="1">
        <w:r>
          <w:rPr>
            <w:rStyle w:val="CharStyle3"/>
            <w:lang w:eastAsia="da-DK"/>
          </w:rPr>
          <w:t xml:space="preserve"> Olson et al. (2020)</w:t>
        </w:r>
      </w:hyperlink>
      <w:r>
        <w:rPr>
          <w:rStyle w:val="CharStyle3"/>
          <w:lang w:eastAsia="da-DK"/>
        </w:rPr>
        <w:t>. A summary of minor updates to the model tuning since publication in</w:t>
      </w:r>
      <w:hyperlink w:anchor="bookmark109" w:tooltip="Current Document" w:history="1">
        <w:r>
          <w:rPr>
            <w:rStyle w:val="CharStyle3"/>
            <w:lang w:eastAsia="da-DK"/>
          </w:rPr>
          <w:t xml:space="preserve"> Olson</w:t>
        </w:r>
      </w:hyperlink>
      <w:r>
        <w:rPr>
          <w:rStyle w:val="CharStyle3"/>
          <w:lang w:eastAsia="da-DK"/>
        </w:rPr>
        <w:t xml:space="preserve"> </w:t>
      </w:r>
      <w:hyperlink w:anchor="bookmark109" w:tooltip="Current Document" w:history="1">
        <w:r>
          <w:rPr>
            <w:rStyle w:val="CharStyle3"/>
            <w:lang w:eastAsia="da-DK"/>
          </w:rPr>
          <w:t>et al. (2020)</w:t>
        </w:r>
      </w:hyperlink>
      <w:r>
        <w:rPr>
          <w:rStyle w:val="CharStyle3"/>
          <w:lang w:eastAsia="da-DK"/>
        </w:rPr>
        <w:t xml:space="preserve"> is provided in Appendix B.</w:t>
      </w:r>
    </w:p>
    <w:p w14:paraId="48416EF5"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SalishSeaCast has been run operationally since 2014, and results from a 2013 to 2021 hindcast are available at</w:t>
      </w:r>
      <w:hyperlink r:id="rId10" w:history="1">
        <w:r>
          <w:rPr>
            <w:rStyle w:val="CharStyle3"/>
            <w:lang w:eastAsia="da-DK"/>
          </w:rPr>
          <w:t xml:space="preserve"> https://salishsea.eos.ubc.ca/erddap/index.html </w:t>
        </w:r>
      </w:hyperlink>
      <w:r>
        <w:rPr>
          <w:rStyle w:val="CharStyle3"/>
          <w:lang w:eastAsia="da-DK"/>
        </w:rPr>
        <w:t xml:space="preserve">(last access: 10 May 2022). The entire model system, including run </w:t>
      </w:r>
      <w:r>
        <w:rPr>
          <w:rStyle w:val="CharStyle3"/>
          <w:lang w:val="en-US" w:eastAsia="en-US"/>
        </w:rPr>
        <w:t>en</w:t>
      </w:r>
      <w:r>
        <w:rPr>
          <w:rStyle w:val="CharStyle3"/>
          <w:lang w:val="en-US" w:eastAsia="en-US"/>
        </w:rPr>
        <w:softHyphen/>
        <w:t>vironment,</w:t>
      </w:r>
      <w:r>
        <w:rPr>
          <w:rStyle w:val="CharStyle3"/>
          <w:lang w:eastAsia="da-DK"/>
        </w:rPr>
        <w:t xml:space="preserve"> is documented at</w:t>
      </w:r>
      <w:hyperlink r:id="rId11" w:history="1">
        <w:r>
          <w:rPr>
            <w:rStyle w:val="CharStyle3"/>
            <w:lang w:eastAsia="da-DK"/>
          </w:rPr>
          <w:t xml:space="preserve"> https://salishsea-meopar-docs.</w:t>
        </w:r>
      </w:hyperlink>
      <w:r>
        <w:rPr>
          <w:rStyle w:val="CharStyle3"/>
          <w:lang w:eastAsia="da-DK"/>
        </w:rPr>
        <w:t xml:space="preserve"> </w:t>
      </w:r>
      <w:hyperlink r:id="rId12" w:history="1">
        <w:r>
          <w:rPr>
            <w:rStyle w:val="CharStyle3"/>
            <w:lang w:eastAsia="da-DK"/>
          </w:rPr>
          <w:t xml:space="preserve">readthedocs.io </w:t>
        </w:r>
      </w:hyperlink>
      <w:r>
        <w:rPr>
          <w:rStyle w:val="CharStyle3"/>
          <w:lang w:eastAsia="da-DK"/>
        </w:rPr>
        <w:t>(last access: 10 May 2022). In Appendix A we provide an evaluation of the model salinity, temperature, nitrate, dissolved silica, and chlorophyll against available ob</w:t>
      </w:r>
      <w:r>
        <w:rPr>
          <w:rStyle w:val="CharStyle3"/>
          <w:lang w:eastAsia="da-DK"/>
        </w:rPr>
        <w:softHyphen/>
        <w:t>servations for the years and model version analyzed, sepa</w:t>
      </w:r>
      <w:r>
        <w:rPr>
          <w:rStyle w:val="CharStyle3"/>
          <w:lang w:eastAsia="da-DK"/>
        </w:rPr>
        <w:softHyphen/>
        <w:t>rated according to the major clusters found (Figs. A1–A2). In summary, the model shows consistently high skill across all clusters (Tables</w:t>
      </w:r>
      <w:hyperlink w:anchor="bookmark53" w:tooltip="Current Document" w:history="1">
        <w:r>
          <w:rPr>
            <w:rStyle w:val="CharStyle3"/>
            <w:lang w:eastAsia="da-DK"/>
          </w:rPr>
          <w:t xml:space="preserve"> A1</w:t>
        </w:r>
      </w:hyperlink>
      <w:hyperlink w:anchor="bookmark54" w:tooltip="Current Document" w:history="1">
        <w:r>
          <w:rPr>
            <w:rStyle w:val="CharStyle3"/>
            <w:lang w:eastAsia="da-DK"/>
          </w:rPr>
          <w:t>–A2)</w:t>
        </w:r>
      </w:hyperlink>
      <w:r>
        <w:rPr>
          <w:rStyle w:val="CharStyle3"/>
          <w:lang w:eastAsia="da-DK"/>
        </w:rPr>
        <w:t>, with Willmott skill scores for tem</w:t>
      </w:r>
      <w:r>
        <w:rPr>
          <w:rStyle w:val="CharStyle3"/>
          <w:lang w:eastAsia="da-DK"/>
        </w:rPr>
        <w:softHyphen/>
        <w:t>perature and salinity ranging from 0.957–0.971 and 0.959– 0.971, respectively, while comparisons with log-transformed total chlorophyll data yield scores of 0.599–0.712.</w:t>
      </w:r>
      <w:r>
        <w:rPr>
          <w:rFonts w:ascii="Times New Roman" w:hAnsi="Times New Roman" w:cs="Times New Roman"/>
          <w:sz w:val="24"/>
          <w:szCs w:val="24"/>
        </w:rPr>
        <w:br w:type="page"/>
      </w:r>
    </w:p>
    <w:p w14:paraId="114A784F" w14:textId="77777777" w:rsidR="0074324D" w:rsidRDefault="0074324D">
      <w:pPr>
        <w:pStyle w:val="Style2"/>
        <w:jc w:val="both"/>
        <w:rPr>
          <w:rFonts w:ascii="Times New Roman" w:hAnsi="Times New Roman" w:cs="Times New Roman"/>
          <w:sz w:val="24"/>
          <w:szCs w:val="24"/>
        </w:rPr>
      </w:pPr>
      <w:bookmarkStart w:id="7" w:name="bookmark13"/>
      <w:r>
        <w:rPr>
          <w:rStyle w:val="CharStyle3"/>
          <w:lang w:eastAsia="da-DK"/>
        </w:rPr>
        <w:lastRenderedPageBreak/>
        <w:t xml:space="preserve">We analyzed 4 years of daily output from a hindcast of Sal- ishSeaCast (2013–2016) using an unsupervised clustering </w:t>
      </w:r>
      <w:r>
        <w:rPr>
          <w:rStyle w:val="CharStyle3"/>
          <w:lang w:val="en-US" w:eastAsia="en-US"/>
        </w:rPr>
        <w:t>al</w:t>
      </w:r>
      <w:r>
        <w:rPr>
          <w:rStyle w:val="CharStyle3"/>
          <w:lang w:val="en-US" w:eastAsia="en-US"/>
        </w:rPr>
        <w:softHyphen/>
        <w:t>gorithm</w:t>
      </w:r>
      <w:r>
        <w:rPr>
          <w:rStyle w:val="CharStyle3"/>
          <w:lang w:eastAsia="da-DK"/>
        </w:rPr>
        <w:t xml:space="preserve"> (Ward’s Euclidean distance method, see Sect. 2.3). We developed model-available year-long time series proxies (“signals”) for four different factors relating to stratification and mixing activity (wind strength, freshwater influx, vertical eddy diffusivity, and halocline depth) and one for an </w:t>
      </w:r>
      <w:r>
        <w:rPr>
          <w:rStyle w:val="CharStyle3"/>
          <w:lang w:val="en-US" w:eastAsia="en-US"/>
        </w:rPr>
        <w:t>indica</w:t>
      </w:r>
      <w:r>
        <w:rPr>
          <w:rStyle w:val="CharStyle3"/>
          <w:lang w:val="en-US" w:eastAsia="en-US"/>
        </w:rPr>
        <w:softHyphen/>
        <w:t>tor</w:t>
      </w:r>
      <w:r>
        <w:rPr>
          <w:rStyle w:val="CharStyle3"/>
          <w:lang w:eastAsia="da-DK"/>
        </w:rPr>
        <w:t xml:space="preserve"> of biological productivity (total depth-integrated biomass of three phytoplankton functional groups from the model’s NPZD module). These signals were extracted for each year at each of 571 model “</w:t>
      </w:r>
      <w:r>
        <w:rPr>
          <w:rStyle w:val="CharStyle3"/>
          <w:lang w:eastAsia="da-DK"/>
        </w:rPr>
        <w:t>stations” spaced 10 model grid points apart (</w:t>
      </w:r>
      <w:r>
        <w:rPr>
          <w:rStyle w:val="CharStyle3"/>
          <w:rFonts w:ascii="Cambria Math" w:hAnsi="Cambria Math" w:cs="Cambria Math"/>
          <w:lang w:eastAsia="da-DK"/>
        </w:rPr>
        <w:t>∼</w:t>
      </w:r>
      <w:r>
        <w:rPr>
          <w:rStyle w:val="CharStyle3"/>
          <w:lang w:eastAsia="da-DK"/>
        </w:rPr>
        <w:t xml:space="preserve"> 5 km, Fig.</w:t>
      </w:r>
      <w:hyperlink w:anchor="bookmark13" w:tooltip="Current Document" w:history="1">
        <w:r>
          <w:rPr>
            <w:rStyle w:val="CharStyle3"/>
            <w:lang w:eastAsia="da-DK"/>
          </w:rPr>
          <w:t xml:space="preserve"> 2)</w:t>
        </w:r>
      </w:hyperlink>
      <w:r>
        <w:rPr>
          <w:rStyle w:val="CharStyle3"/>
          <w:lang w:eastAsia="da-DK"/>
        </w:rPr>
        <w:t xml:space="preserve">. This spacing was chosen as a </w:t>
      </w:r>
      <w:r>
        <w:rPr>
          <w:rStyle w:val="CharStyle3"/>
          <w:lang w:val="en-US" w:eastAsia="en-US"/>
        </w:rPr>
        <w:t>compro</w:t>
      </w:r>
      <w:r>
        <w:rPr>
          <w:rStyle w:val="CharStyle3"/>
          <w:lang w:val="en-US" w:eastAsia="en-US"/>
        </w:rPr>
        <w:softHyphen/>
        <w:t>mise</w:t>
      </w:r>
      <w:r>
        <w:rPr>
          <w:rStyle w:val="CharStyle3"/>
          <w:lang w:eastAsia="da-DK"/>
        </w:rPr>
        <w:t xml:space="preserve"> between resolution and computing time, and we believe it represents the different regions of the Salish Sea well while being computationally manageable.</w:t>
      </w:r>
      <w:bookmarkEnd w:id="7"/>
    </w:p>
    <w:p w14:paraId="70F6373A" w14:textId="77777777" w:rsidR="0074324D" w:rsidRDefault="0074324D">
      <w:pPr>
        <w:pStyle w:val="Style2"/>
        <w:spacing w:after="200"/>
        <w:ind w:firstLine="200"/>
        <w:jc w:val="both"/>
        <w:rPr>
          <w:rFonts w:ascii="Times New Roman" w:hAnsi="Times New Roman" w:cs="Times New Roman"/>
          <w:sz w:val="24"/>
          <w:szCs w:val="24"/>
        </w:rPr>
      </w:pPr>
      <w:r>
        <w:rPr>
          <w:rStyle w:val="CharStyle3"/>
          <w:lang w:eastAsia="da-DK"/>
        </w:rPr>
        <w:t>Several possible clusterings resulting from our analysis were visualized and compared for major differences (see Sect. 2.3). Results show the typical cluster structure for all 4 years for each individual factor (Sect. 3), while an example visualization of all possible clusterings of 1 year of one of the variables is available in Fig.</w:t>
      </w:r>
      <w:hyperlink w:anchor="bookmark57" w:tooltip="Current Document" w:history="1">
        <w:r>
          <w:rPr>
            <w:rStyle w:val="CharStyle3"/>
            <w:lang w:eastAsia="da-DK"/>
          </w:rPr>
          <w:t xml:space="preserve"> C1 </w:t>
        </w:r>
      </w:hyperlink>
      <w:r>
        <w:rPr>
          <w:rStyle w:val="CharStyle3"/>
          <w:lang w:eastAsia="da-DK"/>
        </w:rPr>
        <w:t>in Appendix C. Here, we describe the signals.</w:t>
      </w:r>
    </w:p>
    <w:p w14:paraId="30B1A5AE" w14:textId="77777777" w:rsidR="0074324D" w:rsidRDefault="0074324D">
      <w:pPr>
        <w:pStyle w:val="Style2"/>
        <w:numPr>
          <w:ilvl w:val="2"/>
          <w:numId w:val="3"/>
        </w:numPr>
        <w:tabs>
          <w:tab w:val="left" w:pos="598"/>
        </w:tabs>
        <w:spacing w:after="200"/>
        <w:jc w:val="both"/>
        <w:rPr>
          <w:sz w:val="24"/>
          <w:szCs w:val="24"/>
        </w:rPr>
      </w:pPr>
      <w:r>
        <w:rPr>
          <w:rStyle w:val="CharStyle3"/>
          <w:lang w:eastAsia="da-DK"/>
        </w:rPr>
        <w:t>Wind strength</w:t>
      </w:r>
    </w:p>
    <w:p w14:paraId="2A2DD68F"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 xml:space="preserve">The wind forcing used (HRDPS, see model description) has 2.5 km spatial resolution and hourly temporal resolution, and it is used operationally by Environment Canada in the </w:t>
      </w:r>
      <w:r>
        <w:rPr>
          <w:rStyle w:val="CharStyle3"/>
          <w:lang w:val="en-US" w:eastAsia="en-US"/>
        </w:rPr>
        <w:t>Cana</w:t>
      </w:r>
      <w:r>
        <w:rPr>
          <w:rStyle w:val="CharStyle3"/>
          <w:lang w:val="en-US" w:eastAsia="en-US"/>
        </w:rPr>
        <w:softHyphen/>
        <w:t>dian</w:t>
      </w:r>
      <w:r>
        <w:rPr>
          <w:rStyle w:val="CharStyle3"/>
          <w:lang w:eastAsia="da-DK"/>
        </w:rPr>
        <w:t xml:space="preserve"> Pacific region. The skill of the HRDPS wind product in this region when compared to local meteorological stations has been evaluated by a previous study and accurately </w:t>
      </w:r>
      <w:r>
        <w:rPr>
          <w:rStyle w:val="CharStyle3"/>
          <w:lang w:val="en-US" w:eastAsia="en-US"/>
        </w:rPr>
        <w:t>re</w:t>
      </w:r>
      <w:r>
        <w:rPr>
          <w:rStyle w:val="CharStyle3"/>
          <w:lang w:val="en-US" w:eastAsia="en-US"/>
        </w:rPr>
        <w:softHyphen/>
        <w:t>produces</w:t>
      </w:r>
      <w:r>
        <w:rPr>
          <w:rStyle w:val="CharStyle3"/>
          <w:lang w:eastAsia="da-DK"/>
        </w:rPr>
        <w:t xml:space="preserve"> the climatology of observed wind magnitudes and directions </w:t>
      </w:r>
      <w:hyperlink w:anchor="bookmark101" w:tooltip="Current Document" w:history="1">
        <w:r>
          <w:rPr>
            <w:rStyle w:val="CharStyle3"/>
            <w:lang w:eastAsia="da-DK"/>
          </w:rPr>
          <w:t>(Moore-Maley and Allen, 2022)</w:t>
        </w:r>
      </w:hyperlink>
      <w:r>
        <w:rPr>
          <w:rStyle w:val="CharStyle3"/>
          <w:lang w:eastAsia="da-DK"/>
        </w:rPr>
        <w:t xml:space="preserve">. We first </w:t>
      </w:r>
      <w:r>
        <w:rPr>
          <w:rStyle w:val="CharStyle3"/>
          <w:lang w:val="en-US" w:eastAsia="en-US"/>
        </w:rPr>
        <w:t>interpo</w:t>
      </w:r>
      <w:r>
        <w:rPr>
          <w:rStyle w:val="CharStyle3"/>
          <w:lang w:val="en-US" w:eastAsia="en-US"/>
        </w:rPr>
        <w:softHyphen/>
        <w:t>late</w:t>
      </w:r>
      <w:r>
        <w:rPr>
          <w:rStyle w:val="CharStyle3"/>
          <w:lang w:eastAsia="da-DK"/>
        </w:rPr>
        <w:t xml:space="preserve"> this product onto the model grid and then extract hourly wind speed. Here we are interested in the impact of wind on mixing of the water column. Therefore, because wind </w:t>
      </w:r>
      <w:r>
        <w:rPr>
          <w:rStyle w:val="CharStyle3"/>
          <w:lang w:val="en-US" w:eastAsia="en-US"/>
        </w:rPr>
        <w:t>en</w:t>
      </w:r>
      <w:r>
        <w:rPr>
          <w:rStyle w:val="CharStyle3"/>
          <w:lang w:val="en-US" w:eastAsia="en-US"/>
        </w:rPr>
        <w:softHyphen/>
        <w:t>ergy</w:t>
      </w:r>
      <w:r>
        <w:rPr>
          <w:rStyle w:val="CharStyle3"/>
          <w:lang w:eastAsia="da-DK"/>
        </w:rPr>
        <w:t xml:space="preserve"> available for mixing scales with the cube of wind speed </w:t>
      </w:r>
      <w:hyperlink w:anchor="bookmark73" w:tooltip="Current Document" w:history="1">
        <w:r>
          <w:rPr>
            <w:rStyle w:val="CharStyle3"/>
            <w:lang w:eastAsia="da-DK"/>
          </w:rPr>
          <w:t>(Fischer et al., 1979)</w:t>
        </w:r>
      </w:hyperlink>
      <w:r>
        <w:rPr>
          <w:rStyle w:val="CharStyle3"/>
          <w:lang w:eastAsia="da-DK"/>
        </w:rPr>
        <w:t>, we use the cube of wind speed as our signal. To take advantage of the hourly resolution of the wind product, we use the daily average of cubed hourly wind speed (Fig.</w:t>
      </w:r>
      <w:hyperlink w:anchor="bookmark13" w:tooltip="Current Document" w:history="1">
        <w:r>
          <w:rPr>
            <w:rStyle w:val="CharStyle3"/>
            <w:lang w:eastAsia="da-DK"/>
          </w:rPr>
          <w:t xml:space="preserve"> 2a</w:t>
        </w:r>
      </w:hyperlink>
      <w:r>
        <w:rPr>
          <w:rStyle w:val="CharStyle3"/>
          <w:lang w:eastAsia="da-DK"/>
        </w:rPr>
        <w:t>).</w:t>
      </w:r>
    </w:p>
    <w:p w14:paraId="3B8CF754" w14:textId="77777777" w:rsidR="0074324D" w:rsidRDefault="0074324D">
      <w:pPr>
        <w:pStyle w:val="Style22"/>
        <w:keepNext/>
        <w:keepLines/>
        <w:numPr>
          <w:ilvl w:val="2"/>
          <w:numId w:val="3"/>
        </w:numPr>
        <w:tabs>
          <w:tab w:val="left" w:pos="598"/>
        </w:tabs>
        <w:jc w:val="both"/>
        <w:rPr>
          <w:sz w:val="24"/>
          <w:szCs w:val="24"/>
        </w:rPr>
      </w:pPr>
      <w:bookmarkStart w:id="8" w:name="bookmark15"/>
      <w:r>
        <w:rPr>
          <w:rStyle w:val="CharStyle23"/>
          <w:lang w:eastAsia="da-DK"/>
        </w:rPr>
        <w:t>Vertical eddy diffusivity</w:t>
      </w:r>
      <w:bookmarkEnd w:id="8"/>
    </w:p>
    <w:p w14:paraId="29F92104"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 xml:space="preserve">The vertical eddy diffusivity (VED) represents the strength of mixing in the system </w:t>
      </w:r>
      <w:hyperlink w:anchor="bookmark131" w:tooltip="Current Document" w:history="1">
        <w:r>
          <w:rPr>
            <w:rStyle w:val="CharStyle3"/>
            <w:lang w:eastAsia="da-DK"/>
          </w:rPr>
          <w:t>(Soontiens and Allen, 2017)</w:t>
        </w:r>
      </w:hyperlink>
      <w:r>
        <w:rPr>
          <w:rStyle w:val="CharStyle3"/>
          <w:lang w:eastAsia="da-DK"/>
        </w:rPr>
        <w:t xml:space="preserve"> and </w:t>
      </w:r>
      <w:r>
        <w:rPr>
          <w:rStyle w:val="CharStyle3"/>
          <w:lang w:val="en-US" w:eastAsia="en-US"/>
        </w:rPr>
        <w:t>de</w:t>
      </w:r>
      <w:r>
        <w:rPr>
          <w:rStyle w:val="CharStyle3"/>
          <w:lang w:val="en-US" w:eastAsia="en-US"/>
        </w:rPr>
        <w:softHyphen/>
        <w:t>pends</w:t>
      </w:r>
      <w:r>
        <w:rPr>
          <w:rStyle w:val="CharStyle3"/>
          <w:lang w:eastAsia="da-DK"/>
        </w:rPr>
        <w:t xml:space="preserve"> on the choice of vertical turbulence closure scheme. SalishSeaCast uses a </w:t>
      </w:r>
      <w:r>
        <w:rPr>
          <w:rStyle w:val="CharStyle3"/>
          <w:sz w:val="16"/>
          <w:szCs w:val="16"/>
          <w:lang w:eastAsia="da-DK"/>
        </w:rPr>
        <w:t>k</w:t>
      </w:r>
      <w:r>
        <w:rPr>
          <w:rStyle w:val="CharStyle3"/>
          <w:lang w:eastAsia="da-DK"/>
        </w:rPr>
        <w:t>- configuration of a generic length scale turbulence model to estimate sub-grid-scale turbu</w:t>
      </w:r>
      <w:r>
        <w:rPr>
          <w:rStyle w:val="CharStyle3"/>
          <w:lang w:eastAsia="da-DK"/>
        </w:rPr>
        <w:softHyphen/>
        <w:t xml:space="preserve">lent processes </w:t>
      </w:r>
      <w:hyperlink w:anchor="bookmark130" w:tooltip="Current Document" w:history="1">
        <w:r>
          <w:rPr>
            <w:rStyle w:val="CharStyle3"/>
            <w:lang w:eastAsia="da-DK"/>
          </w:rPr>
          <w:t>(Umlauf and Burchard, 2003)</w:t>
        </w:r>
      </w:hyperlink>
      <w:r>
        <w:rPr>
          <w:rStyle w:val="CharStyle3"/>
          <w:lang w:eastAsia="da-DK"/>
        </w:rPr>
        <w:t xml:space="preserve">, with </w:t>
      </w:r>
      <w:r>
        <w:rPr>
          <w:rStyle w:val="CharStyle3"/>
          <w:lang w:val="en-US" w:eastAsia="en-US"/>
        </w:rPr>
        <w:t>back</w:t>
      </w:r>
      <w:r>
        <w:rPr>
          <w:rStyle w:val="CharStyle3"/>
          <w:lang w:val="en-US" w:eastAsia="en-US"/>
        </w:rPr>
        <w:softHyphen/>
        <w:t>ground</w:t>
      </w:r>
      <w:r>
        <w:rPr>
          <w:rStyle w:val="CharStyle3"/>
          <w:lang w:eastAsia="da-DK"/>
        </w:rPr>
        <w:t xml:space="preserve"> vertical eddy viscosity and diffusivity both set to 10</w:t>
      </w:r>
      <w:r>
        <w:rPr>
          <w:rStyle w:val="CharStyle3"/>
          <w:sz w:val="13"/>
          <w:szCs w:val="13"/>
          <w:vertAlign w:val="superscript"/>
          <w:lang w:eastAsia="da-DK"/>
        </w:rPr>
        <w:t>-</w:t>
      </w:r>
      <w:r>
        <w:rPr>
          <w:rStyle w:val="CharStyle3"/>
          <w:vertAlign w:val="superscript"/>
          <w:lang w:eastAsia="da-DK"/>
        </w:rPr>
        <w:t>6</w:t>
      </w:r>
      <w:r>
        <w:rPr>
          <w:rStyle w:val="CharStyle3"/>
          <w:lang w:eastAsia="da-DK"/>
        </w:rPr>
        <w:t xml:space="preserve"> m</w:t>
      </w:r>
      <w:r>
        <w:rPr>
          <w:rStyle w:val="CharStyle3"/>
          <w:vertAlign w:val="superscript"/>
          <w:lang w:eastAsia="da-DK"/>
        </w:rPr>
        <w:t>2</w:t>
      </w:r>
      <w:r>
        <w:rPr>
          <w:rStyle w:val="CharStyle3"/>
          <w:lang w:eastAsia="da-DK"/>
        </w:rPr>
        <w:t xml:space="preserve"> s</w:t>
      </w:r>
      <w:r>
        <w:rPr>
          <w:rStyle w:val="CharStyle3"/>
          <w:sz w:val="13"/>
          <w:szCs w:val="13"/>
          <w:vertAlign w:val="superscript"/>
          <w:lang w:eastAsia="da-DK"/>
        </w:rPr>
        <w:t>-</w:t>
      </w:r>
      <w:r>
        <w:rPr>
          <w:rStyle w:val="CharStyle3"/>
          <w:vertAlign w:val="superscript"/>
          <w:lang w:eastAsia="da-DK"/>
        </w:rPr>
        <w:t>1</w:t>
      </w:r>
      <w:r>
        <w:rPr>
          <w:rStyle w:val="CharStyle3"/>
          <w:lang w:eastAsia="da-DK"/>
        </w:rPr>
        <w:t>. We report a daily depth-averaged value (Fig.</w:t>
      </w:r>
      <w:hyperlink w:anchor="bookmark13" w:tooltip="Current Document" w:history="1">
        <w:r>
          <w:rPr>
            <w:rStyle w:val="CharStyle3"/>
            <w:lang w:eastAsia="da-DK"/>
          </w:rPr>
          <w:t xml:space="preserve"> 2b</w:t>
        </w:r>
      </w:hyperlink>
      <w:r>
        <w:rPr>
          <w:rStyle w:val="CharStyle3"/>
          <w:lang w:eastAsia="da-DK"/>
        </w:rPr>
        <w:t>). Though average vertical eddy diffusivity reflects</w:t>
      </w:r>
    </w:p>
    <w:p w14:paraId="55746594" w14:textId="481D1727" w:rsidR="0074324D" w:rsidRDefault="0074324D">
      <w:pPr>
        <w:pStyle w:val="Style2"/>
        <w:spacing w:after="180"/>
        <w:jc w:val="both"/>
        <w:rPr>
          <w:rFonts w:ascii="Times New Roman" w:hAnsi="Times New Roman" w:cs="Times New Roman"/>
          <w:sz w:val="24"/>
          <w:szCs w:val="24"/>
        </w:rPr>
      </w:pPr>
      <w:r>
        <w:rPr>
          <w:noProof/>
        </w:rPr>
        <w:drawing>
          <wp:anchor distT="0" distB="1720850" distL="138430" distR="1083310" simplePos="0" relativeHeight="251659264" behindDoc="1" locked="0" layoutInCell="1" allowOverlap="1" wp14:anchorId="43A6A8F4" wp14:editId="6ED6F90B">
            <wp:simplePos x="0" y="0"/>
            <wp:positionH relativeFrom="margin">
              <wp:posOffset>3331210</wp:posOffset>
            </wp:positionH>
            <wp:positionV relativeFrom="margin">
              <wp:posOffset>198755</wp:posOffset>
            </wp:positionV>
            <wp:extent cx="2115185" cy="3075305"/>
            <wp:effectExtent l="0" t="0" r="0" b="0"/>
            <wp:wrapTopAndBottom/>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185" cy="30753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0288" behindDoc="0" locked="0" layoutInCell="1" allowOverlap="1" wp14:anchorId="6BAC73AD" wp14:editId="26D10B95">
                <wp:simplePos x="0" y="0"/>
                <wp:positionH relativeFrom="margin">
                  <wp:posOffset>3307080</wp:posOffset>
                </wp:positionH>
                <wp:positionV relativeFrom="margin">
                  <wp:posOffset>3380740</wp:posOffset>
                </wp:positionV>
                <wp:extent cx="3108960" cy="1423670"/>
                <wp:effectExtent l="0" t="3175" r="0" b="1905"/>
                <wp:wrapNone/>
                <wp:docPr id="19915675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D1B1" w14:textId="77777777" w:rsidR="0074324D" w:rsidRDefault="0074324D">
                            <w:pPr>
                              <w:pStyle w:val="Style7"/>
                              <w:spacing w:line="302" w:lineRule="auto"/>
                              <w:jc w:val="both"/>
                              <w:rPr>
                                <w:rFonts w:ascii="Times New Roman" w:hAnsi="Times New Roman" w:cs="Times New Roman"/>
                                <w:sz w:val="24"/>
                                <w:szCs w:val="24"/>
                              </w:rPr>
                            </w:pPr>
                            <w:r>
                              <w:rPr>
                                <w:rStyle w:val="CharStyle8"/>
                                <w:lang w:eastAsia="da-DK"/>
                              </w:rPr>
                              <w:t xml:space="preserve">Figure 2. Example yearly signals of clustered physical and </w:t>
                            </w:r>
                            <w:r>
                              <w:rPr>
                                <w:rStyle w:val="CharStyle8"/>
                                <w:lang w:val="en-US" w:eastAsia="en-US"/>
                              </w:rPr>
                              <w:t>bi</w:t>
                            </w:r>
                            <w:r>
                              <w:rPr>
                                <w:rStyle w:val="CharStyle8"/>
                                <w:lang w:val="en-US" w:eastAsia="en-US"/>
                              </w:rPr>
                              <w:softHyphen/>
                              <w:t>ological</w:t>
                            </w:r>
                            <w:r>
                              <w:rPr>
                                <w:rStyle w:val="CharStyle8"/>
                                <w:lang w:eastAsia="da-DK"/>
                              </w:rPr>
                              <w:t xml:space="preserve"> factors from one station in the CSoG (red star) for the year 2014. The physical signals are as follows: (a) wind </w:t>
                            </w:r>
                            <w:r>
                              <w:rPr>
                                <w:rStyle w:val="CharStyle8"/>
                                <w:lang w:val="en-US" w:eastAsia="en-US"/>
                              </w:rPr>
                              <w:t>en</w:t>
                            </w:r>
                            <w:r>
                              <w:rPr>
                                <w:rStyle w:val="CharStyle8"/>
                                <w:lang w:val="en-US" w:eastAsia="en-US"/>
                              </w:rPr>
                              <w:softHyphen/>
                              <w:t>ergy</w:t>
                            </w:r>
                            <w:r>
                              <w:rPr>
                                <w:rStyle w:val="CharStyle8"/>
                                <w:lang w:eastAsia="da-DK"/>
                              </w:rPr>
                              <w:t xml:space="preserve"> (m</w:t>
                            </w:r>
                            <w:r>
                              <w:rPr>
                                <w:rStyle w:val="CharStyle8"/>
                                <w:sz w:val="17"/>
                                <w:szCs w:val="17"/>
                                <w:vertAlign w:val="superscript"/>
                                <w:lang w:eastAsia="da-DK"/>
                              </w:rPr>
                              <w:t>3</w:t>
                            </w:r>
                            <w:r>
                              <w:rPr>
                                <w:rStyle w:val="CharStyle8"/>
                                <w:sz w:val="17"/>
                                <w:szCs w:val="17"/>
                                <w:lang w:eastAsia="da-DK"/>
                              </w:rPr>
                              <w:t xml:space="preserve"> </w:t>
                            </w:r>
                            <w:r>
                              <w:rPr>
                                <w:rStyle w:val="CharStyle8"/>
                                <w:lang w:eastAsia="da-DK"/>
                              </w:rPr>
                              <w:t>s</w:t>
                            </w:r>
                            <w:r>
                              <w:rPr>
                                <w:rStyle w:val="CharStyle8"/>
                                <w:sz w:val="13"/>
                                <w:szCs w:val="13"/>
                                <w:vertAlign w:val="superscript"/>
                                <w:lang w:eastAsia="da-DK"/>
                              </w:rPr>
                              <w:t>-</w:t>
                            </w:r>
                            <w:r>
                              <w:rPr>
                                <w:rStyle w:val="CharStyle8"/>
                                <w:sz w:val="17"/>
                                <w:szCs w:val="17"/>
                                <w:vertAlign w:val="superscript"/>
                                <w:lang w:eastAsia="da-DK"/>
                              </w:rPr>
                              <w:t>3</w:t>
                            </w:r>
                            <w:r>
                              <w:rPr>
                                <w:rStyle w:val="CharStyle8"/>
                                <w:lang w:eastAsia="da-DK"/>
                              </w:rPr>
                              <w:t xml:space="preserve">), (b) water-column-averaged vertical eddy </w:t>
                            </w:r>
                            <w:r>
                              <w:rPr>
                                <w:rStyle w:val="CharStyle8"/>
                                <w:lang w:val="en-US" w:eastAsia="en-US"/>
                              </w:rPr>
                              <w:t>diffusiv</w:t>
                            </w:r>
                            <w:r>
                              <w:rPr>
                                <w:rStyle w:val="CharStyle8"/>
                                <w:lang w:val="en-US" w:eastAsia="en-US"/>
                              </w:rPr>
                              <w:softHyphen/>
                              <w:t>ity</w:t>
                            </w:r>
                            <w:r>
                              <w:rPr>
                                <w:rStyle w:val="CharStyle8"/>
                                <w:lang w:eastAsia="da-DK"/>
                              </w:rPr>
                              <w:t xml:space="preserve"> (m</w:t>
                            </w:r>
                            <w:r>
                              <w:rPr>
                                <w:rStyle w:val="CharStyle8"/>
                                <w:sz w:val="17"/>
                                <w:szCs w:val="17"/>
                                <w:vertAlign w:val="superscript"/>
                                <w:lang w:eastAsia="da-DK"/>
                              </w:rPr>
                              <w:t>2</w:t>
                            </w:r>
                            <w:r>
                              <w:rPr>
                                <w:rStyle w:val="CharStyle8"/>
                                <w:sz w:val="17"/>
                                <w:szCs w:val="17"/>
                                <w:lang w:eastAsia="da-DK"/>
                              </w:rPr>
                              <w:t xml:space="preserve"> </w:t>
                            </w:r>
                            <w:r>
                              <w:rPr>
                                <w:rStyle w:val="CharStyle8"/>
                                <w:lang w:eastAsia="da-DK"/>
                              </w:rPr>
                              <w:t>s</w:t>
                            </w:r>
                            <w:r>
                              <w:rPr>
                                <w:rStyle w:val="CharStyle8"/>
                                <w:sz w:val="13"/>
                                <w:szCs w:val="13"/>
                                <w:vertAlign w:val="superscript"/>
                                <w:lang w:eastAsia="da-DK"/>
                              </w:rPr>
                              <w:t>-</w:t>
                            </w:r>
                            <w:r>
                              <w:rPr>
                                <w:rStyle w:val="CharStyle8"/>
                                <w:sz w:val="17"/>
                                <w:szCs w:val="17"/>
                                <w:vertAlign w:val="superscript"/>
                                <w:lang w:eastAsia="da-DK"/>
                              </w:rPr>
                              <w:t>1</w:t>
                            </w:r>
                            <w:r>
                              <w:rPr>
                                <w:rStyle w:val="CharStyle8"/>
                                <w:lang w:eastAsia="da-DK"/>
                              </w:rPr>
                              <w:t>), (c) freshwater index (gkg</w:t>
                            </w:r>
                            <w:r>
                              <w:rPr>
                                <w:rStyle w:val="CharStyle8"/>
                                <w:sz w:val="13"/>
                                <w:szCs w:val="13"/>
                                <w:vertAlign w:val="superscript"/>
                                <w:lang w:eastAsia="da-DK"/>
                              </w:rPr>
                              <w:t>-</w:t>
                            </w:r>
                            <w:r>
                              <w:rPr>
                                <w:rStyle w:val="CharStyle8"/>
                                <w:sz w:val="17"/>
                                <w:szCs w:val="17"/>
                                <w:vertAlign w:val="superscript"/>
                                <w:lang w:eastAsia="da-DK"/>
                              </w:rPr>
                              <w:t>1</w:t>
                            </w:r>
                            <w:r>
                              <w:rPr>
                                <w:rStyle w:val="CharStyle8"/>
                                <w:lang w:eastAsia="da-DK"/>
                              </w:rPr>
                              <w:t xml:space="preserve">), (d) halocline depth (m). The biological signal is water-column-integrated </w:t>
                            </w:r>
                            <w:r>
                              <w:rPr>
                                <w:rStyle w:val="CharStyle8"/>
                                <w:lang w:val="en-US" w:eastAsia="en-US"/>
                              </w:rPr>
                              <w:t>phytoplank</w:t>
                            </w:r>
                            <w:r>
                              <w:rPr>
                                <w:rStyle w:val="CharStyle8"/>
                                <w:lang w:val="en-US" w:eastAsia="en-US"/>
                              </w:rPr>
                              <w:softHyphen/>
                              <w:t>ton</w:t>
                            </w:r>
                            <w:r>
                              <w:rPr>
                                <w:rStyle w:val="CharStyle8"/>
                                <w:lang w:eastAsia="da-DK"/>
                              </w:rPr>
                              <w:t xml:space="preserve"> biomass (mmolNm</w:t>
                            </w:r>
                            <w:r>
                              <w:rPr>
                                <w:rStyle w:val="CharStyle8"/>
                                <w:sz w:val="13"/>
                                <w:szCs w:val="13"/>
                                <w:vertAlign w:val="superscript"/>
                                <w:lang w:eastAsia="da-DK"/>
                              </w:rPr>
                              <w:t>-</w:t>
                            </w:r>
                            <w:r>
                              <w:rPr>
                                <w:rStyle w:val="CharStyle8"/>
                                <w:sz w:val="17"/>
                                <w:szCs w:val="17"/>
                                <w:vertAlign w:val="superscript"/>
                                <w:lang w:eastAsia="da-DK"/>
                              </w:rPr>
                              <w:t>2</w:t>
                            </w:r>
                            <w:r>
                              <w:rPr>
                                <w:rStyle w:val="CharStyle8"/>
                                <w:lang w:eastAsia="da-DK"/>
                              </w:rPr>
                              <w:t>) separated by functional group (diatoms, ciliates, and flagellates). The remaining 570 stations used in the clustering are shown as blue points. Depth-integrated phytoplankton biomass signals are combined in series for clustering (see Fig.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C73AD" id="Text Box 11" o:spid="_x0000_s1027" type="#_x0000_t202" style="position:absolute;left:0;text-align:left;margin-left:260.4pt;margin-top:266.2pt;width:244.8pt;height:112.1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" filled="f" stroked="f">
                <v:textbox inset="0,0,0,0">
                  <w:txbxContent>
                    <w:p w14:paraId="6967D1B1" w14:textId="77777777" w:rsidR="0074324D" w:rsidRDefault="0074324D">
                      <w:pPr>
                        <w:pStyle w:val="Style7"/>
                        <w:spacing w:line="302" w:lineRule="auto"/>
                        <w:jc w:val="both"/>
                        <w:rPr>
                          <w:rFonts w:ascii="Times New Roman" w:hAnsi="Times New Roman" w:cs="Times New Roman"/>
                          <w:sz w:val="24"/>
                          <w:szCs w:val="24"/>
                        </w:rPr>
                      </w:pPr>
                      <w:r>
                        <w:rPr>
                          <w:rStyle w:val="CharStyle8"/>
                          <w:lang w:eastAsia="da-DK"/>
                        </w:rPr>
                        <w:t xml:space="preserve">Figure 2. Example yearly signals of clustered physical and </w:t>
                      </w:r>
                      <w:r>
                        <w:rPr>
                          <w:rStyle w:val="CharStyle8"/>
                          <w:lang w:val="en-US" w:eastAsia="en-US"/>
                        </w:rPr>
                        <w:t>bi</w:t>
                      </w:r>
                      <w:r>
                        <w:rPr>
                          <w:rStyle w:val="CharStyle8"/>
                          <w:lang w:val="en-US" w:eastAsia="en-US"/>
                        </w:rPr>
                        <w:softHyphen/>
                        <w:t>ological</w:t>
                      </w:r>
                      <w:r>
                        <w:rPr>
                          <w:rStyle w:val="CharStyle8"/>
                          <w:lang w:eastAsia="da-DK"/>
                        </w:rPr>
                        <w:t xml:space="preserve"> factors from one station in the CSoG (red star) for the year 2014. The physical signals are as follows: (a) wind </w:t>
                      </w:r>
                      <w:r>
                        <w:rPr>
                          <w:rStyle w:val="CharStyle8"/>
                          <w:lang w:val="en-US" w:eastAsia="en-US"/>
                        </w:rPr>
                        <w:t>en</w:t>
                      </w:r>
                      <w:r>
                        <w:rPr>
                          <w:rStyle w:val="CharStyle8"/>
                          <w:lang w:val="en-US" w:eastAsia="en-US"/>
                        </w:rPr>
                        <w:softHyphen/>
                        <w:t>ergy</w:t>
                      </w:r>
                      <w:r>
                        <w:rPr>
                          <w:rStyle w:val="CharStyle8"/>
                          <w:lang w:eastAsia="da-DK"/>
                        </w:rPr>
                        <w:t xml:space="preserve"> (m</w:t>
                      </w:r>
                      <w:r>
                        <w:rPr>
                          <w:rStyle w:val="CharStyle8"/>
                          <w:sz w:val="17"/>
                          <w:szCs w:val="17"/>
                          <w:vertAlign w:val="superscript"/>
                          <w:lang w:eastAsia="da-DK"/>
                        </w:rPr>
                        <w:t>3</w:t>
                      </w:r>
                      <w:r>
                        <w:rPr>
                          <w:rStyle w:val="CharStyle8"/>
                          <w:sz w:val="17"/>
                          <w:szCs w:val="17"/>
                          <w:lang w:eastAsia="da-DK"/>
                        </w:rPr>
                        <w:t xml:space="preserve"> </w:t>
                      </w:r>
                      <w:r>
                        <w:rPr>
                          <w:rStyle w:val="CharStyle8"/>
                          <w:lang w:eastAsia="da-DK"/>
                        </w:rPr>
                        <w:t>s</w:t>
                      </w:r>
                      <w:r>
                        <w:rPr>
                          <w:rStyle w:val="CharStyle8"/>
                          <w:sz w:val="13"/>
                          <w:szCs w:val="13"/>
                          <w:vertAlign w:val="superscript"/>
                          <w:lang w:eastAsia="da-DK"/>
                        </w:rPr>
                        <w:t>-</w:t>
                      </w:r>
                      <w:r>
                        <w:rPr>
                          <w:rStyle w:val="CharStyle8"/>
                          <w:sz w:val="17"/>
                          <w:szCs w:val="17"/>
                          <w:vertAlign w:val="superscript"/>
                          <w:lang w:eastAsia="da-DK"/>
                        </w:rPr>
                        <w:t>3</w:t>
                      </w:r>
                      <w:r>
                        <w:rPr>
                          <w:rStyle w:val="CharStyle8"/>
                          <w:lang w:eastAsia="da-DK"/>
                        </w:rPr>
                        <w:t xml:space="preserve">), (b) water-column-averaged vertical eddy </w:t>
                      </w:r>
                      <w:r>
                        <w:rPr>
                          <w:rStyle w:val="CharStyle8"/>
                          <w:lang w:val="en-US" w:eastAsia="en-US"/>
                        </w:rPr>
                        <w:t>diffusiv</w:t>
                      </w:r>
                      <w:r>
                        <w:rPr>
                          <w:rStyle w:val="CharStyle8"/>
                          <w:lang w:val="en-US" w:eastAsia="en-US"/>
                        </w:rPr>
                        <w:softHyphen/>
                        <w:t>ity</w:t>
                      </w:r>
                      <w:r>
                        <w:rPr>
                          <w:rStyle w:val="CharStyle8"/>
                          <w:lang w:eastAsia="da-DK"/>
                        </w:rPr>
                        <w:t xml:space="preserve"> (m</w:t>
                      </w:r>
                      <w:r>
                        <w:rPr>
                          <w:rStyle w:val="CharStyle8"/>
                          <w:sz w:val="17"/>
                          <w:szCs w:val="17"/>
                          <w:vertAlign w:val="superscript"/>
                          <w:lang w:eastAsia="da-DK"/>
                        </w:rPr>
                        <w:t>2</w:t>
                      </w:r>
                      <w:r>
                        <w:rPr>
                          <w:rStyle w:val="CharStyle8"/>
                          <w:sz w:val="17"/>
                          <w:szCs w:val="17"/>
                          <w:lang w:eastAsia="da-DK"/>
                        </w:rPr>
                        <w:t xml:space="preserve"> </w:t>
                      </w:r>
                      <w:r>
                        <w:rPr>
                          <w:rStyle w:val="CharStyle8"/>
                          <w:lang w:eastAsia="da-DK"/>
                        </w:rPr>
                        <w:t>s</w:t>
                      </w:r>
                      <w:r>
                        <w:rPr>
                          <w:rStyle w:val="CharStyle8"/>
                          <w:sz w:val="13"/>
                          <w:szCs w:val="13"/>
                          <w:vertAlign w:val="superscript"/>
                          <w:lang w:eastAsia="da-DK"/>
                        </w:rPr>
                        <w:t>-</w:t>
                      </w:r>
                      <w:r>
                        <w:rPr>
                          <w:rStyle w:val="CharStyle8"/>
                          <w:sz w:val="17"/>
                          <w:szCs w:val="17"/>
                          <w:vertAlign w:val="superscript"/>
                          <w:lang w:eastAsia="da-DK"/>
                        </w:rPr>
                        <w:t>1</w:t>
                      </w:r>
                      <w:r>
                        <w:rPr>
                          <w:rStyle w:val="CharStyle8"/>
                          <w:lang w:eastAsia="da-DK"/>
                        </w:rPr>
                        <w:t>), (c) freshwater index (gkg</w:t>
                      </w:r>
                      <w:r>
                        <w:rPr>
                          <w:rStyle w:val="CharStyle8"/>
                          <w:sz w:val="13"/>
                          <w:szCs w:val="13"/>
                          <w:vertAlign w:val="superscript"/>
                          <w:lang w:eastAsia="da-DK"/>
                        </w:rPr>
                        <w:t>-</w:t>
                      </w:r>
                      <w:r>
                        <w:rPr>
                          <w:rStyle w:val="CharStyle8"/>
                          <w:sz w:val="17"/>
                          <w:szCs w:val="17"/>
                          <w:vertAlign w:val="superscript"/>
                          <w:lang w:eastAsia="da-DK"/>
                        </w:rPr>
                        <w:t>1</w:t>
                      </w:r>
                      <w:r>
                        <w:rPr>
                          <w:rStyle w:val="CharStyle8"/>
                          <w:lang w:eastAsia="da-DK"/>
                        </w:rPr>
                        <w:t xml:space="preserve">), (d) halocline depth (m). The biological signal is water-column-integrated </w:t>
                      </w:r>
                      <w:r>
                        <w:rPr>
                          <w:rStyle w:val="CharStyle8"/>
                          <w:lang w:val="en-US" w:eastAsia="en-US"/>
                        </w:rPr>
                        <w:t>phytoplank</w:t>
                      </w:r>
                      <w:r>
                        <w:rPr>
                          <w:rStyle w:val="CharStyle8"/>
                          <w:lang w:val="en-US" w:eastAsia="en-US"/>
                        </w:rPr>
                        <w:softHyphen/>
                        <w:t>ton</w:t>
                      </w:r>
                      <w:r>
                        <w:rPr>
                          <w:rStyle w:val="CharStyle8"/>
                          <w:lang w:eastAsia="da-DK"/>
                        </w:rPr>
                        <w:t xml:space="preserve"> biomass (mmolNm</w:t>
                      </w:r>
                      <w:r>
                        <w:rPr>
                          <w:rStyle w:val="CharStyle8"/>
                          <w:sz w:val="13"/>
                          <w:szCs w:val="13"/>
                          <w:vertAlign w:val="superscript"/>
                          <w:lang w:eastAsia="da-DK"/>
                        </w:rPr>
                        <w:t>-</w:t>
                      </w:r>
                      <w:r>
                        <w:rPr>
                          <w:rStyle w:val="CharStyle8"/>
                          <w:sz w:val="17"/>
                          <w:szCs w:val="17"/>
                          <w:vertAlign w:val="superscript"/>
                          <w:lang w:eastAsia="da-DK"/>
                        </w:rPr>
                        <w:t>2</w:t>
                      </w:r>
                      <w:r>
                        <w:rPr>
                          <w:rStyle w:val="CharStyle8"/>
                          <w:lang w:eastAsia="da-DK"/>
                        </w:rPr>
                        <w:t>) separated by functional group (diatoms, ciliates, and flagellates). The remaining 570 stations used in the clustering are shown as blue points. Depth-integrated phytoplankton biomass signals are combined in series for clustering (see Fig. 8).</w:t>
                      </w:r>
                    </w:p>
                  </w:txbxContent>
                </v:textbox>
                <w10:wrap anchorx="margin" anchory="margin"/>
              </v:shape>
            </w:pict>
          </mc:Fallback>
        </mc:AlternateContent>
      </w:r>
      <w:r>
        <w:rPr>
          <w:noProof/>
        </w:rPr>
        <w:drawing>
          <wp:anchor distT="359410" distB="2174875" distL="2296795" distR="156845" simplePos="0" relativeHeight="251661312" behindDoc="1" locked="0" layoutInCell="1" allowOverlap="1" wp14:anchorId="51DEA849" wp14:editId="3958E45C">
            <wp:simplePos x="0" y="0"/>
            <wp:positionH relativeFrom="margin">
              <wp:posOffset>5489575</wp:posOffset>
            </wp:positionH>
            <wp:positionV relativeFrom="margin">
              <wp:posOffset>558165</wp:posOffset>
            </wp:positionV>
            <wp:extent cx="883920" cy="2261870"/>
            <wp:effectExtent l="0" t="0" r="0" b="0"/>
            <wp:wrapTopAndBottom/>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2261870"/>
                    </a:xfrm>
                    <a:prstGeom prst="rect">
                      <a:avLst/>
                    </a:prstGeom>
                    <a:noFill/>
                  </pic:spPr>
                </pic:pic>
              </a:graphicData>
            </a:graphic>
            <wp14:sizeRelH relativeFrom="page">
              <wp14:pctWidth>0</wp14:pctWidth>
            </wp14:sizeRelH>
            <wp14:sizeRelV relativeFrom="page">
              <wp14:pctHeight>0</wp14:pctHeight>
            </wp14:sizeRelV>
          </wp:anchor>
        </w:drawing>
      </w:r>
      <w:r>
        <w:rPr>
          <w:rStyle w:val="CharStyle3"/>
          <w:lang w:eastAsia="da-DK"/>
        </w:rPr>
        <w:t xml:space="preserve">all sources of mixing and stratification present in the system, it is dominated by barotropic tidal activity, and we expect it to be highest at tidal mixing hotspots </w:t>
      </w:r>
      <w:hyperlink w:anchor="bookmark90" w:tooltip="Current Document" w:history="1">
        <w:r>
          <w:rPr>
            <w:rStyle w:val="CharStyle3"/>
            <w:lang w:eastAsia="da-DK"/>
          </w:rPr>
          <w:t>(Crean, 1978)</w:t>
        </w:r>
      </w:hyperlink>
      <w:r>
        <w:rPr>
          <w:rStyle w:val="CharStyle3"/>
          <w:lang w:eastAsia="da-DK"/>
        </w:rPr>
        <w:t>.</w:t>
      </w:r>
    </w:p>
    <w:p w14:paraId="6D69B169" w14:textId="77777777" w:rsidR="0074324D" w:rsidRDefault="0074324D">
      <w:pPr>
        <w:pStyle w:val="Style22"/>
        <w:keepNext/>
        <w:keepLines/>
        <w:numPr>
          <w:ilvl w:val="2"/>
          <w:numId w:val="3"/>
        </w:numPr>
        <w:tabs>
          <w:tab w:val="left" w:pos="598"/>
        </w:tabs>
        <w:spacing w:after="180"/>
        <w:jc w:val="both"/>
        <w:rPr>
          <w:sz w:val="24"/>
          <w:szCs w:val="24"/>
        </w:rPr>
      </w:pPr>
      <w:bookmarkStart w:id="9" w:name="bookmark17"/>
      <w:r>
        <w:rPr>
          <w:rStyle w:val="CharStyle23"/>
          <w:lang w:eastAsia="da-DK"/>
        </w:rPr>
        <w:t>Freshwater index</w:t>
      </w:r>
      <w:bookmarkEnd w:id="9"/>
    </w:p>
    <w:p w14:paraId="0AC7F066"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The freshwater index (Fig.</w:t>
      </w:r>
      <w:hyperlink w:anchor="bookmark13" w:tooltip="Current Document" w:history="1">
        <w:r>
          <w:rPr>
            <w:rStyle w:val="CharStyle3"/>
            <w:lang w:eastAsia="da-DK"/>
          </w:rPr>
          <w:t xml:space="preserve"> 2c</w:t>
        </w:r>
      </w:hyperlink>
      <w:r>
        <w:rPr>
          <w:rStyle w:val="CharStyle3"/>
          <w:lang w:eastAsia="da-DK"/>
        </w:rPr>
        <w:t>) is intended as a proxy for freshwater influence on the water column at a given station and is expressed as the salinity difference between the mean of the surface 4 m of the water column and the salinity at depth 50m (units: gkg</w:t>
      </w:r>
      <w:r>
        <w:rPr>
          <w:rStyle w:val="CharStyle3"/>
          <w:sz w:val="13"/>
          <w:szCs w:val="13"/>
          <w:vertAlign w:val="superscript"/>
          <w:lang w:eastAsia="da-DK"/>
        </w:rPr>
        <w:t>-</w:t>
      </w:r>
      <w:r>
        <w:rPr>
          <w:rStyle w:val="CharStyle3"/>
          <w:vertAlign w:val="superscript"/>
          <w:lang w:eastAsia="da-DK"/>
        </w:rPr>
        <w:t>1</w:t>
      </w:r>
      <w:r>
        <w:rPr>
          <w:rStyle w:val="CharStyle3"/>
          <w:lang w:eastAsia="da-DK"/>
        </w:rPr>
        <w:t xml:space="preserve">). This metric may be thought of as a salinity stratification metric. Where the water column is shallower than 50 m, the salinity at 50 m at the nearest model point that is 50 m deep is used. Similar metrics have been used as indicators of stratification in the region </w:t>
      </w:r>
      <w:hyperlink w:anchor="bookmark137" w:tooltip="Current Document" w:history="1">
        <w:r>
          <w:rPr>
            <w:rStyle w:val="CharStyle3"/>
            <w:lang w:eastAsia="da-DK"/>
          </w:rPr>
          <w:t>(Suchy et al.,</w:t>
        </w:r>
      </w:hyperlink>
      <w:r>
        <w:rPr>
          <w:rStyle w:val="CharStyle3"/>
          <w:lang w:eastAsia="da-DK"/>
        </w:rPr>
        <w:t xml:space="preserve"> </w:t>
      </w:r>
      <w:hyperlink w:anchor="bookmark137" w:tooltip="Current Document" w:history="1">
        <w:r>
          <w:rPr>
            <w:rStyle w:val="CharStyle3"/>
            <w:lang w:eastAsia="da-DK"/>
          </w:rPr>
          <w:t>2019;</w:t>
        </w:r>
      </w:hyperlink>
      <w:hyperlink w:anchor="bookmark123" w:tooltip="Current Document" w:history="1">
        <w:r>
          <w:rPr>
            <w:rStyle w:val="CharStyle3"/>
            <w:lang w:eastAsia="da-DK"/>
          </w:rPr>
          <w:t xml:space="preserve"> Masson and Peña, 2009)</w:t>
        </w:r>
      </w:hyperlink>
      <w:r>
        <w:rPr>
          <w:rStyle w:val="CharStyle3"/>
          <w:lang w:eastAsia="da-DK"/>
        </w:rPr>
        <w:t xml:space="preserve"> but were typically based on the difference in water density between the surface and the deep waters; here we isolate the impact of salinity alone by using a salinity-based metric. As salinity dominates </w:t>
      </w:r>
      <w:r>
        <w:rPr>
          <w:rStyle w:val="CharStyle3"/>
          <w:lang w:val="en-US" w:eastAsia="en-US"/>
        </w:rPr>
        <w:t>strati</w:t>
      </w:r>
      <w:r>
        <w:rPr>
          <w:rStyle w:val="CharStyle3"/>
          <w:lang w:val="en-US" w:eastAsia="en-US"/>
        </w:rPr>
        <w:softHyphen/>
        <w:t>fication</w:t>
      </w:r>
      <w:r>
        <w:rPr>
          <w:rStyle w:val="CharStyle3"/>
          <w:lang w:eastAsia="da-DK"/>
        </w:rPr>
        <w:t xml:space="preserve"> in this region </w:t>
      </w:r>
      <w:hyperlink w:anchor="bookmark102" w:tooltip="Current Document" w:history="1">
        <w:r>
          <w:rPr>
            <w:rStyle w:val="CharStyle3"/>
            <w:lang w:eastAsia="da-DK"/>
          </w:rPr>
          <w:t>(LeBlond, 1983)</w:t>
        </w:r>
      </w:hyperlink>
      <w:r>
        <w:rPr>
          <w:rStyle w:val="CharStyle3"/>
          <w:lang w:eastAsia="da-DK"/>
        </w:rPr>
        <w:t>, we expect clusters derived from a salinity-based clustering to be broadly similar to those derived from a density-based clustering. The value of 50m was chosen because the majority of the Salish Sea is more than 50m deep; however, we do not expect the results to change dramatically if a different depth were to be chosen.</w:t>
      </w:r>
    </w:p>
    <w:p w14:paraId="335E3838" w14:textId="77777777" w:rsidR="0074324D" w:rsidRDefault="0074324D">
      <w:pPr>
        <w:pStyle w:val="Style22"/>
        <w:keepNext/>
        <w:keepLines/>
        <w:numPr>
          <w:ilvl w:val="2"/>
          <w:numId w:val="3"/>
        </w:numPr>
        <w:tabs>
          <w:tab w:val="left" w:pos="598"/>
        </w:tabs>
        <w:jc w:val="both"/>
        <w:rPr>
          <w:sz w:val="24"/>
          <w:szCs w:val="24"/>
        </w:rPr>
      </w:pPr>
      <w:bookmarkStart w:id="10" w:name="bookmark19"/>
      <w:r>
        <w:rPr>
          <w:rStyle w:val="CharStyle23"/>
          <w:lang w:eastAsia="da-DK"/>
        </w:rPr>
        <w:t>Halocline depth</w:t>
      </w:r>
      <w:bookmarkEnd w:id="10"/>
    </w:p>
    <w:p w14:paraId="409F9AE7"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The halocline depth (Fig.</w:t>
      </w:r>
      <w:hyperlink w:anchor="bookmark13" w:tooltip="Current Document" w:history="1">
        <w:r>
          <w:rPr>
            <w:rStyle w:val="CharStyle3"/>
            <w:lang w:eastAsia="da-DK"/>
          </w:rPr>
          <w:t xml:space="preserve"> 2d</w:t>
        </w:r>
      </w:hyperlink>
      <w:r>
        <w:rPr>
          <w:rStyle w:val="CharStyle3"/>
          <w:lang w:eastAsia="da-DK"/>
        </w:rPr>
        <w:t>) is defined as the depth of the maximum salinity gradient in the water column, which is estimated by finding the salinity difference of two adjacent cells in the vertical dimension and reporting the depth at the midpoint of the two cells that have the maximum salinity gra</w:t>
      </w:r>
      <w:r>
        <w:rPr>
          <w:rStyle w:val="CharStyle3"/>
          <w:lang w:eastAsia="da-DK"/>
        </w:rPr>
        <w:softHyphen/>
        <w:t>dient in the water column at a given station.</w:t>
      </w:r>
    </w:p>
    <w:p w14:paraId="46067299" w14:textId="77777777" w:rsidR="0074324D" w:rsidRDefault="0074324D">
      <w:pPr>
        <w:pStyle w:val="Style22"/>
        <w:keepNext/>
        <w:keepLines/>
        <w:numPr>
          <w:ilvl w:val="2"/>
          <w:numId w:val="3"/>
        </w:numPr>
        <w:tabs>
          <w:tab w:val="left" w:pos="598"/>
        </w:tabs>
        <w:jc w:val="both"/>
        <w:rPr>
          <w:sz w:val="24"/>
          <w:szCs w:val="24"/>
        </w:rPr>
      </w:pPr>
      <w:bookmarkStart w:id="11" w:name="bookmark21"/>
      <w:r>
        <w:rPr>
          <w:rStyle w:val="CharStyle23"/>
          <w:lang w:eastAsia="da-DK"/>
        </w:rPr>
        <w:lastRenderedPageBreak/>
        <w:t>Phytoplankton biomass</w:t>
      </w:r>
      <w:bookmarkEnd w:id="11"/>
    </w:p>
    <w:p w14:paraId="006739E4"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We extract daily average depth-integrated phytoplankton biomass (mmol N m</w:t>
      </w:r>
      <w:r>
        <w:rPr>
          <w:rStyle w:val="CharStyle3"/>
          <w:sz w:val="13"/>
          <w:szCs w:val="13"/>
          <w:vertAlign w:val="superscript"/>
          <w:lang w:eastAsia="da-DK"/>
        </w:rPr>
        <w:t>-</w:t>
      </w:r>
      <w:r>
        <w:rPr>
          <w:rStyle w:val="CharStyle3"/>
          <w:vertAlign w:val="superscript"/>
          <w:lang w:eastAsia="da-DK"/>
        </w:rPr>
        <w:t>2</w:t>
      </w:r>
      <w:r>
        <w:rPr>
          <w:rStyle w:val="CharStyle3"/>
          <w:lang w:eastAsia="da-DK"/>
        </w:rPr>
        <w:t>) for each of the three phytoplankton functional groups to form three signals (Fig.</w:t>
      </w:r>
      <w:hyperlink w:anchor="bookmark13" w:tooltip="Current Document" w:history="1">
        <w:r>
          <w:rPr>
            <w:rStyle w:val="CharStyle3"/>
            <w:lang w:eastAsia="da-DK"/>
          </w:rPr>
          <w:t xml:space="preserve"> 2e</w:t>
        </w:r>
      </w:hyperlink>
      <w:r>
        <w:rPr>
          <w:rStyle w:val="CharStyle3"/>
          <w:lang w:eastAsia="da-DK"/>
        </w:rPr>
        <w:t>). These sig</w:t>
      </w:r>
      <w:r>
        <w:rPr>
          <w:rStyle w:val="CharStyle3"/>
          <w:lang w:eastAsia="da-DK"/>
        </w:rPr>
        <w:softHyphen/>
        <w:t xml:space="preserve">nals are then connected in series to form an overall </w:t>
      </w:r>
      <w:r>
        <w:rPr>
          <w:rStyle w:val="CharStyle3"/>
          <w:lang w:val="en-US" w:eastAsia="en-US"/>
        </w:rPr>
        <w:t>phy</w:t>
      </w:r>
      <w:r>
        <w:rPr>
          <w:rStyle w:val="CharStyle3"/>
          <w:lang w:val="en-US" w:eastAsia="en-US"/>
        </w:rPr>
        <w:softHyphen/>
        <w:t>toplankton</w:t>
      </w:r>
      <w:r>
        <w:rPr>
          <w:rStyle w:val="CharStyle3"/>
          <w:lang w:eastAsia="da-DK"/>
        </w:rPr>
        <w:t xml:space="preserve"> biomass signal that differentiates by functional group – thus, functional group identity, not just total </w:t>
      </w:r>
      <w:r>
        <w:rPr>
          <w:rStyle w:val="CharStyle3"/>
          <w:lang w:val="en-US" w:eastAsia="en-US"/>
        </w:rPr>
        <w:t>phyto</w:t>
      </w:r>
      <w:r>
        <w:rPr>
          <w:rStyle w:val="CharStyle3"/>
          <w:lang w:val="en-US" w:eastAsia="en-US"/>
        </w:rPr>
        <w:softHyphen/>
        <w:t>plankton</w:t>
      </w:r>
      <w:r>
        <w:rPr>
          <w:rStyle w:val="CharStyle3"/>
          <w:lang w:eastAsia="da-DK"/>
        </w:rPr>
        <w:t xml:space="preserve"> biomass, is a factor in our clustering. Furthermore, our chosen metric of functional-group-differentiated </w:t>
      </w:r>
      <w:r>
        <w:rPr>
          <w:rStyle w:val="CharStyle3"/>
          <w:lang w:val="en-US" w:eastAsia="en-US"/>
        </w:rPr>
        <w:t>phyto</w:t>
      </w:r>
      <w:r>
        <w:rPr>
          <w:rStyle w:val="CharStyle3"/>
          <w:lang w:val="en-US" w:eastAsia="en-US"/>
        </w:rPr>
        <w:softHyphen/>
        <w:t>plankton</w:t>
      </w:r>
      <w:r>
        <w:rPr>
          <w:rStyle w:val="CharStyle3"/>
          <w:lang w:eastAsia="da-DK"/>
        </w:rPr>
        <w:t xml:space="preserve"> biomass will capture functional-group-specific re</w:t>
      </w:r>
      <w:r>
        <w:rPr>
          <w:rStyle w:val="CharStyle3"/>
          <w:lang w:eastAsia="da-DK"/>
        </w:rPr>
        <w:softHyphen/>
        <w:t>sponses to different habitat characteristics.</w:t>
      </w:r>
    </w:p>
    <w:p w14:paraId="13249F4C" w14:textId="77777777" w:rsidR="0074324D" w:rsidRDefault="0074324D">
      <w:pPr>
        <w:pStyle w:val="Style15"/>
        <w:keepNext/>
        <w:keepLines/>
        <w:jc w:val="both"/>
        <w:rPr>
          <w:rFonts w:ascii="Times New Roman" w:hAnsi="Times New Roman" w:cs="Times New Roman"/>
          <w:sz w:val="24"/>
          <w:szCs w:val="24"/>
        </w:rPr>
      </w:pPr>
      <w:bookmarkStart w:id="12" w:name="bookmark23"/>
      <w:r>
        <w:rPr>
          <w:rStyle w:val="CharStyle16"/>
          <w:lang w:eastAsia="da-DK"/>
        </w:rPr>
        <w:t>2.3 Clustering method</w:t>
      </w:r>
      <w:bookmarkEnd w:id="12"/>
    </w:p>
    <w:p w14:paraId="7EFFD450" w14:textId="77777777" w:rsidR="0074324D" w:rsidRDefault="0074324D">
      <w:pPr>
        <w:pStyle w:val="Style2"/>
        <w:jc w:val="both"/>
        <w:rPr>
          <w:rFonts w:ascii="Times New Roman" w:hAnsi="Times New Roman" w:cs="Times New Roman"/>
          <w:sz w:val="24"/>
          <w:szCs w:val="24"/>
        </w:rPr>
      </w:pPr>
      <w:r>
        <w:rPr>
          <w:rStyle w:val="CharStyle3"/>
          <w:lang w:eastAsia="da-DK"/>
        </w:rPr>
        <w:t xml:space="preserve">We use Ward’s method </w:t>
      </w:r>
      <w:hyperlink w:anchor="bookmark132" w:tooltip="Current Document" w:history="1">
        <w:r>
          <w:rPr>
            <w:rStyle w:val="CharStyle3"/>
            <w:lang w:eastAsia="da-DK"/>
          </w:rPr>
          <w:t>(Ward, 1963)</w:t>
        </w:r>
      </w:hyperlink>
      <w:r>
        <w:rPr>
          <w:rStyle w:val="CharStyle3"/>
          <w:lang w:eastAsia="da-DK"/>
        </w:rPr>
        <w:t xml:space="preserve">, a type of </w:t>
      </w:r>
      <w:r>
        <w:rPr>
          <w:rStyle w:val="CharStyle3"/>
          <w:lang w:val="en-US" w:eastAsia="en-US"/>
        </w:rPr>
        <w:t>hierarchi</w:t>
      </w:r>
      <w:r>
        <w:rPr>
          <w:rStyle w:val="CharStyle3"/>
          <w:lang w:val="en-US" w:eastAsia="en-US"/>
        </w:rPr>
        <w:softHyphen/>
        <w:t>cal</w:t>
      </w:r>
      <w:r>
        <w:rPr>
          <w:rStyle w:val="CharStyle3"/>
          <w:lang w:eastAsia="da-DK"/>
        </w:rPr>
        <w:t xml:space="preserve"> clustering method, to cluster our data. Broadly, </w:t>
      </w:r>
      <w:r>
        <w:rPr>
          <w:rStyle w:val="CharStyle3"/>
          <w:lang w:val="en-US" w:eastAsia="en-US"/>
        </w:rPr>
        <w:t>cluster</w:t>
      </w:r>
      <w:r>
        <w:rPr>
          <w:rStyle w:val="CharStyle3"/>
          <w:lang w:val="en-US" w:eastAsia="en-US"/>
        </w:rPr>
        <w:softHyphen/>
        <w:t>ing</w:t>
      </w:r>
      <w:r>
        <w:rPr>
          <w:rStyle w:val="CharStyle3"/>
          <w:lang w:eastAsia="da-DK"/>
        </w:rPr>
        <w:t xml:space="preserve"> methods are a subset of unsupervised machine learning methods used to reveal the underlying structure of a dataset by grouping similar data points. In hierarchical clustering methods, every data point is initially a single-point data </w:t>
      </w:r>
      <w:r>
        <w:rPr>
          <w:rStyle w:val="CharStyle3"/>
          <w:lang w:val="en-US" w:eastAsia="en-US"/>
        </w:rPr>
        <w:t>clus</w:t>
      </w:r>
      <w:r>
        <w:rPr>
          <w:rStyle w:val="CharStyle3"/>
          <w:lang w:val="en-US" w:eastAsia="en-US"/>
        </w:rPr>
        <w:softHyphen/>
        <w:t>ter.</w:t>
      </w:r>
      <w:r>
        <w:rPr>
          <w:rStyle w:val="CharStyle3"/>
          <w:lang w:eastAsia="da-DK"/>
        </w:rPr>
        <w:t xml:space="preserve"> At each step of the clustering, the two “closest” </w:t>
      </w:r>
      <w:r>
        <w:rPr>
          <w:rStyle w:val="CharStyle3"/>
          <w:lang w:val="en-US" w:eastAsia="en-US"/>
        </w:rPr>
        <w:t>clus</w:t>
      </w:r>
      <w:r>
        <w:rPr>
          <w:rStyle w:val="CharStyle3"/>
          <w:lang w:val="en-US" w:eastAsia="en-US"/>
        </w:rPr>
        <w:softHyphen/>
        <w:t>ters</w:t>
      </w:r>
      <w:r>
        <w:rPr>
          <w:rStyle w:val="CharStyle3"/>
          <w:lang w:eastAsia="da-DK"/>
        </w:rPr>
        <w:t xml:space="preserve"> are merged into a new cluster; this process is repeated until all points have been merged into a single cluster. </w:t>
      </w:r>
      <w:r>
        <w:rPr>
          <w:rStyle w:val="CharStyle3"/>
          <w:lang w:val="en-US" w:eastAsia="en-US"/>
        </w:rPr>
        <w:t>Met</w:t>
      </w:r>
      <w:r>
        <w:rPr>
          <w:rStyle w:val="CharStyle3"/>
          <w:lang w:val="en-US" w:eastAsia="en-US"/>
        </w:rPr>
        <w:softHyphen/>
        <w:t>rics</w:t>
      </w:r>
      <w:r>
        <w:rPr>
          <w:rStyle w:val="CharStyle3"/>
          <w:lang w:eastAsia="da-DK"/>
        </w:rPr>
        <w:t xml:space="preserve"> of closeness vary between hierarchical clustering </w:t>
      </w:r>
      <w:r>
        <w:rPr>
          <w:rStyle w:val="CharStyle3"/>
          <w:lang w:val="en-US" w:eastAsia="en-US"/>
        </w:rPr>
        <w:t>meth</w:t>
      </w:r>
      <w:r>
        <w:rPr>
          <w:rStyle w:val="CharStyle3"/>
          <w:lang w:val="en-US" w:eastAsia="en-US"/>
        </w:rPr>
        <w:softHyphen/>
        <w:t>ods</w:t>
      </w:r>
      <w:r>
        <w:rPr>
          <w:rStyle w:val="CharStyle3"/>
          <w:lang w:eastAsia="da-DK"/>
        </w:rPr>
        <w:t xml:space="preserve"> – while some methods use variations of the definition of the physical distance between clusters as a clustering </w:t>
      </w:r>
      <w:r>
        <w:rPr>
          <w:rStyle w:val="CharStyle3"/>
          <w:lang w:val="en-US" w:eastAsia="en-US"/>
        </w:rPr>
        <w:t>crite</w:t>
      </w:r>
      <w:r>
        <w:rPr>
          <w:rStyle w:val="CharStyle3"/>
          <w:lang w:val="en-US" w:eastAsia="en-US"/>
        </w:rPr>
        <w:softHyphen/>
        <w:t>rion,</w:t>
      </w:r>
      <w:r>
        <w:rPr>
          <w:rStyle w:val="CharStyle3"/>
          <w:lang w:eastAsia="da-DK"/>
        </w:rPr>
        <w:t xml:space="preserve"> Ward’s method analyzes changing intracluster variance, or the “loss of information” </w:t>
      </w:r>
      <w:hyperlink w:anchor="bookmark136" w:tooltip="Current Document" w:history="1">
        <w:r>
          <w:rPr>
            <w:rStyle w:val="CharStyle3"/>
            <w:lang w:eastAsia="da-DK"/>
          </w:rPr>
          <w:t>(Wishart, 1969)</w:t>
        </w:r>
      </w:hyperlink>
      <w:r>
        <w:rPr>
          <w:rStyle w:val="CharStyle3"/>
          <w:lang w:eastAsia="da-DK"/>
        </w:rPr>
        <w:t xml:space="preserve"> if they were to merge into a single cluster. In Ward’</w:t>
      </w:r>
      <w:r>
        <w:rPr>
          <w:rStyle w:val="CharStyle3"/>
          <w:lang w:eastAsia="da-DK"/>
        </w:rPr>
        <w:t>s method, at each step, the clusters whose merging results in the lowest increase in intracluster variance are combined.</w:t>
      </w:r>
    </w:p>
    <w:p w14:paraId="378107FE" w14:textId="77777777" w:rsidR="0074324D" w:rsidRDefault="0074324D">
      <w:pPr>
        <w:pStyle w:val="Style2"/>
        <w:spacing w:after="200"/>
        <w:ind w:firstLine="220"/>
        <w:jc w:val="both"/>
        <w:rPr>
          <w:rFonts w:ascii="Times New Roman" w:hAnsi="Times New Roman" w:cs="Times New Roman"/>
          <w:sz w:val="24"/>
          <w:szCs w:val="24"/>
        </w:rPr>
      </w:pPr>
      <w:r>
        <w:rPr>
          <w:rStyle w:val="CharStyle3"/>
          <w:lang w:eastAsia="da-DK"/>
        </w:rPr>
        <w:t xml:space="preserve">Many hierarchical clustering methods exist; of these we chose Ward’s method because the algorithm is </w:t>
      </w:r>
      <w:r>
        <w:rPr>
          <w:rStyle w:val="CharStyle3"/>
          <w:lang w:val="en-US" w:eastAsia="en-US"/>
        </w:rPr>
        <w:t>straightfor</w:t>
      </w:r>
      <w:r>
        <w:rPr>
          <w:rStyle w:val="CharStyle3"/>
          <w:lang w:val="en-US" w:eastAsia="en-US"/>
        </w:rPr>
        <w:softHyphen/>
        <w:t>ward</w:t>
      </w:r>
      <w:r>
        <w:rPr>
          <w:rStyle w:val="CharStyle3"/>
          <w:lang w:eastAsia="da-DK"/>
        </w:rPr>
        <w:t xml:space="preserve"> to implement and compares favorably to other </w:t>
      </w:r>
      <w:r>
        <w:rPr>
          <w:rStyle w:val="CharStyle3"/>
          <w:lang w:val="en-US" w:eastAsia="en-US"/>
        </w:rPr>
        <w:t>hi</w:t>
      </w:r>
      <w:r>
        <w:rPr>
          <w:rStyle w:val="CharStyle3"/>
          <w:lang w:val="en-US" w:eastAsia="en-US"/>
        </w:rPr>
        <w:softHyphen/>
        <w:t>erarchical</w:t>
      </w:r>
      <w:r>
        <w:rPr>
          <w:rStyle w:val="CharStyle3"/>
          <w:lang w:eastAsia="da-DK"/>
        </w:rPr>
        <w:t xml:space="preserve"> clustering methods with regards to performance in identifying structure in known clusterings (e.g.,</w:t>
      </w:r>
      <w:hyperlink w:anchor="bookmark120" w:tooltip="Current Document" w:history="1">
        <w:r>
          <w:rPr>
            <w:rStyle w:val="CharStyle3"/>
            <w:lang w:eastAsia="da-DK"/>
          </w:rPr>
          <w:t xml:space="preserve"> </w:t>
        </w:r>
        <w:r>
          <w:rPr>
            <w:rStyle w:val="CharStyle3"/>
            <w:lang w:val="it-IT" w:eastAsia="it-IT"/>
          </w:rPr>
          <w:t>Man</w:t>
        </w:r>
        <w:r>
          <w:rPr>
            <w:rStyle w:val="CharStyle3"/>
            <w:lang w:val="it-IT" w:eastAsia="it-IT"/>
          </w:rPr>
          <w:softHyphen/>
        </w:r>
      </w:hyperlink>
      <w:hyperlink w:anchor="bookmark120" w:tooltip="Current Document" w:history="1">
        <w:r>
          <w:rPr>
            <w:rStyle w:val="CharStyle3"/>
            <w:lang w:val="it-IT" w:eastAsia="it-IT"/>
          </w:rPr>
          <w:t>giameli</w:t>
        </w:r>
        <w:r>
          <w:rPr>
            <w:rStyle w:val="CharStyle3"/>
            <w:lang w:eastAsia="da-DK"/>
          </w:rPr>
          <w:t xml:space="preserve"> et al., 1996)</w:t>
        </w:r>
      </w:hyperlink>
      <w:r>
        <w:rPr>
          <w:rStyle w:val="CharStyle3"/>
          <w:lang w:eastAsia="da-DK"/>
        </w:rPr>
        <w:t xml:space="preserve">. We perform hierarchical clustering </w:t>
      </w:r>
      <w:r>
        <w:rPr>
          <w:rStyle w:val="CharStyle3"/>
          <w:lang w:val="en-US" w:eastAsia="en-US"/>
        </w:rPr>
        <w:t>us</w:t>
      </w:r>
      <w:r>
        <w:rPr>
          <w:rStyle w:val="CharStyle3"/>
          <w:lang w:val="en-US" w:eastAsia="en-US"/>
        </w:rPr>
        <w:softHyphen/>
        <w:t>ing</w:t>
      </w:r>
      <w:r>
        <w:rPr>
          <w:rStyle w:val="CharStyle3"/>
          <w:lang w:eastAsia="da-DK"/>
        </w:rPr>
        <w:t xml:space="preserve"> Ward’s method on each of the five signals independently. For each signal, the clustering is done four times (once for each of the 4 years 2013–2016), and the results for the 4 years are then compared to assess interannual variability in the pat</w:t>
      </w:r>
      <w:r>
        <w:rPr>
          <w:rStyle w:val="CharStyle3"/>
          <w:lang w:eastAsia="da-DK"/>
        </w:rPr>
        <w:softHyphen/>
        <w:t>terns found.</w:t>
      </w:r>
    </w:p>
    <w:p w14:paraId="6C1C5BC9" w14:textId="77777777" w:rsidR="0074324D" w:rsidRDefault="0074324D">
      <w:pPr>
        <w:pStyle w:val="Style2"/>
        <w:spacing w:after="160"/>
        <w:jc w:val="both"/>
        <w:rPr>
          <w:rFonts w:ascii="Times New Roman" w:hAnsi="Times New Roman" w:cs="Times New Roman"/>
          <w:sz w:val="24"/>
          <w:szCs w:val="24"/>
        </w:rPr>
      </w:pPr>
      <w:r>
        <w:rPr>
          <w:rStyle w:val="CharStyle3"/>
          <w:lang w:eastAsia="da-DK"/>
        </w:rPr>
        <w:t>Cluster number selection</w:t>
      </w:r>
    </w:p>
    <w:p w14:paraId="16FA16EC" w14:textId="77777777" w:rsidR="0074324D" w:rsidRDefault="0074324D">
      <w:pPr>
        <w:pStyle w:val="Style2"/>
        <w:spacing w:after="160"/>
        <w:jc w:val="both"/>
        <w:rPr>
          <w:rFonts w:ascii="Times New Roman" w:hAnsi="Times New Roman" w:cs="Times New Roman"/>
          <w:sz w:val="24"/>
          <w:szCs w:val="24"/>
        </w:rPr>
      </w:pPr>
      <w:r>
        <w:rPr>
          <w:rStyle w:val="CharStyle3"/>
          <w:lang w:eastAsia="da-DK"/>
        </w:rPr>
        <w:t xml:space="preserve">A common challenge in the application of clustering methods is the selection of cluster number, as the clustering algorithm can produce anywhere between two and </w:t>
      </w:r>
      <w:r>
        <w:rPr>
          <w:rStyle w:val="CharStyle3"/>
          <w:sz w:val="16"/>
          <w:szCs w:val="16"/>
          <w:lang w:eastAsia="da-DK"/>
        </w:rPr>
        <w:t xml:space="preserve">N </w:t>
      </w:r>
      <w:r>
        <w:rPr>
          <w:rStyle w:val="CharStyle3"/>
          <w:lang w:eastAsia="da-DK"/>
        </w:rPr>
        <w:t xml:space="preserve">clusters (where </w:t>
      </w:r>
      <w:r>
        <w:rPr>
          <w:rStyle w:val="CharStyle3"/>
          <w:sz w:val="16"/>
          <w:szCs w:val="16"/>
          <w:lang w:eastAsia="da-DK"/>
        </w:rPr>
        <w:t xml:space="preserve">N </w:t>
      </w:r>
      <w:r>
        <w:rPr>
          <w:rStyle w:val="CharStyle3"/>
          <w:lang w:eastAsia="da-DK"/>
        </w:rPr>
        <w:t xml:space="preserve">is the number of stations with signals being clustered). </w:t>
      </w:r>
      <w:r>
        <w:rPr>
          <w:rStyle w:val="CharStyle3"/>
          <w:lang w:val="en-US" w:eastAsia="en-US"/>
        </w:rPr>
        <w:t>Typi</w:t>
      </w:r>
      <w:r>
        <w:rPr>
          <w:rStyle w:val="CharStyle3"/>
          <w:lang w:val="en-US" w:eastAsia="en-US"/>
        </w:rPr>
        <w:softHyphen/>
        <w:t>cal</w:t>
      </w:r>
      <w:r>
        <w:rPr>
          <w:rStyle w:val="CharStyle3"/>
          <w:lang w:eastAsia="da-DK"/>
        </w:rPr>
        <w:t xml:space="preserve"> approaches include choosing a cluster number for which the </w:t>
      </w:r>
      <w:r>
        <w:rPr>
          <w:rStyle w:val="CharStyle3"/>
          <w:lang w:eastAsia="da-DK"/>
        </w:rPr>
        <w:t xml:space="preserve">difference in the mean signals of the found clusters when going from cluster number </w:t>
      </w:r>
      <w:r>
        <w:rPr>
          <w:rStyle w:val="CharStyle3"/>
          <w:sz w:val="16"/>
          <w:szCs w:val="16"/>
          <w:lang w:eastAsia="da-DK"/>
        </w:rPr>
        <w:t xml:space="preserve">N </w:t>
      </w:r>
      <w:r>
        <w:rPr>
          <w:rStyle w:val="CharStyle3"/>
          <w:lang w:eastAsia="da-DK"/>
        </w:rPr>
        <w:t xml:space="preserve">to cluster number </w:t>
      </w:r>
      <w:r>
        <w:rPr>
          <w:rStyle w:val="CharStyle3"/>
          <w:sz w:val="16"/>
          <w:szCs w:val="16"/>
          <w:lang w:eastAsia="da-DK"/>
        </w:rPr>
        <w:t>N</w:t>
      </w:r>
      <w:r>
        <w:rPr>
          <w:rStyle w:val="CharStyle3"/>
          <w:lang w:eastAsia="da-DK"/>
        </w:rPr>
        <w:t xml:space="preserve">+1 is </w:t>
      </w:r>
      <w:r>
        <w:rPr>
          <w:rStyle w:val="CharStyle3"/>
          <w:lang w:val="en-US" w:eastAsia="en-US"/>
        </w:rPr>
        <w:t>max</w:t>
      </w:r>
      <w:r>
        <w:rPr>
          <w:rStyle w:val="CharStyle3"/>
          <w:lang w:val="en-US" w:eastAsia="en-US"/>
        </w:rPr>
        <w:softHyphen/>
        <w:t>imized.</w:t>
      </w:r>
      <w:r>
        <w:rPr>
          <w:rStyle w:val="CharStyle3"/>
          <w:lang w:eastAsia="da-DK"/>
        </w:rPr>
        <w:t xml:space="preserve"> In our case, attempts to use objective metrics to </w:t>
      </w:r>
      <w:r>
        <w:rPr>
          <w:rStyle w:val="CharStyle3"/>
          <w:lang w:val="en-US" w:eastAsia="en-US"/>
        </w:rPr>
        <w:t>deter</w:t>
      </w:r>
      <w:r>
        <w:rPr>
          <w:rStyle w:val="CharStyle3"/>
          <w:lang w:val="en-US" w:eastAsia="en-US"/>
        </w:rPr>
        <w:softHyphen/>
        <w:t>mine</w:t>
      </w:r>
      <w:r>
        <w:rPr>
          <w:rStyle w:val="CharStyle3"/>
          <w:lang w:eastAsia="da-DK"/>
        </w:rPr>
        <w:t xml:space="preserve"> cluster number, such as the Davies–Bouldin, silhouette, or Calinski–Harabasz criteria </w:t>
      </w:r>
      <w:hyperlink w:anchor="bookmark96" w:tooltip="Current Document" w:history="1">
        <w:r>
          <w:rPr>
            <w:rStyle w:val="CharStyle3"/>
            <w:lang w:eastAsia="da-DK"/>
          </w:rPr>
          <w:t>(Maulik and Bandyopadhyay,</w:t>
        </w:r>
      </w:hyperlink>
      <w:r>
        <w:rPr>
          <w:rStyle w:val="CharStyle3"/>
          <w:lang w:eastAsia="da-DK"/>
        </w:rPr>
        <w:t xml:space="preserve"> </w:t>
      </w:r>
      <w:hyperlink w:anchor="bookmark96" w:tooltip="Current Document" w:history="1">
        <w:r>
          <w:rPr>
            <w:rStyle w:val="CharStyle3"/>
            <w:lang w:eastAsia="da-DK"/>
          </w:rPr>
          <w:t>2002)</w:t>
        </w:r>
      </w:hyperlink>
      <w:r>
        <w:rPr>
          <w:rStyle w:val="CharStyle3"/>
          <w:lang w:eastAsia="da-DK"/>
        </w:rPr>
        <w:t xml:space="preserve">, typically identified only two clusters in a given dataset (not shown). Though these may be the most prominent </w:t>
      </w:r>
      <w:r>
        <w:rPr>
          <w:rStyle w:val="CharStyle3"/>
          <w:lang w:val="en-US" w:eastAsia="en-US"/>
        </w:rPr>
        <w:t>clus</w:t>
      </w:r>
      <w:r>
        <w:rPr>
          <w:rStyle w:val="CharStyle3"/>
          <w:lang w:val="en-US" w:eastAsia="en-US"/>
        </w:rPr>
        <w:softHyphen/>
        <w:t>ters,</w:t>
      </w:r>
      <w:r>
        <w:rPr>
          <w:rStyle w:val="CharStyle3"/>
          <w:lang w:eastAsia="da-DK"/>
        </w:rPr>
        <w:t xml:space="preserve"> meaningful structure in the data persists at larger cluster numbers. Ultimately, our approach was to visualize several possible clustering outputs, with cluster number </w:t>
      </w:r>
      <w:r>
        <w:rPr>
          <w:rStyle w:val="CharStyle3"/>
          <w:sz w:val="16"/>
          <w:szCs w:val="16"/>
          <w:lang w:eastAsia="da-DK"/>
        </w:rPr>
        <w:t xml:space="preserve">N </w:t>
      </w:r>
      <w:r>
        <w:rPr>
          <w:rStyle w:val="CharStyle3"/>
          <w:lang w:eastAsia="da-DK"/>
        </w:rPr>
        <w:t xml:space="preserve">varying from 2 to 15, and to visually compare how the spatial </w:t>
      </w:r>
      <w:r>
        <w:rPr>
          <w:rStyle w:val="CharStyle3"/>
          <w:lang w:val="en-US" w:eastAsia="en-US"/>
        </w:rPr>
        <w:t>struc</w:t>
      </w:r>
      <w:r>
        <w:rPr>
          <w:rStyle w:val="CharStyle3"/>
          <w:lang w:val="en-US" w:eastAsia="en-US"/>
        </w:rPr>
        <w:softHyphen/>
        <w:t>ture</w:t>
      </w:r>
      <w:r>
        <w:rPr>
          <w:rStyle w:val="CharStyle3"/>
          <w:lang w:eastAsia="da-DK"/>
        </w:rPr>
        <w:t xml:space="preserve"> of the patterns changed with increasing cluster number (e.g., Fig.</w:t>
      </w:r>
      <w:hyperlink w:anchor="bookmark57" w:tooltip="Current Document" w:history="1">
        <w:r>
          <w:rPr>
            <w:rStyle w:val="CharStyle3"/>
            <w:lang w:eastAsia="da-DK"/>
          </w:rPr>
          <w:t xml:space="preserve"> C1)</w:t>
        </w:r>
      </w:hyperlink>
      <w:r>
        <w:rPr>
          <w:rStyle w:val="CharStyle3"/>
          <w:lang w:eastAsia="da-DK"/>
        </w:rPr>
        <w:t xml:space="preserve">. In all variables, the same typical structure emerged at a relatively low cluster number (e.g., </w:t>
      </w:r>
      <w:r>
        <w:rPr>
          <w:rStyle w:val="CharStyle3"/>
          <w:sz w:val="16"/>
          <w:szCs w:val="16"/>
          <w:lang w:eastAsia="da-DK"/>
        </w:rPr>
        <w:t xml:space="preserve">N </w:t>
      </w:r>
      <w:r>
        <w:rPr>
          <w:rStyle w:val="CharStyle3"/>
          <w:lang w:eastAsia="da-DK"/>
        </w:rPr>
        <w:t xml:space="preserve">= 3–5) and persisted with increasing cluster number in all years. To facilitate comparison of clusters between years, we chose a cluster number of </w:t>
      </w:r>
      <w:r>
        <w:rPr>
          <w:rStyle w:val="CharStyle3"/>
          <w:sz w:val="16"/>
          <w:szCs w:val="16"/>
          <w:lang w:eastAsia="da-DK"/>
        </w:rPr>
        <w:t xml:space="preserve">N </w:t>
      </w:r>
      <w:r>
        <w:rPr>
          <w:rStyle w:val="CharStyle3"/>
          <w:lang w:eastAsia="da-DK"/>
        </w:rPr>
        <w:t>= 5 for all years for all variables being clustered and are confident that the structures described are robust to a selection of a variety of cluster numbers.</w:t>
      </w:r>
    </w:p>
    <w:p w14:paraId="134E1A9A" w14:textId="77777777" w:rsidR="0074324D" w:rsidRDefault="0074324D">
      <w:pPr>
        <w:pStyle w:val="Style2"/>
        <w:spacing w:after="160"/>
        <w:jc w:val="both"/>
        <w:rPr>
          <w:rFonts w:ascii="Times New Roman" w:hAnsi="Times New Roman" w:cs="Times New Roman"/>
          <w:sz w:val="24"/>
          <w:szCs w:val="24"/>
        </w:rPr>
      </w:pPr>
      <w:r>
        <w:rPr>
          <w:rStyle w:val="CharStyle3"/>
          <w:lang w:eastAsia="da-DK"/>
        </w:rPr>
        <w:t>Interannual cluster persistence</w:t>
      </w:r>
    </w:p>
    <w:p w14:paraId="365F48A2" w14:textId="77777777" w:rsidR="0074324D" w:rsidRDefault="0074324D">
      <w:pPr>
        <w:pStyle w:val="Style2"/>
        <w:spacing w:after="100"/>
        <w:jc w:val="both"/>
        <w:rPr>
          <w:rFonts w:ascii="Times New Roman" w:hAnsi="Times New Roman" w:cs="Times New Roman"/>
          <w:sz w:val="24"/>
          <w:szCs w:val="24"/>
        </w:rPr>
      </w:pPr>
      <w:r>
        <w:rPr>
          <w:rStyle w:val="CharStyle3"/>
          <w:lang w:eastAsia="da-DK"/>
        </w:rPr>
        <w:t>Visually, it is immediately</w:t>
      </w:r>
      <w:r>
        <w:rPr>
          <w:rStyle w:val="CharStyle3"/>
          <w:lang w:eastAsia="da-DK"/>
        </w:rPr>
        <w:t xml:space="preserve"> apparent that similar spatial </w:t>
      </w:r>
      <w:r>
        <w:rPr>
          <w:rStyle w:val="CharStyle3"/>
          <w:lang w:val="en-US" w:eastAsia="en-US"/>
        </w:rPr>
        <w:t>struc</w:t>
      </w:r>
      <w:r>
        <w:rPr>
          <w:rStyle w:val="CharStyle3"/>
          <w:lang w:val="en-US" w:eastAsia="en-US"/>
        </w:rPr>
        <w:softHyphen/>
        <w:t>ture</w:t>
      </w:r>
      <w:r>
        <w:rPr>
          <w:rStyle w:val="CharStyle3"/>
          <w:lang w:eastAsia="da-DK"/>
        </w:rPr>
        <w:t xml:space="preserve"> in the clusterings of a single variable persists interannu- ally. To formalize the interannual persistence of a single </w:t>
      </w:r>
      <w:r>
        <w:rPr>
          <w:rStyle w:val="CharStyle3"/>
          <w:lang w:val="en-US" w:eastAsia="en-US"/>
        </w:rPr>
        <w:t>clus</w:t>
      </w:r>
      <w:r>
        <w:rPr>
          <w:rStyle w:val="CharStyle3"/>
          <w:lang w:val="en-US" w:eastAsia="en-US"/>
        </w:rPr>
        <w:softHyphen/>
        <w:t>ter</w:t>
      </w:r>
      <w:r>
        <w:rPr>
          <w:rStyle w:val="CharStyle3"/>
          <w:lang w:eastAsia="da-DK"/>
        </w:rPr>
        <w:t xml:space="preserve"> between years, as well as spatial commonality of different variables, we establish a simple nondimensional cluster </w:t>
      </w:r>
      <w:r>
        <w:rPr>
          <w:rStyle w:val="CharStyle3"/>
          <w:lang w:val="en-US" w:eastAsia="en-US"/>
        </w:rPr>
        <w:t>com</w:t>
      </w:r>
      <w:r>
        <w:rPr>
          <w:rStyle w:val="CharStyle3"/>
          <w:lang w:val="en-US" w:eastAsia="en-US"/>
        </w:rPr>
        <w:softHyphen/>
        <w:t>monality</w:t>
      </w:r>
      <w:r>
        <w:rPr>
          <w:rStyle w:val="CharStyle3"/>
          <w:lang w:eastAsia="da-DK"/>
        </w:rPr>
        <w:t xml:space="preserve"> metric (CC). For two clusters </w:t>
      </w:r>
      <w:r>
        <w:rPr>
          <w:rStyle w:val="CharStyle3"/>
          <w:sz w:val="16"/>
          <w:szCs w:val="16"/>
          <w:lang w:eastAsia="da-DK"/>
        </w:rPr>
        <w:t xml:space="preserve">A </w:t>
      </w:r>
      <w:r>
        <w:rPr>
          <w:rStyle w:val="CharStyle3"/>
          <w:lang w:eastAsia="da-DK"/>
        </w:rPr>
        <w:t xml:space="preserve">and </w:t>
      </w:r>
      <w:r>
        <w:rPr>
          <w:rStyle w:val="CharStyle3"/>
          <w:sz w:val="16"/>
          <w:szCs w:val="16"/>
          <w:lang w:eastAsia="da-DK"/>
        </w:rPr>
        <w:t>B</w:t>
      </w:r>
      <w:r>
        <w:rPr>
          <w:rStyle w:val="CharStyle3"/>
          <w:lang w:eastAsia="da-DK"/>
        </w:rPr>
        <w:t>, the cluster commonality CC</w:t>
      </w:r>
      <w:r>
        <w:rPr>
          <w:rStyle w:val="CharStyle3"/>
          <w:sz w:val="13"/>
          <w:szCs w:val="13"/>
          <w:lang w:eastAsia="da-DK"/>
        </w:rPr>
        <w:t>A</w:t>
      </w:r>
      <w:r>
        <w:rPr>
          <w:rStyle w:val="CharStyle3"/>
          <w:sz w:val="13"/>
          <w:szCs w:val="13"/>
          <w:vertAlign w:val="subscript"/>
          <w:lang w:eastAsia="da-DK"/>
        </w:rPr>
        <w:t>B</w:t>
      </w:r>
      <w:r>
        <w:rPr>
          <w:rStyle w:val="CharStyle3"/>
          <w:sz w:val="13"/>
          <w:szCs w:val="13"/>
          <w:lang w:eastAsia="da-DK"/>
        </w:rPr>
        <w:t xml:space="preserve"> </w:t>
      </w:r>
      <w:r>
        <w:rPr>
          <w:rStyle w:val="CharStyle3"/>
          <w:lang w:eastAsia="da-DK"/>
        </w:rPr>
        <w:t>is defined as</w:t>
      </w:r>
    </w:p>
    <w:p w14:paraId="00723BA8" w14:textId="77777777" w:rsidR="0074324D" w:rsidRDefault="0074324D">
      <w:pPr>
        <w:pStyle w:val="Style2"/>
        <w:spacing w:line="240" w:lineRule="auto"/>
        <w:ind w:left="1060"/>
        <w:jc w:val="both"/>
        <w:rPr>
          <w:rFonts w:ascii="Times New Roman" w:hAnsi="Times New Roman" w:cs="Times New Roman"/>
          <w:sz w:val="24"/>
          <w:szCs w:val="24"/>
        </w:rPr>
      </w:pPr>
      <w:r>
        <w:rPr>
          <w:rStyle w:val="CharStyle3"/>
          <w:lang w:eastAsia="da-DK"/>
        </w:rPr>
        <w:t>|</w:t>
      </w:r>
      <w:r>
        <w:rPr>
          <w:rStyle w:val="CharStyle3"/>
          <w:sz w:val="16"/>
          <w:szCs w:val="16"/>
          <w:lang w:eastAsia="da-DK"/>
        </w:rPr>
        <w:t>A</w:t>
      </w:r>
      <w:r>
        <w:rPr>
          <w:rStyle w:val="CharStyle3"/>
          <w:lang w:eastAsia="da-DK"/>
        </w:rPr>
        <w:t>∩</w:t>
      </w:r>
      <w:r>
        <w:rPr>
          <w:rStyle w:val="CharStyle3"/>
          <w:sz w:val="16"/>
          <w:szCs w:val="16"/>
          <w:lang w:eastAsia="da-DK"/>
        </w:rPr>
        <w:t>B</w:t>
      </w:r>
      <w:r>
        <w:rPr>
          <w:rStyle w:val="CharStyle3"/>
          <w:lang w:eastAsia="da-DK"/>
        </w:rPr>
        <w:t>|</w:t>
      </w:r>
    </w:p>
    <w:p w14:paraId="3967567A" w14:textId="77777777" w:rsidR="0074324D" w:rsidRDefault="0074324D">
      <w:pPr>
        <w:pStyle w:val="Style2"/>
        <w:tabs>
          <w:tab w:val="left" w:pos="1949"/>
        </w:tabs>
        <w:spacing w:line="180" w:lineRule="auto"/>
        <w:jc w:val="both"/>
        <w:rPr>
          <w:rFonts w:ascii="Times New Roman" w:hAnsi="Times New Roman" w:cs="Times New Roman"/>
          <w:sz w:val="24"/>
          <w:szCs w:val="24"/>
        </w:rPr>
      </w:pPr>
      <w:r>
        <w:rPr>
          <w:rStyle w:val="CharStyle3"/>
          <w:lang w:eastAsia="da-DK"/>
        </w:rPr>
        <w:t>CC =</w:t>
      </w:r>
      <w:r>
        <w:rPr>
          <w:rStyle w:val="CharStyle3"/>
          <w:lang w:eastAsia="da-DK"/>
        </w:rPr>
        <w:tab/>
      </w:r>
      <w:r>
        <w:rPr>
          <w:rStyle w:val="CharStyle3"/>
          <w:sz w:val="16"/>
          <w:szCs w:val="16"/>
          <w:lang w:eastAsia="da-DK"/>
        </w:rPr>
        <w:t>.</w:t>
      </w:r>
    </w:p>
    <w:p w14:paraId="4C6D53DF" w14:textId="77777777" w:rsidR="0074324D" w:rsidRDefault="0074324D">
      <w:pPr>
        <w:pStyle w:val="Style2"/>
        <w:tabs>
          <w:tab w:val="left" w:pos="755"/>
        </w:tabs>
        <w:spacing w:after="100" w:line="223" w:lineRule="auto"/>
        <w:ind w:firstLine="280"/>
        <w:jc w:val="both"/>
        <w:rPr>
          <w:rFonts w:ascii="Times New Roman" w:hAnsi="Times New Roman" w:cs="Times New Roman"/>
          <w:sz w:val="24"/>
          <w:szCs w:val="24"/>
        </w:rPr>
      </w:pPr>
      <w:r>
        <w:rPr>
          <w:rStyle w:val="CharStyle3"/>
          <w:sz w:val="13"/>
          <w:szCs w:val="13"/>
          <w:vertAlign w:val="superscript"/>
          <w:lang w:eastAsia="da-DK"/>
        </w:rPr>
        <w:t>AB</w:t>
      </w:r>
      <w:r>
        <w:rPr>
          <w:rStyle w:val="CharStyle3"/>
          <w:sz w:val="13"/>
          <w:szCs w:val="13"/>
          <w:lang w:eastAsia="da-DK"/>
        </w:rPr>
        <w:tab/>
      </w:r>
      <w:r>
        <w:rPr>
          <w:rStyle w:val="CharStyle3"/>
          <w:lang w:eastAsia="da-DK"/>
        </w:rPr>
        <w:t>0</w:t>
      </w:r>
      <w:r>
        <w:rPr>
          <w:rStyle w:val="CharStyle3"/>
          <w:sz w:val="16"/>
          <w:szCs w:val="16"/>
          <w:lang w:eastAsia="da-DK"/>
        </w:rPr>
        <w:t>.</w:t>
      </w:r>
      <w:r>
        <w:rPr>
          <w:rStyle w:val="CharStyle3"/>
          <w:lang w:eastAsia="da-DK"/>
        </w:rPr>
        <w:t>5</w:t>
      </w:r>
      <w:r>
        <w:rPr>
          <w:rStyle w:val="CharStyle3"/>
          <w:sz w:val="16"/>
          <w:szCs w:val="16"/>
          <w:lang w:eastAsia="da-DK"/>
        </w:rPr>
        <w:t>(</w:t>
      </w:r>
      <w:r>
        <w:rPr>
          <w:rStyle w:val="CharStyle3"/>
          <w:lang w:eastAsia="da-DK"/>
        </w:rPr>
        <w:t>|</w:t>
      </w:r>
      <w:r>
        <w:rPr>
          <w:rStyle w:val="CharStyle3"/>
          <w:sz w:val="16"/>
          <w:szCs w:val="16"/>
          <w:lang w:eastAsia="da-DK"/>
        </w:rPr>
        <w:t>A</w:t>
      </w:r>
      <w:r>
        <w:rPr>
          <w:rStyle w:val="CharStyle3"/>
          <w:lang w:eastAsia="da-DK"/>
        </w:rPr>
        <w:t>| + |</w:t>
      </w:r>
      <w:r>
        <w:rPr>
          <w:rStyle w:val="CharStyle3"/>
          <w:sz w:val="16"/>
          <w:szCs w:val="16"/>
          <w:lang w:eastAsia="da-DK"/>
        </w:rPr>
        <w:t xml:space="preserve">B </w:t>
      </w:r>
      <w:r>
        <w:rPr>
          <w:rStyle w:val="CharStyle3"/>
          <w:lang w:eastAsia="da-DK"/>
        </w:rPr>
        <w:t>|</w:t>
      </w:r>
      <w:r>
        <w:rPr>
          <w:rStyle w:val="CharStyle3"/>
          <w:sz w:val="16"/>
          <w:szCs w:val="16"/>
          <w:lang w:eastAsia="da-DK"/>
        </w:rPr>
        <w:t>)</w:t>
      </w:r>
    </w:p>
    <w:p w14:paraId="1937773E" w14:textId="77777777" w:rsidR="0074324D" w:rsidRDefault="0074324D">
      <w:pPr>
        <w:pStyle w:val="Style2"/>
        <w:spacing w:after="360"/>
        <w:jc w:val="both"/>
        <w:rPr>
          <w:rFonts w:ascii="Times New Roman" w:hAnsi="Times New Roman" w:cs="Times New Roman"/>
          <w:sz w:val="24"/>
          <w:szCs w:val="24"/>
        </w:rPr>
      </w:pPr>
      <w:r>
        <w:rPr>
          <w:rStyle w:val="CharStyle3"/>
          <w:lang w:eastAsia="da-DK"/>
        </w:rPr>
        <w:t>For any two clusters, CC</w:t>
      </w:r>
      <w:r>
        <w:rPr>
          <w:rStyle w:val="CharStyle3"/>
          <w:lang w:eastAsia="da-DK"/>
        </w:rPr>
        <w:t xml:space="preserve"> varies from 0 (clusters of any size with no stations in common) to 1 (two clusters of equal size with all stations in common) and may be used to compare clusters of unequal sizes. We use this metric to compare the persistence of clusters of individual variables between years, as well as the cluster persistence between different variables in a given year (Fig. C2).</w:t>
      </w:r>
    </w:p>
    <w:p w14:paraId="7FE64835" w14:textId="77777777" w:rsidR="0074324D" w:rsidRDefault="0074324D">
      <w:pPr>
        <w:pStyle w:val="Style13"/>
        <w:keepNext/>
        <w:keepLines/>
        <w:numPr>
          <w:ilvl w:val="0"/>
          <w:numId w:val="4"/>
        </w:numPr>
        <w:tabs>
          <w:tab w:val="left" w:pos="302"/>
        </w:tabs>
        <w:jc w:val="both"/>
        <w:rPr>
          <w:sz w:val="24"/>
          <w:szCs w:val="24"/>
        </w:rPr>
      </w:pPr>
      <w:bookmarkStart w:id="13" w:name="bookmark25"/>
      <w:r>
        <w:rPr>
          <w:rStyle w:val="CharStyle14"/>
          <w:lang w:eastAsia="da-DK"/>
        </w:rPr>
        <w:t>Results</w:t>
      </w:r>
      <w:bookmarkEnd w:id="13"/>
    </w:p>
    <w:p w14:paraId="406D0C6B" w14:textId="77777777" w:rsidR="0074324D" w:rsidRDefault="0074324D">
      <w:pPr>
        <w:pStyle w:val="Style2"/>
        <w:spacing w:after="160"/>
        <w:jc w:val="both"/>
        <w:rPr>
          <w:rFonts w:ascii="Times New Roman" w:hAnsi="Times New Roman" w:cs="Times New Roman"/>
          <w:sz w:val="24"/>
          <w:szCs w:val="24"/>
        </w:rPr>
        <w:sectPr w:rsidR="00000000">
          <w:headerReference w:type="even" r:id="rId15"/>
          <w:headerReference w:type="default" r:id="rId16"/>
          <w:footerReference w:type="even" r:id="rId17"/>
          <w:footerReference w:type="default" r:id="rId18"/>
          <w:headerReference w:type="first" r:id="rId19"/>
          <w:footerReference w:type="first" r:id="rId20"/>
          <w:pgSz w:w="11909" w:h="16834"/>
          <w:pgMar w:top="1326" w:right="895" w:bottom="1204" w:left="892" w:header="0" w:footer="3" w:gutter="0"/>
          <w:pgNumType w:start="1452"/>
          <w:cols w:num="2" w:space="299"/>
          <w:noEndnote/>
          <w:titlePg/>
          <w:docGrid w:linePitch="360"/>
        </w:sectPr>
      </w:pPr>
      <w:r>
        <w:rPr>
          <w:rStyle w:val="CharStyle3"/>
          <w:lang w:eastAsia="da-DK"/>
        </w:rPr>
        <w:t xml:space="preserve">We describe the main physical–oceanographic subregions in the domain (CSog, NSoG, and JdF) determined by clustering the physical factors and interpret our results in the context of previous work. We also consider some tidal mixing hotspots highlighted in the derived map of vertical eddy diffusivity. Our results here typically extract the main known general </w:t>
      </w:r>
    </w:p>
    <w:p w14:paraId="328245C1" w14:textId="77777777" w:rsidR="0074324D" w:rsidRDefault="0074324D">
      <w:pPr>
        <w:pStyle w:val="Style2"/>
        <w:spacing w:after="160"/>
        <w:jc w:val="both"/>
        <w:rPr>
          <w:rFonts w:ascii="Times New Roman" w:hAnsi="Times New Roman" w:cs="Times New Roman"/>
          <w:sz w:val="24"/>
          <w:szCs w:val="24"/>
        </w:rPr>
      </w:pPr>
      <w:r>
        <w:rPr>
          <w:rStyle w:val="CharStyle3"/>
          <w:lang w:eastAsia="da-DK"/>
        </w:rPr>
        <w:t>physical–oceanographic features of this coastal sea. We then describe the observed spatial regions in biomass, which are remarkably cohesive, in the context of these physical fac</w:t>
      </w:r>
      <w:r>
        <w:rPr>
          <w:rStyle w:val="CharStyle3"/>
          <w:lang w:eastAsia="da-DK"/>
        </w:rPr>
        <w:softHyphen/>
        <w:t>tors. In the Discussion section, we propose some mechanisms through which the physical factors likely shape the biological structures seen here.</w:t>
      </w:r>
    </w:p>
    <w:p w14:paraId="4ABAD1A2" w14:textId="77777777" w:rsidR="0074324D" w:rsidRDefault="0074324D">
      <w:pPr>
        <w:pStyle w:val="Style15"/>
        <w:keepNext/>
        <w:keepLines/>
        <w:numPr>
          <w:ilvl w:val="1"/>
          <w:numId w:val="4"/>
        </w:numPr>
        <w:tabs>
          <w:tab w:val="left" w:pos="456"/>
        </w:tabs>
        <w:spacing w:after="160"/>
        <w:jc w:val="both"/>
        <w:rPr>
          <w:sz w:val="24"/>
          <w:szCs w:val="24"/>
        </w:rPr>
      </w:pPr>
      <w:bookmarkStart w:id="14" w:name="bookmark27"/>
      <w:r>
        <w:rPr>
          <w:rStyle w:val="CharStyle16"/>
          <w:lang w:eastAsia="da-DK"/>
        </w:rPr>
        <w:t>Central Strait of Georgia</w:t>
      </w:r>
      <w:bookmarkEnd w:id="14"/>
    </w:p>
    <w:p w14:paraId="7C09097E" w14:textId="77777777" w:rsidR="0074324D" w:rsidRDefault="0074324D">
      <w:pPr>
        <w:pStyle w:val="Style2"/>
        <w:jc w:val="both"/>
        <w:rPr>
          <w:rFonts w:ascii="Times New Roman" w:hAnsi="Times New Roman" w:cs="Times New Roman"/>
          <w:sz w:val="24"/>
          <w:szCs w:val="24"/>
        </w:rPr>
      </w:pPr>
      <w:r>
        <w:rPr>
          <w:rStyle w:val="CharStyle3"/>
          <w:lang w:eastAsia="da-DK"/>
        </w:rPr>
        <w:t xml:space="preserve">The physical–oceanographic dynamics of the CSoG are dominated by stratification due to Fraser River runoff, which is easily visible in the derived clustering of the freshwater index </w:t>
      </w:r>
      <w:r>
        <w:rPr>
          <w:rStyle w:val="CharStyle3"/>
          <w:lang w:eastAsia="da-DK"/>
        </w:rPr>
        <w:t>(Fig. 3). Spatially, in all 4 years of our analysis, the highest freshwater index is seen near the mouth of the Fraser River and in Howe Sound (cluster 1/gold), and it then ra</w:t>
      </w:r>
      <w:r>
        <w:rPr>
          <w:rStyle w:val="CharStyle3"/>
          <w:lang w:eastAsia="da-DK"/>
        </w:rPr>
        <w:softHyphen/>
        <w:t xml:space="preserve">dially decreases in bands (cluster 2/grey, cluster 3/sky blue) outward from this maximum. The tendency of the surface Fraser River plume to move north from the mouth of the Fraser due to the Coriolis force </w:t>
      </w:r>
      <w:hyperlink w:anchor="bookmark106" w:tooltip="Current Document" w:history="1">
        <w:r>
          <w:rPr>
            <w:rStyle w:val="CharStyle3"/>
            <w:lang w:eastAsia="da-DK"/>
          </w:rPr>
          <w:t>(Liu, 2014)</w:t>
        </w:r>
      </w:hyperlink>
      <w:r>
        <w:rPr>
          <w:rStyle w:val="CharStyle3"/>
          <w:lang w:eastAsia="da-DK"/>
        </w:rPr>
        <w:t xml:space="preserve"> is also easily </w:t>
      </w:r>
      <w:r>
        <w:rPr>
          <w:rStyle w:val="CharStyle3"/>
          <w:lang w:val="en-US" w:eastAsia="en-US"/>
        </w:rPr>
        <w:t>ob</w:t>
      </w:r>
      <w:r>
        <w:rPr>
          <w:rStyle w:val="CharStyle3"/>
          <w:lang w:val="en-US" w:eastAsia="en-US"/>
        </w:rPr>
        <w:softHyphen/>
        <w:t>servable</w:t>
      </w:r>
      <w:r>
        <w:rPr>
          <w:rStyle w:val="CharStyle3"/>
          <w:lang w:eastAsia="da-DK"/>
        </w:rPr>
        <w:t xml:space="preserve"> in this visualization. The stratifying tendency of the Fraser River (and of other major rivers) is then reflected in the clustering of the halocline signals (Fig. 4). The CSoG (cluster 3/sky blue) has consistently shallow haloclines with only limited seasonal variability (</w:t>
      </w:r>
      <w:r>
        <w:rPr>
          <w:rStyle w:val="CharStyle3"/>
          <w:rFonts w:ascii="Cambria Math" w:hAnsi="Cambria Math" w:cs="Cambria Math"/>
          <w:lang w:eastAsia="da-DK"/>
        </w:rPr>
        <w:t>∼</w:t>
      </w:r>
      <w:r>
        <w:rPr>
          <w:rStyle w:val="CharStyle3"/>
          <w:lang w:eastAsia="da-DK"/>
        </w:rPr>
        <w:t xml:space="preserve"> 5 m in summer </w:t>
      </w:r>
      <w:r>
        <w:rPr>
          <w:rStyle w:val="CharStyle3"/>
          <w:lang w:eastAsia="da-DK"/>
        </w:rPr>
        <w:lastRenderedPageBreak/>
        <w:t xml:space="preserve">to </w:t>
      </w:r>
      <w:r>
        <w:rPr>
          <w:rStyle w:val="CharStyle3"/>
          <w:rFonts w:ascii="Cambria Math" w:hAnsi="Cambria Math" w:cs="Cambria Math"/>
          <w:lang w:eastAsia="da-DK"/>
        </w:rPr>
        <w:t>∼</w:t>
      </w:r>
      <w:r>
        <w:rPr>
          <w:rStyle w:val="CharStyle3"/>
          <w:lang w:eastAsia="da-DK"/>
        </w:rPr>
        <w:t xml:space="preserve"> 7 m in winter). These shallow, stable haloclines also persist in most of the Puget Sound, owing to the influence of the Skagit River, and in the northern fjords with large rivers at their head (Toba Inlet, Bute Inlet, and Howe Sound), and the influence of these rivers is reflected in the clustering of the freshwater index. Because rivers other than the Fraser are forced by </w:t>
      </w:r>
      <w:r>
        <w:rPr>
          <w:rStyle w:val="CharStyle3"/>
          <w:lang w:val="en-US" w:eastAsia="en-US"/>
        </w:rPr>
        <w:t>cli</w:t>
      </w:r>
      <w:r>
        <w:rPr>
          <w:rStyle w:val="CharStyle3"/>
          <w:lang w:val="en-US" w:eastAsia="en-US"/>
        </w:rPr>
        <w:softHyphen/>
        <w:t>matology</w:t>
      </w:r>
      <w:r>
        <w:rPr>
          <w:rStyle w:val="CharStyle3"/>
          <w:lang w:eastAsia="da-DK"/>
        </w:rPr>
        <w:t xml:space="preserve"> in the model, the potential effects of the interannual variability of their hydrographs are not seen here.</w:t>
      </w:r>
    </w:p>
    <w:p w14:paraId="01BE1838" w14:textId="77777777" w:rsidR="0074324D" w:rsidRDefault="0074324D">
      <w:pPr>
        <w:pStyle w:val="Style2"/>
        <w:spacing w:after="160"/>
        <w:ind w:firstLine="220"/>
        <w:jc w:val="both"/>
        <w:rPr>
          <w:rFonts w:ascii="Times New Roman" w:hAnsi="Times New Roman" w:cs="Times New Roman"/>
          <w:sz w:val="24"/>
          <w:szCs w:val="24"/>
        </w:rPr>
      </w:pPr>
      <w:r>
        <w:rPr>
          <w:rStyle w:val="CharStyle3"/>
          <w:lang w:eastAsia="da-DK"/>
        </w:rPr>
        <w:t>In the wind clu</w:t>
      </w:r>
      <w:r>
        <w:rPr>
          <w:rStyle w:val="CharStyle3"/>
          <w:lang w:eastAsia="da-DK"/>
        </w:rPr>
        <w:t xml:space="preserve">stering, the boundary between the CSoG and NSoG is farther south than that seen in the clusterings of freshwater index and halocline depth (Fig. 5). Though winds in all clusters are highly episodic, all wind clusters show a marked decrease in wind energy during the summer months (Fig. 6) – this change in mean signal magnitude and </w:t>
      </w:r>
      <w:r>
        <w:rPr>
          <w:rStyle w:val="CharStyle3"/>
          <w:lang w:val="en-US" w:eastAsia="en-US"/>
        </w:rPr>
        <w:t>variabil</w:t>
      </w:r>
      <w:r>
        <w:rPr>
          <w:rStyle w:val="CharStyle3"/>
          <w:lang w:val="en-US" w:eastAsia="en-US"/>
        </w:rPr>
        <w:softHyphen/>
        <w:t>ity</w:t>
      </w:r>
      <w:r>
        <w:rPr>
          <w:rStyle w:val="CharStyle3"/>
          <w:lang w:eastAsia="da-DK"/>
        </w:rPr>
        <w:t xml:space="preserve"> is most pronounced in the NSoG (cluster 4/red), which consistently shows </w:t>
      </w:r>
      <w:r>
        <w:rPr>
          <w:rStyle w:val="CharStyle3"/>
          <w:rFonts w:ascii="Cambria Math" w:hAnsi="Cambria Math" w:cs="Cambria Math"/>
          <w:lang w:eastAsia="da-DK"/>
        </w:rPr>
        <w:t>∼</w:t>
      </w:r>
      <w:r>
        <w:rPr>
          <w:rStyle w:val="CharStyle3"/>
          <w:lang w:eastAsia="da-DK"/>
        </w:rPr>
        <w:t xml:space="preserve"> 2 times higher wind energies in the winter months than in the summer months. In contrast, the CSoG (cluster 3/sky blue) shows the lowest variability </w:t>
      </w:r>
      <w:r>
        <w:rPr>
          <w:rStyle w:val="CharStyle3"/>
          <w:lang w:val="en-US" w:eastAsia="en-US"/>
        </w:rPr>
        <w:t>be</w:t>
      </w:r>
      <w:r>
        <w:rPr>
          <w:rStyle w:val="CharStyle3"/>
          <w:lang w:val="en-US" w:eastAsia="en-US"/>
        </w:rPr>
        <w:softHyphen/>
        <w:t>tween</w:t>
      </w:r>
      <w:r>
        <w:rPr>
          <w:rStyle w:val="CharStyle3"/>
          <w:lang w:eastAsia="da-DK"/>
        </w:rPr>
        <w:t xml:space="preserve"> summer and winter energy magnitudes. Summer wind energies are actually higher in the CSoG than in the NSoG, likely due to the long wind fetch length in the CSoG, as summer winds in the Salish Sea are predominantly northerly </w:t>
      </w:r>
      <w:hyperlink w:anchor="bookmark126" w:tooltip="Current Document" w:history="1">
        <w:r>
          <w:rPr>
            <w:rStyle w:val="CharStyle3"/>
            <w:lang w:eastAsia="da-DK"/>
          </w:rPr>
          <w:t>(Thomson, 1981;</w:t>
        </w:r>
      </w:hyperlink>
      <w:hyperlink w:anchor="bookmark101" w:tooltip="Current Document" w:history="1">
        <w:r>
          <w:rPr>
            <w:rStyle w:val="CharStyle3"/>
            <w:lang w:eastAsia="da-DK"/>
          </w:rPr>
          <w:t xml:space="preserve"> Moore-Maley and Allen, 2022)</w:t>
        </w:r>
      </w:hyperlink>
      <w:r>
        <w:rPr>
          <w:rStyle w:val="CharStyle3"/>
          <w:lang w:eastAsia="da-DK"/>
        </w:rPr>
        <w:t xml:space="preserve">. Average vertical eddy diffusivity is lowest in the CSoG (Fig. 7), likely owing to both high stratification and comparatively low tidal currents </w:t>
      </w:r>
      <w:hyperlink w:anchor="bookmark126" w:tooltip="Current Document" w:history="1">
        <w:r>
          <w:rPr>
            <w:rStyle w:val="CharStyle3"/>
            <w:lang w:eastAsia="da-DK"/>
          </w:rPr>
          <w:t>(Thomson, 1981)</w:t>
        </w:r>
      </w:hyperlink>
      <w:r>
        <w:rPr>
          <w:rStyle w:val="CharStyle3"/>
          <w:lang w:eastAsia="da-DK"/>
        </w:rPr>
        <w:t xml:space="preserve">, consistent with the historical idea of the Salish Sea as a system of relatively quiet basins </w:t>
      </w:r>
      <w:r>
        <w:rPr>
          <w:rStyle w:val="CharStyle3"/>
          <w:lang w:val="en-US" w:eastAsia="en-US"/>
        </w:rPr>
        <w:t>inter</w:t>
      </w:r>
      <w:r>
        <w:rPr>
          <w:rStyle w:val="CharStyle3"/>
          <w:lang w:val="en-US" w:eastAsia="en-US"/>
        </w:rPr>
        <w:softHyphen/>
        <w:t>connected</w:t>
      </w:r>
      <w:r>
        <w:rPr>
          <w:rStyle w:val="CharStyle3"/>
          <w:lang w:eastAsia="da-DK"/>
        </w:rPr>
        <w:t xml:space="preserve"> by dynamic sills </w:t>
      </w:r>
      <w:hyperlink w:anchor="bookmark69" w:tooltip="Current Document" w:history="1">
        <w:r>
          <w:rPr>
            <w:rStyle w:val="CharStyle3"/>
            <w:lang w:eastAsia="da-DK"/>
          </w:rPr>
          <w:t>(Ebbesmeyer and Barnes, 1980)</w:t>
        </w:r>
      </w:hyperlink>
      <w:r>
        <w:rPr>
          <w:rStyle w:val="CharStyle3"/>
          <w:lang w:eastAsia="da-DK"/>
        </w:rPr>
        <w:t>.</w:t>
      </w:r>
    </w:p>
    <w:p w14:paraId="74B3D01E" w14:textId="77777777" w:rsidR="0074324D" w:rsidRDefault="0074324D">
      <w:pPr>
        <w:pStyle w:val="Style15"/>
        <w:keepNext/>
        <w:keepLines/>
        <w:numPr>
          <w:ilvl w:val="1"/>
          <w:numId w:val="4"/>
        </w:numPr>
        <w:tabs>
          <w:tab w:val="left" w:pos="456"/>
        </w:tabs>
        <w:jc w:val="both"/>
        <w:rPr>
          <w:sz w:val="24"/>
          <w:szCs w:val="24"/>
        </w:rPr>
      </w:pPr>
      <w:bookmarkStart w:id="15" w:name="bookmark29"/>
      <w:r>
        <w:rPr>
          <w:rStyle w:val="CharStyle16"/>
          <w:lang w:eastAsia="da-DK"/>
        </w:rPr>
        <w:t>Northern Strait of Georgia</w:t>
      </w:r>
      <w:bookmarkEnd w:id="15"/>
    </w:p>
    <w:p w14:paraId="3143FC72"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As expected, the influence of the Fraser River is lower in the NSoG as the region is farther away from the river mouth (Fig. 3). The resulting lower stratification is reflected in deeper and more variable haloclines in all seasons (on av</w:t>
      </w:r>
      <w:r>
        <w:rPr>
          <w:rStyle w:val="CharStyle3"/>
          <w:lang w:eastAsia="da-DK"/>
        </w:rPr>
        <w:softHyphen/>
        <w:t xml:space="preserve">erage, </w:t>
      </w:r>
      <w:r>
        <w:rPr>
          <w:rStyle w:val="CharStyle3"/>
          <w:rFonts w:ascii="Cambria Math" w:hAnsi="Cambria Math" w:cs="Cambria Math"/>
          <w:lang w:eastAsia="da-DK"/>
        </w:rPr>
        <w:t>∼</w:t>
      </w:r>
      <w:r>
        <w:rPr>
          <w:rStyle w:val="CharStyle3"/>
          <w:lang w:eastAsia="da-DK"/>
        </w:rPr>
        <w:t xml:space="preserve"> 10 m in summer to </w:t>
      </w:r>
      <w:r>
        <w:rPr>
          <w:rStyle w:val="CharStyle3"/>
          <w:rFonts w:ascii="Cambria Math" w:hAnsi="Cambria Math" w:cs="Cambria Math"/>
          <w:lang w:eastAsia="da-DK"/>
        </w:rPr>
        <w:t>∼</w:t>
      </w:r>
      <w:r>
        <w:rPr>
          <w:rStyle w:val="CharStyle3"/>
          <w:lang w:eastAsia="da-DK"/>
        </w:rPr>
        <w:t xml:space="preserve"> 20 m in winter) (Fig. 4). A striking feature in the clustering of the freshwater index sig</w:t>
      </w:r>
      <w:r>
        <w:rPr>
          <w:rStyle w:val="CharStyle3"/>
          <w:lang w:eastAsia="da-DK"/>
        </w:rPr>
        <w:softHyphen/>
        <w:t xml:space="preserve">nal and halocline signals in the NSoG and the CSoG is the dissimilarity of the year 2016 to other years, reflected in a lower cluster persistence metric in this year (Fig. C2). </w:t>
      </w:r>
      <w:r>
        <w:rPr>
          <w:rStyle w:val="CharStyle3"/>
          <w:lang w:val="en-US" w:eastAsia="en-US"/>
        </w:rPr>
        <w:t>Max</w:t>
      </w:r>
      <w:r>
        <w:rPr>
          <w:rStyle w:val="CharStyle3"/>
          <w:lang w:val="en-US" w:eastAsia="en-US"/>
        </w:rPr>
        <w:softHyphen/>
        <w:t>imum</w:t>
      </w:r>
      <w:r>
        <w:rPr>
          <w:rStyle w:val="CharStyle3"/>
          <w:lang w:eastAsia="da-DK"/>
        </w:rPr>
        <w:t xml:space="preserve"> Fraser River discharge (freshet) during 2016 was </w:t>
      </w:r>
      <w:r>
        <w:rPr>
          <w:rStyle w:val="CharStyle3"/>
          <w:lang w:val="en-US" w:eastAsia="en-US"/>
        </w:rPr>
        <w:t>re</w:t>
      </w:r>
      <w:r>
        <w:rPr>
          <w:rStyle w:val="CharStyle3"/>
          <w:lang w:val="en-US" w:eastAsia="en-US"/>
        </w:rPr>
        <w:softHyphen/>
        <w:t>markably</w:t>
      </w:r>
      <w:r>
        <w:rPr>
          <w:rStyle w:val="CharStyle3"/>
          <w:lang w:eastAsia="da-DK"/>
        </w:rPr>
        <w:t xml:space="preserve"> low, in the lowest quartile of discharge on record, reaching only </w:t>
      </w:r>
      <w:r>
        <w:rPr>
          <w:rStyle w:val="CharStyle3"/>
          <w:rFonts w:ascii="Cambria Math" w:hAnsi="Cambria Math" w:cs="Cambria Math"/>
          <w:lang w:eastAsia="da-DK"/>
        </w:rPr>
        <w:t>∼</w:t>
      </w:r>
      <w:r>
        <w:rPr>
          <w:rStyle w:val="CharStyle3"/>
          <w:lang w:eastAsia="da-DK"/>
        </w:rPr>
        <w:t xml:space="preserve"> 8000 m</w:t>
      </w:r>
      <w:r>
        <w:rPr>
          <w:rStyle w:val="CharStyle3"/>
          <w:vertAlign w:val="superscript"/>
          <w:lang w:eastAsia="da-DK"/>
        </w:rPr>
        <w:t>3</w:t>
      </w:r>
      <w:r>
        <w:rPr>
          <w:rStyle w:val="CharStyle3"/>
          <w:lang w:eastAsia="da-DK"/>
        </w:rPr>
        <w:t xml:space="preserve"> s</w:t>
      </w:r>
      <w:r>
        <w:rPr>
          <w:rStyle w:val="CharStyle3"/>
          <w:sz w:val="13"/>
          <w:szCs w:val="13"/>
          <w:vertAlign w:val="superscript"/>
          <w:lang w:eastAsia="da-DK"/>
        </w:rPr>
        <w:t>-</w:t>
      </w:r>
      <w:r>
        <w:rPr>
          <w:rStyle w:val="CharStyle3"/>
          <w:vertAlign w:val="superscript"/>
          <w:lang w:eastAsia="da-DK"/>
        </w:rPr>
        <w:t>1</w:t>
      </w:r>
      <w:r>
        <w:rPr>
          <w:rStyle w:val="CharStyle3"/>
          <w:lang w:eastAsia="da-DK"/>
        </w:rPr>
        <w:t>, or roughly 2</w:t>
      </w:r>
      <w:r>
        <w:rPr>
          <w:rStyle w:val="CharStyle3"/>
          <w:sz w:val="16"/>
          <w:szCs w:val="16"/>
          <w:lang w:eastAsia="da-DK"/>
        </w:rPr>
        <w:t>/</w:t>
      </w:r>
      <w:r>
        <w:rPr>
          <w:rStyle w:val="CharStyle3"/>
          <w:lang w:eastAsia="da-DK"/>
        </w:rPr>
        <w:t xml:space="preserve">3 of the </w:t>
      </w:r>
      <w:r>
        <w:rPr>
          <w:rStyle w:val="CharStyle3"/>
          <w:lang w:val="en-US" w:eastAsia="en-US"/>
        </w:rPr>
        <w:t>mag</w:t>
      </w:r>
      <w:r>
        <w:rPr>
          <w:rStyle w:val="CharStyle3"/>
          <w:lang w:val="en-US" w:eastAsia="en-US"/>
        </w:rPr>
        <w:softHyphen/>
        <w:t>nitude</w:t>
      </w:r>
      <w:r>
        <w:rPr>
          <w:rStyle w:val="CharStyle3"/>
          <w:lang w:eastAsia="da-DK"/>
        </w:rPr>
        <w:t xml:space="preserve"> of the 2013–</w:t>
      </w:r>
      <w:r>
        <w:rPr>
          <w:rStyle w:val="CharStyle3"/>
          <w:lang w:eastAsia="da-DK"/>
        </w:rPr>
        <w:t>2014 freshets, which were both in the highest quartile (Fig.</w:t>
      </w:r>
      <w:hyperlink w:anchor="bookmark60" w:tooltip="Current Document" w:history="1">
        <w:r>
          <w:rPr>
            <w:rStyle w:val="CharStyle3"/>
            <w:lang w:eastAsia="da-DK"/>
          </w:rPr>
          <w:t xml:space="preserve"> C3)</w:t>
        </w:r>
      </w:hyperlink>
      <w:r>
        <w:rPr>
          <w:rStyle w:val="CharStyle3"/>
          <w:lang w:eastAsia="da-DK"/>
        </w:rPr>
        <w:t xml:space="preserve">. Interestingly, the mean </w:t>
      </w:r>
      <w:r>
        <w:rPr>
          <w:rStyle w:val="CharStyle3"/>
          <w:lang w:val="en-US" w:eastAsia="en-US"/>
        </w:rPr>
        <w:t>freshwa</w:t>
      </w:r>
      <w:r>
        <w:rPr>
          <w:rStyle w:val="CharStyle3"/>
          <w:lang w:val="en-US" w:eastAsia="en-US"/>
        </w:rPr>
        <w:softHyphen/>
        <w:t>ter</w:t>
      </w:r>
      <w:r>
        <w:rPr>
          <w:rStyle w:val="CharStyle3"/>
          <w:lang w:eastAsia="da-DK"/>
        </w:rPr>
        <w:t xml:space="preserve"> index signal for each cluster in 2016 remains similar to the means for other years, as does the spatial extent of the most river-influenced cluster (cluster 1/gold), but the medium freshwater-influenced clusters (cluster 2/grey, cluster 3/sky blue) extend less far from the river mouth. As a result, the NSoG clusters with JdF in this year.</w:t>
      </w:r>
    </w:p>
    <w:p w14:paraId="18388166" w14:textId="77777777" w:rsidR="0074324D" w:rsidRDefault="0074324D">
      <w:pPr>
        <w:pStyle w:val="Style15"/>
        <w:keepNext/>
        <w:keepLines/>
        <w:numPr>
          <w:ilvl w:val="1"/>
          <w:numId w:val="4"/>
        </w:numPr>
        <w:tabs>
          <w:tab w:val="left" w:pos="456"/>
        </w:tabs>
        <w:jc w:val="both"/>
        <w:rPr>
          <w:sz w:val="24"/>
          <w:szCs w:val="24"/>
        </w:rPr>
      </w:pPr>
      <w:bookmarkStart w:id="16" w:name="bookmark31"/>
      <w:r>
        <w:rPr>
          <w:rStyle w:val="CharStyle16"/>
          <w:lang w:eastAsia="da-DK"/>
        </w:rPr>
        <w:t>Juan de Fuca Strait</w:t>
      </w:r>
      <w:bookmarkEnd w:id="16"/>
    </w:p>
    <w:p w14:paraId="4AC8F3AE"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 xml:space="preserve">Dynamics in Juan de Fuca Strait are broadly characterized by limited local freshwater influence, though a small increase in freshwater index is visible in the summer months (Figs. 3, 6), in part because of the surface advection of freshet-driven water from the CSoG due to the estuarine circulation </w:t>
      </w:r>
      <w:hyperlink w:anchor="bookmark129" w:tooltip="Current Document" w:history="1">
        <w:r>
          <w:rPr>
            <w:rStyle w:val="CharStyle3"/>
            <w:lang w:val="en-US" w:eastAsia="en-US"/>
          </w:rPr>
          <w:t>(Thom</w:t>
        </w:r>
        <w:r>
          <w:rPr>
            <w:rStyle w:val="CharStyle3"/>
            <w:lang w:val="en-US" w:eastAsia="en-US"/>
          </w:rPr>
          <w:softHyphen/>
        </w:r>
      </w:hyperlink>
      <w:hyperlink w:anchor="bookmark129" w:tooltip="Current Document" w:history="1">
        <w:r>
          <w:rPr>
            <w:rStyle w:val="CharStyle3"/>
            <w:lang w:val="en-US" w:eastAsia="en-US"/>
          </w:rPr>
          <w:t>son</w:t>
        </w:r>
        <w:r>
          <w:rPr>
            <w:rStyle w:val="CharStyle3"/>
            <w:lang w:eastAsia="da-DK"/>
          </w:rPr>
          <w:t xml:space="preserve"> et al., 2007)</w:t>
        </w:r>
      </w:hyperlink>
      <w:r>
        <w:rPr>
          <w:rStyle w:val="CharStyle3"/>
          <w:lang w:eastAsia="da-DK"/>
        </w:rPr>
        <w:t xml:space="preserve">. The limited freshwater stratification, </w:t>
      </w:r>
      <w:r>
        <w:rPr>
          <w:rStyle w:val="CharStyle3"/>
          <w:lang w:val="en-US" w:eastAsia="en-US"/>
        </w:rPr>
        <w:t>ac</w:t>
      </w:r>
      <w:r>
        <w:rPr>
          <w:rStyle w:val="CharStyle3"/>
          <w:lang w:val="en-US" w:eastAsia="en-US"/>
        </w:rPr>
        <w:softHyphen/>
        <w:t>companied</w:t>
      </w:r>
      <w:r>
        <w:rPr>
          <w:rStyle w:val="CharStyle3"/>
          <w:lang w:eastAsia="da-DK"/>
        </w:rPr>
        <w:t xml:space="preserve"> by a large tidal range, results in deep and vari</w:t>
      </w:r>
      <w:r>
        <w:rPr>
          <w:rStyle w:val="CharStyle3"/>
          <w:lang w:eastAsia="da-DK"/>
        </w:rPr>
        <w:softHyphen/>
        <w:t xml:space="preserve">able haloclines (Fig. 4). </w:t>
      </w:r>
      <w:r>
        <w:rPr>
          <w:rStyle w:val="CharStyle3"/>
          <w:lang w:eastAsia="da-DK"/>
        </w:rPr>
        <w:t xml:space="preserve">The larger tidal velocities here are also reflected in slightly higher water-column-averaged VED (Fig. 7). Interestingly, in 2015, the VED in much of JdF </w:t>
      </w:r>
      <w:r>
        <w:rPr>
          <w:rStyle w:val="CharStyle3"/>
          <w:lang w:val="en-US" w:eastAsia="en-US"/>
        </w:rPr>
        <w:t>clus</w:t>
      </w:r>
      <w:r>
        <w:rPr>
          <w:rStyle w:val="CharStyle3"/>
          <w:lang w:val="en-US" w:eastAsia="en-US"/>
        </w:rPr>
        <w:softHyphen/>
        <w:t>ters</w:t>
      </w:r>
      <w:r>
        <w:rPr>
          <w:rStyle w:val="CharStyle3"/>
          <w:lang w:eastAsia="da-DK"/>
        </w:rPr>
        <w:t xml:space="preserve"> with the SoG, possibly due to the inhibition of water col</w:t>
      </w:r>
      <w:r>
        <w:rPr>
          <w:rStyle w:val="CharStyle3"/>
          <w:lang w:eastAsia="da-DK"/>
        </w:rPr>
        <w:softHyphen/>
        <w:t xml:space="preserve">umn mixing by higher thermal stratification of the system due to the significant marine heatwave in the North Pacific in the years 2013–2015 </w:t>
      </w:r>
      <w:hyperlink w:anchor="bookmark77" w:tooltip="Current Document" w:history="1">
        <w:r>
          <w:rPr>
            <w:rStyle w:val="CharStyle3"/>
            <w:lang w:eastAsia="da-DK"/>
          </w:rPr>
          <w:t>(Gentemann et al., 2017)</w:t>
        </w:r>
      </w:hyperlink>
      <w:r>
        <w:rPr>
          <w:rStyle w:val="CharStyle3"/>
          <w:lang w:eastAsia="da-DK"/>
        </w:rPr>
        <w:t xml:space="preserve">, whose effects were most pronounced in the Salish Sea in 2015 </w:t>
      </w:r>
      <w:hyperlink w:anchor="bookmark85" w:tooltip="Current Document" w:history="1">
        <w:r>
          <w:rPr>
            <w:rStyle w:val="CharStyle3"/>
            <w:lang w:eastAsia="da-DK"/>
          </w:rPr>
          <w:t>(Chandler</w:t>
        </w:r>
      </w:hyperlink>
      <w:r>
        <w:rPr>
          <w:rStyle w:val="CharStyle3"/>
          <w:lang w:eastAsia="da-DK"/>
        </w:rPr>
        <w:t xml:space="preserve"> </w:t>
      </w:r>
      <w:hyperlink w:anchor="bookmark85" w:tooltip="Current Document" w:history="1">
        <w:r>
          <w:rPr>
            <w:rStyle w:val="CharStyle3"/>
            <w:lang w:eastAsia="da-DK"/>
          </w:rPr>
          <w:t>et al., 2016)</w:t>
        </w:r>
      </w:hyperlink>
      <w:r>
        <w:rPr>
          <w:rStyle w:val="CharStyle3"/>
          <w:lang w:eastAsia="da-DK"/>
        </w:rPr>
        <w:t>. The dissimilarity of the year 2015 to other years is reflected in the cluster persistence metric (Fig. C2).</w:t>
      </w:r>
    </w:p>
    <w:p w14:paraId="1A393AF2" w14:textId="77777777" w:rsidR="0074324D" w:rsidRDefault="0074324D">
      <w:pPr>
        <w:pStyle w:val="Style15"/>
        <w:keepNext/>
        <w:keepLines/>
        <w:numPr>
          <w:ilvl w:val="1"/>
          <w:numId w:val="4"/>
        </w:numPr>
        <w:tabs>
          <w:tab w:val="left" w:pos="456"/>
        </w:tabs>
        <w:jc w:val="both"/>
        <w:rPr>
          <w:sz w:val="24"/>
          <w:szCs w:val="24"/>
        </w:rPr>
      </w:pPr>
      <w:bookmarkStart w:id="17" w:name="bookmark33"/>
      <w:r>
        <w:rPr>
          <w:rStyle w:val="CharStyle16"/>
          <w:lang w:eastAsia="da-DK"/>
        </w:rPr>
        <w:t>Tidal mixing hotspots</w:t>
      </w:r>
      <w:bookmarkEnd w:id="17"/>
    </w:p>
    <w:p w14:paraId="20971C80"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 xml:space="preserve">Water-column-averaged vertical eddy diffusivity in the Sal- ish Sea is dominated by tidal mixing activity </w:t>
      </w:r>
      <w:hyperlink w:anchor="bookmark90" w:tooltip="Current Document" w:history="1">
        <w:r>
          <w:rPr>
            <w:rStyle w:val="CharStyle3"/>
            <w:lang w:eastAsia="da-DK"/>
          </w:rPr>
          <w:t>(Crean, 1978)</w:t>
        </w:r>
      </w:hyperlink>
      <w:r>
        <w:rPr>
          <w:rStyle w:val="CharStyle3"/>
          <w:lang w:eastAsia="da-DK"/>
        </w:rPr>
        <w:t xml:space="preserve">, allowing clustering VED to uncover dominant tidal hotspots. VED varies by 3 orders of magnitude in the model domain (Fig. 7). As expected, this metric reaches its maximum in the Haro Strait region, as well as in parts of Puget Sound, for </w:t>
      </w:r>
      <w:r>
        <w:rPr>
          <w:rStyle w:val="CharStyle3"/>
          <w:lang w:val="en-US" w:eastAsia="en-US"/>
        </w:rPr>
        <w:t>ex</w:t>
      </w:r>
      <w:r>
        <w:rPr>
          <w:rStyle w:val="CharStyle3"/>
          <w:lang w:val="en-US" w:eastAsia="en-US"/>
        </w:rPr>
        <w:softHyphen/>
        <w:t>ample</w:t>
      </w:r>
      <w:r>
        <w:rPr>
          <w:rStyle w:val="CharStyle3"/>
          <w:lang w:eastAsia="da-DK"/>
        </w:rPr>
        <w:t xml:space="preserve"> in Admiralty Inlet, near known tidal mixing hotspots </w:t>
      </w:r>
      <w:hyperlink w:anchor="bookmark69" w:tooltip="Current Document" w:history="1">
        <w:r>
          <w:rPr>
            <w:rStyle w:val="CharStyle3"/>
            <w:lang w:eastAsia="da-DK"/>
          </w:rPr>
          <w:t>(Ebbesmeyer and Barnes, 1980</w:t>
        </w:r>
      </w:hyperlink>
      <w:r>
        <w:rPr>
          <w:rStyle w:val="CharStyle3"/>
          <w:lang w:eastAsia="da-DK"/>
        </w:rPr>
        <w:t>;</w:t>
      </w:r>
      <w:hyperlink w:anchor="bookmark102" w:tooltip="Current Document" w:history="1">
        <w:r>
          <w:rPr>
            <w:rStyle w:val="CharStyle3"/>
            <w:lang w:eastAsia="da-DK"/>
          </w:rPr>
          <w:t xml:space="preserve"> LeBlond, 1983;</w:t>
        </w:r>
      </w:hyperlink>
      <w:hyperlink w:anchor="bookmark99" w:tooltip="Current Document" w:history="1">
        <w:r>
          <w:rPr>
            <w:rStyle w:val="CharStyle3"/>
            <w:lang w:eastAsia="da-DK"/>
          </w:rPr>
          <w:t xml:space="preserve"> Moore et al.,</w:t>
        </w:r>
      </w:hyperlink>
      <w:r>
        <w:rPr>
          <w:rStyle w:val="CharStyle3"/>
          <w:lang w:eastAsia="da-DK"/>
        </w:rPr>
        <w:t xml:space="preserve"> </w:t>
      </w:r>
      <w:hyperlink w:anchor="bookmark99" w:tooltip="Current Document" w:history="1">
        <w:r>
          <w:rPr>
            <w:rStyle w:val="CharStyle3"/>
            <w:lang w:eastAsia="da-DK"/>
          </w:rPr>
          <w:t>2008</w:t>
        </w:r>
      </w:hyperlink>
      <w:r>
        <w:rPr>
          <w:rStyle w:val="CharStyle3"/>
          <w:lang w:eastAsia="da-DK"/>
        </w:rPr>
        <w:t>;</w:t>
      </w:r>
      <w:hyperlink w:anchor="bookmark94" w:tooltip="Current Document" w:history="1">
        <w:r>
          <w:rPr>
            <w:rStyle w:val="CharStyle3"/>
            <w:lang w:eastAsia="da-DK"/>
          </w:rPr>
          <w:t xml:space="preserve"> Deppe et al., 2018)</w:t>
        </w:r>
      </w:hyperlink>
      <w:r>
        <w:rPr>
          <w:rStyle w:val="CharStyle3"/>
          <w:lang w:eastAsia="da-DK"/>
        </w:rPr>
        <w:t>. Two stations in northern Johnstone Strait and the Discovery Passage region also exhibit height-</w:t>
      </w:r>
      <w:r>
        <w:rPr>
          <w:rFonts w:ascii="Times New Roman" w:hAnsi="Times New Roman" w:cs="Times New Roman"/>
          <w:sz w:val="24"/>
          <w:szCs w:val="24"/>
        </w:rPr>
        <w:br w:type="page"/>
      </w:r>
    </w:p>
    <w:p w14:paraId="602D1205" w14:textId="3458B2C0" w:rsidR="0074324D" w:rsidRDefault="0074324D">
      <w:pPr>
        <w:pStyle w:val="Style2"/>
        <w:jc w:val="both"/>
        <w:rPr>
          <w:rFonts w:ascii="Times New Roman" w:hAnsi="Times New Roman" w:cs="Times New Roman"/>
          <w:sz w:val="24"/>
          <w:szCs w:val="24"/>
        </w:rPr>
      </w:pPr>
      <w:r>
        <w:rPr>
          <w:noProof/>
        </w:rPr>
        <w:lastRenderedPageBreak/>
        <w:drawing>
          <wp:anchor distT="0" distB="1164590" distL="434975" distR="432435" simplePos="0" relativeHeight="251662336" behindDoc="1" locked="0" layoutInCell="1" allowOverlap="1" wp14:anchorId="65EADCD9" wp14:editId="65241579">
            <wp:simplePos x="0" y="0"/>
            <wp:positionH relativeFrom="margin">
              <wp:posOffset>334645</wp:posOffset>
            </wp:positionH>
            <wp:positionV relativeFrom="margin">
              <wp:posOffset>368300</wp:posOffset>
            </wp:positionV>
            <wp:extent cx="5762625" cy="5740400"/>
            <wp:effectExtent l="0" t="0" r="0" b="0"/>
            <wp:wrapTopAndBottom/>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57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3360" behindDoc="0" locked="0" layoutInCell="1" allowOverlap="1" wp14:anchorId="7E2752FC" wp14:editId="18E087BB">
                <wp:simplePos x="0" y="0"/>
                <wp:positionH relativeFrom="margin">
                  <wp:posOffset>13970</wp:posOffset>
                </wp:positionH>
                <wp:positionV relativeFrom="margin">
                  <wp:posOffset>6225540</wp:posOffset>
                </wp:positionV>
                <wp:extent cx="6400800" cy="869950"/>
                <wp:effectExtent l="0" t="0" r="635" b="0"/>
                <wp:wrapNone/>
                <wp:docPr id="1536333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4174" w14:textId="77777777" w:rsidR="0074324D" w:rsidRDefault="0074324D">
                            <w:pPr>
                              <w:pStyle w:val="Style7"/>
                              <w:jc w:val="both"/>
                              <w:rPr>
                                <w:rFonts w:ascii="Times New Roman" w:hAnsi="Times New Roman" w:cs="Times New Roman"/>
                                <w:sz w:val="24"/>
                                <w:szCs w:val="24"/>
                              </w:rPr>
                            </w:pPr>
                            <w:r>
                              <w:rPr>
                                <w:rStyle w:val="CharStyle8"/>
                                <w:lang w:eastAsia="da-DK"/>
                              </w:rPr>
                              <w:t>Figure 3. Clustering of the freshwater index signal (Sect. 2.2). As expected, areas near the mouth of the Fraser River have the highest freshwater index, with the freshwater plume turning north due to the Coriolis force, and the index decreases in bands from this maximum. An elevated freshwater index can also be seen in the vicinity of the Skagit River in Puget Sound and at the head of Toba Inlet, Bute Inlet, and Howe Sound, which contain glacial rivers. The magnitude of the freshwater index in the differen</w:t>
                            </w:r>
                            <w:r>
                              <w:rPr>
                                <w:rStyle w:val="CharStyle8"/>
                                <w:lang w:eastAsia="da-DK"/>
                              </w:rPr>
                              <w:t>t clusters does not vary significantly interannually, but the spatial extent is diminished in the year 2016, which had the lowest freshet magnitude of the 4 years. In all clusters, the freshwater index peaks at the same time as the Fraser freshet does for a given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52FC" id="Text Box 18" o:spid="_x0000_s1028" type="#_x0000_t202" style="position:absolute;left:0;text-align:left;margin-left:1.1pt;margin-top:490.2pt;width:7in;height:68.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" filled="f" stroked="f">
                <v:textbox inset="0,0,0,0">
                  <w:txbxContent>
                    <w:p w14:paraId="2B754174" w14:textId="77777777" w:rsidR="0074324D" w:rsidRDefault="0074324D">
                      <w:pPr>
                        <w:pStyle w:val="Style7"/>
                        <w:jc w:val="both"/>
                        <w:rPr>
                          <w:rFonts w:ascii="Times New Roman" w:hAnsi="Times New Roman" w:cs="Times New Roman"/>
                          <w:sz w:val="24"/>
                          <w:szCs w:val="24"/>
                        </w:rPr>
                      </w:pPr>
                      <w:r>
                        <w:rPr>
                          <w:rStyle w:val="CharStyle8"/>
                          <w:lang w:eastAsia="da-DK"/>
                        </w:rPr>
                        <w:t>Figure 3. Clustering of the freshwater index signal (Sect. 2.2). As expected, areas near the mouth of the Fraser River have the highest freshwater index, with the freshwater plume turning north due to the Coriolis force, and the index decreases in bands from this maximum. An elevated freshwater index can also be seen in the vicinity of the Skagit River in Puget Sound and at the head of Toba Inlet, Bute Inlet, and Howe Sound, which contain glacial rivers. The magnitude of the freshwater index in the differen</w:t>
                      </w:r>
                      <w:r>
                        <w:rPr>
                          <w:rStyle w:val="CharStyle8"/>
                          <w:lang w:eastAsia="da-DK"/>
                        </w:rPr>
                        <w:t>t clusters does not vary significantly interannually, but the spatial extent is diminished in the year 2016, which had the lowest freshet magnitude of the 4 years. In all clusters, the freshwater index peaks at the same time as the Fraser freshet does for a given year.</w:t>
                      </w:r>
                    </w:p>
                  </w:txbxContent>
                </v:textbox>
                <w10:wrap anchorx="margin" anchory="margin"/>
              </v:shape>
            </w:pict>
          </mc:Fallback>
        </mc:AlternateContent>
      </w:r>
      <w:r>
        <w:rPr>
          <w:rStyle w:val="CharStyle3"/>
          <w:lang w:eastAsia="da-DK"/>
        </w:rPr>
        <w:t xml:space="preserve">ened VED in all 4 years, consistent with the high observed tidal velocities near Seymour Narrows in this region </w:t>
      </w:r>
      <w:hyperlink w:anchor="bookmark126" w:tooltip="Current Document" w:history="1">
        <w:r>
          <w:rPr>
            <w:rStyle w:val="CharStyle3"/>
            <w:lang w:val="en-US" w:eastAsia="en-US"/>
          </w:rPr>
          <w:t>(Thom</w:t>
        </w:r>
        <w:r>
          <w:rPr>
            <w:rStyle w:val="CharStyle3"/>
            <w:lang w:val="en-US" w:eastAsia="en-US"/>
          </w:rPr>
          <w:softHyphen/>
        </w:r>
      </w:hyperlink>
      <w:hyperlink w:anchor="bookmark126" w:tooltip="Current Document" w:history="1">
        <w:r>
          <w:rPr>
            <w:rStyle w:val="CharStyle3"/>
            <w:lang w:val="en-US" w:eastAsia="en-US"/>
          </w:rPr>
          <w:t>son,</w:t>
        </w:r>
        <w:r>
          <w:rPr>
            <w:rStyle w:val="CharStyle3"/>
            <w:lang w:eastAsia="da-DK"/>
          </w:rPr>
          <w:t xml:space="preserve"> 1981)</w:t>
        </w:r>
      </w:hyperlink>
      <w:r>
        <w:rPr>
          <w:rStyle w:val="CharStyle3"/>
          <w:lang w:eastAsia="da-DK"/>
        </w:rPr>
        <w:t xml:space="preserve">. Fourier analysis of the annual vertical eddy </w:t>
      </w:r>
      <w:r>
        <w:rPr>
          <w:rStyle w:val="CharStyle3"/>
          <w:lang w:val="en-US" w:eastAsia="en-US"/>
        </w:rPr>
        <w:t>dif</w:t>
      </w:r>
      <w:r>
        <w:rPr>
          <w:rStyle w:val="CharStyle3"/>
          <w:lang w:val="en-US" w:eastAsia="en-US"/>
        </w:rPr>
        <w:softHyphen/>
        <w:t>fusivity</w:t>
      </w:r>
      <w:r>
        <w:rPr>
          <w:rStyle w:val="CharStyle3"/>
          <w:lang w:eastAsia="da-DK"/>
        </w:rPr>
        <w:t xml:space="preserve"> signals also shows local maxima in energy at weekly and fortnightly frequency (not shown) in all 4 years in all five clusters, consistent with the role of tides as the dominant source of mixing energy in the system </w:t>
      </w:r>
      <w:hyperlink w:anchor="bookmark90" w:tooltip="Current Document" w:history="1">
        <w:r>
          <w:rPr>
            <w:rStyle w:val="CharStyle3"/>
            <w:lang w:eastAsia="da-DK"/>
          </w:rPr>
          <w:t>(Crean, 1978)</w:t>
        </w:r>
      </w:hyperlink>
      <w:r>
        <w:rPr>
          <w:rStyle w:val="CharStyle3"/>
          <w:lang w:eastAsia="da-DK"/>
        </w:rPr>
        <w:t>.</w:t>
      </w:r>
    </w:p>
    <w:p w14:paraId="3C193A82" w14:textId="77777777" w:rsidR="0074324D" w:rsidRDefault="0074324D">
      <w:pPr>
        <w:pStyle w:val="Style2"/>
        <w:ind w:firstLine="200"/>
        <w:jc w:val="both"/>
        <w:rPr>
          <w:rFonts w:ascii="Times New Roman" w:hAnsi="Times New Roman" w:cs="Times New Roman"/>
          <w:sz w:val="24"/>
          <w:szCs w:val="24"/>
        </w:rPr>
      </w:pPr>
      <w:r>
        <w:rPr>
          <w:rStyle w:val="CharStyle3"/>
          <w:lang w:eastAsia="da-DK"/>
        </w:rPr>
        <w:t>The by-cluster seasonally averaged means and standard deviations of average VED are consistent interannually (Figs. 6, 7). The same three stations in the San Juan islands (cluster 4/red) report the highest VED in all 4 analyzed years, exhibiting maxima that are almost a factor of 2 larger than the next-largest signal (cluster 2/grey). In the highly vari</w:t>
      </w:r>
      <w:r>
        <w:rPr>
          <w:rStyle w:val="CharStyle3"/>
          <w:lang w:eastAsia="da-DK"/>
        </w:rPr>
        <w:softHyphen/>
        <w:t xml:space="preserve">able Haro Strait and Johnstone Strait regions, the spatial </w:t>
      </w:r>
      <w:r>
        <w:rPr>
          <w:rStyle w:val="CharStyle3"/>
          <w:lang w:val="en-US" w:eastAsia="en-US"/>
        </w:rPr>
        <w:t>fre</w:t>
      </w:r>
      <w:r>
        <w:rPr>
          <w:rStyle w:val="CharStyle3"/>
          <w:lang w:val="en-US" w:eastAsia="en-US"/>
        </w:rPr>
        <w:softHyphen/>
        <w:t>quency</w:t>
      </w:r>
      <w:r>
        <w:rPr>
          <w:rStyle w:val="CharStyle3"/>
          <w:lang w:eastAsia="da-DK"/>
        </w:rPr>
        <w:t xml:space="preserve"> of our sampling </w:t>
      </w:r>
      <w:r>
        <w:rPr>
          <w:rStyle w:val="CharStyle3"/>
          <w:lang w:eastAsia="da-DK"/>
        </w:rPr>
        <w:t>likely plays a role in our derived</w:t>
      </w:r>
      <w:r>
        <w:rPr>
          <w:rFonts w:ascii="Times New Roman" w:hAnsi="Times New Roman" w:cs="Times New Roman"/>
          <w:sz w:val="24"/>
          <w:szCs w:val="24"/>
        </w:rPr>
        <w:br w:type="page"/>
      </w:r>
    </w:p>
    <w:p w14:paraId="2EE66E43" w14:textId="40937E86" w:rsidR="0074324D" w:rsidRDefault="0074324D">
      <w:pPr>
        <w:pStyle w:val="Style2"/>
        <w:spacing w:after="200"/>
        <w:jc w:val="both"/>
        <w:rPr>
          <w:rFonts w:ascii="Times New Roman" w:hAnsi="Times New Roman" w:cs="Times New Roman"/>
          <w:sz w:val="24"/>
          <w:szCs w:val="24"/>
        </w:rPr>
      </w:pPr>
      <w:r>
        <w:rPr>
          <w:noProof/>
        </w:rPr>
        <w:lastRenderedPageBreak/>
        <w:drawing>
          <wp:anchor distT="0" distB="1164590" distL="434975" distR="429260" simplePos="0" relativeHeight="251664384" behindDoc="1" locked="0" layoutInCell="1" allowOverlap="1" wp14:anchorId="45A78BCD" wp14:editId="4DAB52C7">
            <wp:simplePos x="0" y="0"/>
            <wp:positionH relativeFrom="margin">
              <wp:posOffset>332740</wp:posOffset>
            </wp:positionH>
            <wp:positionV relativeFrom="margin">
              <wp:posOffset>368300</wp:posOffset>
            </wp:positionV>
            <wp:extent cx="5765165" cy="5728970"/>
            <wp:effectExtent l="0" t="0" r="0" b="0"/>
            <wp:wrapTopAndBottom/>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165" cy="57289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5408" behindDoc="0" locked="0" layoutInCell="1" allowOverlap="1" wp14:anchorId="47AB13DC" wp14:editId="77359935">
                <wp:simplePos x="0" y="0"/>
                <wp:positionH relativeFrom="margin">
                  <wp:posOffset>12065</wp:posOffset>
                </wp:positionH>
                <wp:positionV relativeFrom="margin">
                  <wp:posOffset>6214110</wp:posOffset>
                </wp:positionV>
                <wp:extent cx="6400800" cy="869950"/>
                <wp:effectExtent l="0" t="0" r="2540" b="0"/>
                <wp:wrapNone/>
                <wp:docPr id="1859417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05E5" w14:textId="77777777" w:rsidR="0074324D" w:rsidRDefault="0074324D">
                            <w:pPr>
                              <w:pStyle w:val="Style7"/>
                              <w:jc w:val="both"/>
                              <w:rPr>
                                <w:rFonts w:ascii="Times New Roman" w:hAnsi="Times New Roman" w:cs="Times New Roman"/>
                                <w:sz w:val="24"/>
                                <w:szCs w:val="24"/>
                              </w:rPr>
                            </w:pPr>
                            <w:r>
                              <w:rPr>
                                <w:rStyle w:val="CharStyle8"/>
                                <w:lang w:eastAsia="da-DK"/>
                              </w:rPr>
                              <w:t>Figure 4. Clustering of the halocline signal, defined as the depth of the maximum salinity gradient. The largest region (cluster 3, light blue)</w:t>
                            </w:r>
                            <w:r>
                              <w:rPr>
                                <w:rStyle w:val="CharStyle8"/>
                                <w:lang w:eastAsia="da-DK"/>
                              </w:rPr>
                              <w:t xml:space="preserve"> is the freshwater influenced CSoG, with shallow (&lt; 10 m) haloclines and limited variability between seasons. Similar halocline dynamics are seen in Puget Sound and at the head of Toba Inlet, Bute Inlet, and Howe Sound, which contain glacial rivers. Significantly deeper and more variable haloclines are found in the NSoG (cluster 4, red), commonly deeper than 40 m in winter. The deepest and most spatially variable haloclines occur in the center of the JdF (clusters 1, 2, and 5), with nearshore regions of the</w:t>
                            </w:r>
                            <w:r>
                              <w:rPr>
                                <w:rStyle w:val="CharStyle8"/>
                                <w:lang w:eastAsia="da-DK"/>
                              </w:rPr>
                              <w:t xml:space="preserve"> JdF clustering with the NSoG in most years (cluster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13DC" id="Text Box 20" o:spid="_x0000_s1029" type="#_x0000_t202" style="position:absolute;left:0;text-align:left;margin-left:.95pt;margin-top:489.3pt;width:7in;height:68.5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" filled="f" stroked="f">
                <v:textbox inset="0,0,0,0">
                  <w:txbxContent>
                    <w:p w14:paraId="1E4B05E5" w14:textId="77777777" w:rsidR="0074324D" w:rsidRDefault="0074324D">
                      <w:pPr>
                        <w:pStyle w:val="Style7"/>
                        <w:jc w:val="both"/>
                        <w:rPr>
                          <w:rFonts w:ascii="Times New Roman" w:hAnsi="Times New Roman" w:cs="Times New Roman"/>
                          <w:sz w:val="24"/>
                          <w:szCs w:val="24"/>
                        </w:rPr>
                      </w:pPr>
                      <w:r>
                        <w:rPr>
                          <w:rStyle w:val="CharStyle8"/>
                          <w:lang w:eastAsia="da-DK"/>
                        </w:rPr>
                        <w:t>Figure 4. Clustering of the halocline signal, defined as the depth of the maximum salinity gradient. The largest region (cluster 3, light blue)</w:t>
                      </w:r>
                      <w:r>
                        <w:rPr>
                          <w:rStyle w:val="CharStyle8"/>
                          <w:lang w:eastAsia="da-DK"/>
                        </w:rPr>
                        <w:t xml:space="preserve"> is the freshwater influenced CSoG, with shallow (&lt; 10 m) haloclines and limited variability between seasons. Similar halocline dynamics are seen in Puget Sound and at the head of Toba Inlet, Bute Inlet, and Howe Sound, which contain glacial rivers. Significantly deeper and more variable haloclines are found in the NSoG (cluster 4, red), commonly deeper than 40 m in winter. The deepest and most spatially variable haloclines occur in the center of the JdF (clusters 1, 2, and 5), with nearshore regions of the</w:t>
                      </w:r>
                      <w:r>
                        <w:rPr>
                          <w:rStyle w:val="CharStyle8"/>
                          <w:lang w:eastAsia="da-DK"/>
                        </w:rPr>
                        <w:t xml:space="preserve"> JdF clustering with the NSoG in most years (cluster 4).</w:t>
                      </w:r>
                    </w:p>
                  </w:txbxContent>
                </v:textbox>
                <w10:wrap anchorx="margin" anchory="margin"/>
              </v:shape>
            </w:pict>
          </mc:Fallback>
        </mc:AlternateContent>
      </w:r>
      <w:r>
        <w:rPr>
          <w:rStyle w:val="CharStyle3"/>
          <w:lang w:eastAsia="da-DK"/>
        </w:rPr>
        <w:t xml:space="preserve">map of tidal mixing hotspots – as we sample only </w:t>
      </w:r>
      <w:r>
        <w:rPr>
          <w:rStyle w:val="CharStyle3"/>
          <w:lang w:val="en-US" w:eastAsia="en-US"/>
        </w:rPr>
        <w:t>approx</w:t>
      </w:r>
      <w:r>
        <w:rPr>
          <w:rStyle w:val="CharStyle3"/>
          <w:lang w:val="en-US" w:eastAsia="en-US"/>
        </w:rPr>
        <w:softHyphen/>
        <w:t>imately</w:t>
      </w:r>
      <w:r>
        <w:rPr>
          <w:rStyle w:val="CharStyle3"/>
          <w:lang w:eastAsia="da-DK"/>
        </w:rPr>
        <w:t xml:space="preserve"> every 100th horizontal model coordinate, we likely miss other high-VED model points in this subregion, </w:t>
      </w:r>
      <w:r>
        <w:rPr>
          <w:rStyle w:val="CharStyle3"/>
          <w:lang w:val="en-US" w:eastAsia="en-US"/>
        </w:rPr>
        <w:t>es</w:t>
      </w:r>
      <w:r>
        <w:rPr>
          <w:rStyle w:val="CharStyle3"/>
          <w:lang w:val="en-US" w:eastAsia="en-US"/>
        </w:rPr>
        <w:softHyphen/>
        <w:t>pecially</w:t>
      </w:r>
      <w:r>
        <w:rPr>
          <w:rStyle w:val="CharStyle3"/>
          <w:lang w:eastAsia="da-DK"/>
        </w:rPr>
        <w:t xml:space="preserve"> channels that have width scales comparable to our model resolution (0.5 km), for example the intricate </w:t>
      </w:r>
      <w:r>
        <w:rPr>
          <w:rStyle w:val="CharStyle3"/>
          <w:lang w:val="en-US" w:eastAsia="en-US"/>
        </w:rPr>
        <w:t>chan</w:t>
      </w:r>
      <w:r>
        <w:rPr>
          <w:rStyle w:val="CharStyle3"/>
          <w:lang w:val="en-US" w:eastAsia="en-US"/>
        </w:rPr>
        <w:softHyphen/>
        <w:t>nel</w:t>
      </w:r>
      <w:r>
        <w:rPr>
          <w:rStyle w:val="CharStyle3"/>
          <w:lang w:eastAsia="da-DK"/>
        </w:rPr>
        <w:t xml:space="preserve"> passages of the San Juan and Discovery Island groups in the Haro and Johnstone Strait regions, which are known tidal mixing hotspots (Fig.</w:t>
      </w:r>
      <w:hyperlink w:anchor="bookmark12" w:tooltip="Current Document" w:history="1">
        <w:r>
          <w:rPr>
            <w:rStyle w:val="CharStyle3"/>
            <w:lang w:eastAsia="da-DK"/>
          </w:rPr>
          <w:t xml:space="preserve"> 1)</w:t>
        </w:r>
      </w:hyperlink>
      <w:r>
        <w:rPr>
          <w:rStyle w:val="CharStyle3"/>
          <w:lang w:eastAsia="da-DK"/>
        </w:rPr>
        <w:t>. Analysis of tidal mixing hotspots is not the focus of this work, but a full characterization of this tidally mixed zone using a more refined clustering approach may be an interesting focus of future work.</w:t>
      </w:r>
    </w:p>
    <w:p w14:paraId="5920BC6E" w14:textId="77777777" w:rsidR="0074324D" w:rsidRDefault="0074324D">
      <w:pPr>
        <w:pStyle w:val="Style15"/>
        <w:keepNext/>
        <w:keepLines/>
        <w:numPr>
          <w:ilvl w:val="1"/>
          <w:numId w:val="4"/>
        </w:numPr>
        <w:tabs>
          <w:tab w:val="left" w:pos="456"/>
        </w:tabs>
        <w:jc w:val="both"/>
        <w:rPr>
          <w:sz w:val="24"/>
          <w:szCs w:val="24"/>
        </w:rPr>
      </w:pPr>
      <w:bookmarkStart w:id="18" w:name="bookmark35"/>
      <w:r>
        <w:rPr>
          <w:rStyle w:val="CharStyle16"/>
          <w:lang w:eastAsia="da-DK"/>
        </w:rPr>
        <w:t>Biomass of primary producers</w:t>
      </w:r>
      <w:bookmarkEnd w:id="18"/>
    </w:p>
    <w:p w14:paraId="57E9BBB9" w14:textId="77777777" w:rsidR="0074324D" w:rsidRDefault="0074324D">
      <w:pPr>
        <w:pStyle w:val="Style2"/>
        <w:spacing w:after="200"/>
        <w:jc w:val="both"/>
        <w:rPr>
          <w:rFonts w:ascii="Times New Roman" w:hAnsi="Times New Roman" w:cs="Times New Roman"/>
          <w:sz w:val="24"/>
          <w:szCs w:val="24"/>
        </w:rPr>
      </w:pPr>
      <w:r>
        <w:rPr>
          <w:rStyle w:val="CharStyle3"/>
          <w:lang w:eastAsia="da-DK"/>
        </w:rPr>
        <w:t>A similar biological clustering arises in all 4 years (Figs. 8, C2). The boundaries of this clustering broadly coincide with the three major oceanographic subregions discussed above.</w:t>
      </w:r>
      <w:r>
        <w:rPr>
          <w:rFonts w:ascii="Times New Roman" w:hAnsi="Times New Roman" w:cs="Times New Roman"/>
          <w:sz w:val="24"/>
          <w:szCs w:val="24"/>
        </w:rPr>
        <w:br w:type="page"/>
      </w:r>
    </w:p>
    <w:p w14:paraId="3CD39A66" w14:textId="0090BF65" w:rsidR="0074324D" w:rsidRDefault="0074324D">
      <w:pPr>
        <w:pStyle w:val="Style2"/>
        <w:jc w:val="both"/>
        <w:rPr>
          <w:rFonts w:ascii="Times New Roman" w:hAnsi="Times New Roman" w:cs="Times New Roman"/>
          <w:sz w:val="24"/>
          <w:szCs w:val="24"/>
        </w:rPr>
      </w:pPr>
      <w:r>
        <w:rPr>
          <w:noProof/>
        </w:rPr>
        <w:lastRenderedPageBreak/>
        <w:drawing>
          <wp:anchor distT="0" distB="746760" distL="434975" distR="432435" simplePos="0" relativeHeight="251666432" behindDoc="1" locked="0" layoutInCell="1" allowOverlap="1" wp14:anchorId="0925B757" wp14:editId="4984A3E7">
            <wp:simplePos x="0" y="0"/>
            <wp:positionH relativeFrom="margin">
              <wp:posOffset>332740</wp:posOffset>
            </wp:positionH>
            <wp:positionV relativeFrom="margin">
              <wp:posOffset>368300</wp:posOffset>
            </wp:positionV>
            <wp:extent cx="5765165" cy="5740400"/>
            <wp:effectExtent l="0" t="0" r="0" b="0"/>
            <wp:wrapTopAndBottom/>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165" cy="57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7456" behindDoc="0" locked="0" layoutInCell="1" allowOverlap="1" wp14:anchorId="06F744F9" wp14:editId="6CADC307">
                <wp:simplePos x="0" y="0"/>
                <wp:positionH relativeFrom="margin">
                  <wp:posOffset>12065</wp:posOffset>
                </wp:positionH>
                <wp:positionV relativeFrom="margin">
                  <wp:posOffset>6225540</wp:posOffset>
                </wp:positionV>
                <wp:extent cx="6403340" cy="451485"/>
                <wp:effectExtent l="0" t="0" r="0" b="0"/>
                <wp:wrapNone/>
                <wp:docPr id="1297885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5FD6" w14:textId="77777777" w:rsidR="0074324D" w:rsidRDefault="0074324D">
                            <w:pPr>
                              <w:pStyle w:val="Style7"/>
                              <w:jc w:val="both"/>
                              <w:rPr>
                                <w:rFonts w:ascii="Times New Roman" w:hAnsi="Times New Roman" w:cs="Times New Roman"/>
                                <w:sz w:val="24"/>
                                <w:szCs w:val="24"/>
                              </w:rPr>
                            </w:pPr>
                            <w:r>
                              <w:rPr>
                                <w:rStyle w:val="CharStyle8"/>
                                <w:lang w:eastAsia="da-DK"/>
                              </w:rPr>
                              <w:t>Figure 5. Clustering of the daily average wind energy signal. Though spatial cluster boundaries are consistent, wind energy in all clusters is highly episodic, and all wind clusters show a marked decrease in wind energy during the summer months. Nearshore ares have lowest wind energy owing to low fetch. Summer wind energies are higher in the CSoG than in the NSoG.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744F9" id="Text Box 22" o:spid="_x0000_s1030" type="#_x0000_t202" style="position:absolute;left:0;text-align:left;margin-left:.95pt;margin-top:490.2pt;width:504.2pt;height:35.5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" filled="f" stroked="f">
                <v:textbox inset="0,0,0,0">
                  <w:txbxContent>
                    <w:p w14:paraId="60D75FD6" w14:textId="77777777" w:rsidR="0074324D" w:rsidRDefault="0074324D">
                      <w:pPr>
                        <w:pStyle w:val="Style7"/>
                        <w:jc w:val="both"/>
                        <w:rPr>
                          <w:rFonts w:ascii="Times New Roman" w:hAnsi="Times New Roman" w:cs="Times New Roman"/>
                          <w:sz w:val="24"/>
                          <w:szCs w:val="24"/>
                        </w:rPr>
                      </w:pPr>
                      <w:r>
                        <w:rPr>
                          <w:rStyle w:val="CharStyle8"/>
                          <w:lang w:eastAsia="da-DK"/>
                        </w:rPr>
                        <w:t>Figure 5. Clustering of the daily average wind energy signal. Though spatial cluster boundaries are consistent, wind energy in all clusters is highly episodic, and all wind clusters show a marked decrease in wind energy during the summer months. Nearshore ares have lowest wind energy owing to low fetch. Summer wind energies are higher in the CSoG than in the NSoG.</w:t>
                      </w:r>
                    </w:p>
                  </w:txbxContent>
                </v:textbox>
                <w10:wrap anchorx="margin" anchory="margin"/>
              </v:shape>
            </w:pict>
          </mc:Fallback>
        </mc:AlternateContent>
      </w:r>
      <w:r>
        <w:rPr>
          <w:rStyle w:val="CharStyle3"/>
          <w:lang w:eastAsia="da-DK"/>
        </w:rPr>
        <w:t xml:space="preserve">The largest cluster (the CSoG – cluster 3/sky blue) is </w:t>
      </w:r>
      <w:r>
        <w:rPr>
          <w:rStyle w:val="CharStyle3"/>
          <w:lang w:val="en-US" w:eastAsia="en-US"/>
        </w:rPr>
        <w:t>charac</w:t>
      </w:r>
      <w:r>
        <w:rPr>
          <w:rStyle w:val="CharStyle3"/>
          <w:lang w:val="en-US" w:eastAsia="en-US"/>
        </w:rPr>
        <w:softHyphen/>
        <w:t>terized</w:t>
      </w:r>
      <w:r>
        <w:rPr>
          <w:rStyle w:val="CharStyle3"/>
          <w:lang w:eastAsia="da-DK"/>
        </w:rPr>
        <w:t xml:space="preserve"> by diatoms blooming first, followed by a transition to flagellate abundance in the summer months. In all 4 years, a functionally distinct NSoG region (cluster 4/red) arises, with sharp, episodic spikes in summer diatom biomass and </w:t>
      </w:r>
      <w:r>
        <w:rPr>
          <w:rStyle w:val="CharStyle3"/>
          <w:lang w:val="en-US" w:eastAsia="en-US"/>
        </w:rPr>
        <w:t>dimin</w:t>
      </w:r>
      <w:r>
        <w:rPr>
          <w:rStyle w:val="CharStyle3"/>
          <w:lang w:val="en-US" w:eastAsia="en-US"/>
        </w:rPr>
        <w:softHyphen/>
        <w:t>ished</w:t>
      </w:r>
      <w:r>
        <w:rPr>
          <w:rStyle w:val="CharStyle3"/>
          <w:lang w:eastAsia="da-DK"/>
        </w:rPr>
        <w:t xml:space="preserve"> flagellate biomass. JdF (cluster 5/dark blue) reaches maximum biomass later in the year and, like the NSoG, shows a persistence of summer diatoms and diminished sum</w:t>
      </w:r>
      <w:r>
        <w:rPr>
          <w:rStyle w:val="CharStyle3"/>
          <w:lang w:eastAsia="da-DK"/>
        </w:rPr>
        <w:softHyphen/>
        <w:t>mer flagellate biomass. In contras</w:t>
      </w:r>
      <w:r>
        <w:rPr>
          <w:rStyle w:val="CharStyle3"/>
          <w:lang w:eastAsia="da-DK"/>
        </w:rPr>
        <w:t>t to the NSoG, where di</w:t>
      </w:r>
      <w:r>
        <w:rPr>
          <w:rStyle w:val="CharStyle3"/>
          <w:lang w:eastAsia="da-DK"/>
        </w:rPr>
        <w:softHyphen/>
        <w:t>atom biomass diminishes between episodic spikes, diatom biomass in JdF typically remains above 20 mmol N m</w:t>
      </w:r>
      <w:r>
        <w:rPr>
          <w:rStyle w:val="CharStyle3"/>
          <w:sz w:val="13"/>
          <w:szCs w:val="13"/>
          <w:vertAlign w:val="superscript"/>
          <w:lang w:eastAsia="da-DK"/>
        </w:rPr>
        <w:t>-</w:t>
      </w:r>
      <w:r>
        <w:rPr>
          <w:rStyle w:val="CharStyle3"/>
          <w:vertAlign w:val="superscript"/>
          <w:lang w:eastAsia="da-DK"/>
        </w:rPr>
        <w:t>2</w:t>
      </w:r>
      <w:r>
        <w:rPr>
          <w:rStyle w:val="CharStyle3"/>
          <w:lang w:eastAsia="da-DK"/>
        </w:rPr>
        <w:t xml:space="preserve"> </w:t>
      </w:r>
      <w:r>
        <w:rPr>
          <w:rStyle w:val="CharStyle3"/>
          <w:lang w:eastAsia="da-DK"/>
        </w:rPr>
        <w:t>throughout the spring and summer seasons, with occasional spikes to higher biomass.</w:t>
      </w:r>
    </w:p>
    <w:p w14:paraId="1CD70E01"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These three main regions have roughly similar mean </w:t>
      </w:r>
      <w:r>
        <w:rPr>
          <w:rStyle w:val="CharStyle3"/>
          <w:lang w:val="en-US" w:eastAsia="en-US"/>
        </w:rPr>
        <w:t>sea</w:t>
      </w:r>
      <w:r>
        <w:rPr>
          <w:rStyle w:val="CharStyle3"/>
          <w:lang w:val="en-US" w:eastAsia="en-US"/>
        </w:rPr>
        <w:softHyphen/>
        <w:t>sonal</w:t>
      </w:r>
      <w:r>
        <w:rPr>
          <w:rStyle w:val="CharStyle3"/>
          <w:lang w:eastAsia="da-DK"/>
        </w:rPr>
        <w:t xml:space="preserve"> biomass, with interannual variability larger than </w:t>
      </w:r>
      <w:r>
        <w:rPr>
          <w:rStyle w:val="CharStyle3"/>
          <w:lang w:val="en-US" w:eastAsia="en-US"/>
        </w:rPr>
        <w:t>vari</w:t>
      </w:r>
      <w:r>
        <w:rPr>
          <w:rStyle w:val="CharStyle3"/>
          <w:lang w:val="en-US" w:eastAsia="en-US"/>
        </w:rPr>
        <w:softHyphen/>
        <w:t>ability</w:t>
      </w:r>
      <w:r>
        <w:rPr>
          <w:rStyle w:val="CharStyle3"/>
          <w:lang w:eastAsia="da-DK"/>
        </w:rPr>
        <w:t xml:space="preserve"> between clusters; the main differences between them are in the relative abundances of different functional groups and in the temporal characteristics of the phytoplankton biomass. Nearshore areas cluster together (cluster 2/grey) and have low depth-integrated biomass because they are lim</w:t>
      </w:r>
      <w:r>
        <w:rPr>
          <w:rStyle w:val="CharStyle3"/>
          <w:lang w:eastAsia="da-DK"/>
        </w:rPr>
        <w:softHyphen/>
        <w:t>ited by shallow depth. The largest depth-integrated biomass</w:t>
      </w:r>
      <w:r>
        <w:rPr>
          <w:rFonts w:ascii="Times New Roman" w:hAnsi="Times New Roman" w:cs="Times New Roman"/>
          <w:sz w:val="24"/>
          <w:szCs w:val="24"/>
        </w:rPr>
        <w:br w:type="page"/>
      </w:r>
    </w:p>
    <w:p w14:paraId="0140F2C4" w14:textId="1EBE90AF" w:rsidR="0074324D" w:rsidRDefault="0074324D">
      <w:pPr>
        <w:pStyle w:val="Style2"/>
        <w:spacing w:after="340" w:line="298" w:lineRule="auto"/>
        <w:jc w:val="both"/>
        <w:rPr>
          <w:rFonts w:ascii="Times New Roman" w:hAnsi="Times New Roman" w:cs="Times New Roman"/>
          <w:sz w:val="24"/>
          <w:szCs w:val="24"/>
        </w:rPr>
      </w:pPr>
      <w:r>
        <w:rPr>
          <w:noProof/>
        </w:rPr>
        <w:lastRenderedPageBreak/>
        <w:drawing>
          <wp:anchor distT="0" distB="733425" distL="792480" distR="789940" simplePos="0" relativeHeight="251668480" behindDoc="1" locked="0" layoutInCell="1" allowOverlap="1" wp14:anchorId="571DB90E" wp14:editId="1844B41E">
            <wp:simplePos x="0" y="0"/>
            <wp:positionH relativeFrom="margin">
              <wp:posOffset>690880</wp:posOffset>
            </wp:positionH>
            <wp:positionV relativeFrom="margin">
              <wp:posOffset>368300</wp:posOffset>
            </wp:positionV>
            <wp:extent cx="5045075" cy="4772025"/>
            <wp:effectExtent l="0" t="0" r="0" b="0"/>
            <wp:wrapTopAndBottom/>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075" cy="477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9504" behindDoc="0" locked="0" layoutInCell="1" allowOverlap="1" wp14:anchorId="2A513B8F" wp14:editId="32AB4557">
                <wp:simplePos x="0" y="0"/>
                <wp:positionH relativeFrom="margin">
                  <wp:posOffset>12700</wp:posOffset>
                </wp:positionH>
                <wp:positionV relativeFrom="margin">
                  <wp:posOffset>5259705</wp:posOffset>
                </wp:positionV>
                <wp:extent cx="6398260" cy="448945"/>
                <wp:effectExtent l="0" t="0" r="4445" b="2540"/>
                <wp:wrapNone/>
                <wp:docPr id="5515072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6FD5" w14:textId="77777777" w:rsidR="0074324D" w:rsidRDefault="0074324D">
                            <w:pPr>
                              <w:pStyle w:val="Style7"/>
                              <w:rPr>
                                <w:rFonts w:ascii="Times New Roman" w:hAnsi="Times New Roman" w:cs="Times New Roman"/>
                                <w:sz w:val="24"/>
                                <w:szCs w:val="24"/>
                              </w:rPr>
                            </w:pPr>
                            <w:r>
                              <w:rPr>
                                <w:rStyle w:val="CharStyle8"/>
                                <w:lang w:eastAsia="da-DK"/>
                              </w:rPr>
                              <w:t>Figure 6. Seasonal means of the physical signals. Seasons are defined as follows: winter is December–February, spring is March–May, summer is June–August, and fall is September–November. The temporal standard deviation of the seasonal mean signal for each cluster is shown.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3B8F" id="Text Box 24" o:spid="_x0000_s1031" type="#_x0000_t202" style="position:absolute;left:0;text-align:left;margin-left:1pt;margin-top:414.15pt;width:503.8pt;height:35.3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" filled="f" stroked="f">
                <v:textbox inset="0,0,0,0">
                  <w:txbxContent>
                    <w:p w14:paraId="14646FD5" w14:textId="77777777" w:rsidR="0074324D" w:rsidRDefault="0074324D">
                      <w:pPr>
                        <w:pStyle w:val="Style7"/>
                        <w:rPr>
                          <w:rFonts w:ascii="Times New Roman" w:hAnsi="Times New Roman" w:cs="Times New Roman"/>
                          <w:sz w:val="24"/>
                          <w:szCs w:val="24"/>
                        </w:rPr>
                      </w:pPr>
                      <w:r>
                        <w:rPr>
                          <w:rStyle w:val="CharStyle8"/>
                          <w:lang w:eastAsia="da-DK"/>
                        </w:rPr>
                        <w:t>Figure 6. Seasonal means of the physical signals. Seasons are defined as follows: winter is December–February, spring is March–May, summer is June–August, and fall is September–November. The temporal standard deviation of the seasonal mean signal for each cluster is shown.</w:t>
                      </w:r>
                    </w:p>
                  </w:txbxContent>
                </v:textbox>
                <w10:wrap anchorx="margin" anchory="margin"/>
              </v:shape>
            </w:pict>
          </mc:Fallback>
        </mc:AlternateContent>
      </w:r>
      <w:r>
        <w:rPr>
          <w:rStyle w:val="CharStyle3"/>
          <w:lang w:eastAsia="da-DK"/>
        </w:rPr>
        <w:t>in the model in both the diatom and flagellate groups is found in the tidal mixing region of Haro Strait (cluster 1/gold).</w:t>
      </w:r>
    </w:p>
    <w:p w14:paraId="33ADF7BC" w14:textId="77777777" w:rsidR="0074324D" w:rsidRDefault="0074324D">
      <w:pPr>
        <w:pStyle w:val="Style13"/>
        <w:keepNext/>
        <w:keepLines/>
        <w:numPr>
          <w:ilvl w:val="0"/>
          <w:numId w:val="4"/>
        </w:numPr>
        <w:tabs>
          <w:tab w:val="left" w:pos="302"/>
        </w:tabs>
        <w:jc w:val="both"/>
        <w:rPr>
          <w:sz w:val="24"/>
          <w:szCs w:val="24"/>
        </w:rPr>
      </w:pPr>
      <w:bookmarkStart w:id="19" w:name="bookmark37"/>
      <w:r>
        <w:rPr>
          <w:rStyle w:val="CharStyle14"/>
          <w:lang w:eastAsia="da-DK"/>
        </w:rPr>
        <w:t>Discussion</w:t>
      </w:r>
      <w:bookmarkEnd w:id="19"/>
    </w:p>
    <w:p w14:paraId="3405B96C" w14:textId="77777777" w:rsidR="0074324D" w:rsidRDefault="0074324D">
      <w:pPr>
        <w:pStyle w:val="Style2"/>
        <w:spacing w:after="160"/>
        <w:jc w:val="both"/>
        <w:rPr>
          <w:rFonts w:ascii="Times New Roman" w:hAnsi="Times New Roman" w:cs="Times New Roman"/>
          <w:sz w:val="24"/>
          <w:szCs w:val="24"/>
        </w:rPr>
      </w:pPr>
      <w:r>
        <w:rPr>
          <w:rStyle w:val="CharStyle3"/>
          <w:lang w:eastAsia="da-DK"/>
        </w:rPr>
        <w:t>We now consider the regional phytoplankton structure in the context of previous observational and modeling studies and discuss some mechanisms underlying the observed patterns. We focus on the three main regions found by the biological clustering (the CSoG, the NSoG, and JdF).</w:t>
      </w:r>
    </w:p>
    <w:p w14:paraId="5AA72635" w14:textId="77777777" w:rsidR="0074324D" w:rsidRDefault="0074324D">
      <w:pPr>
        <w:pStyle w:val="Style15"/>
        <w:keepNext/>
        <w:keepLines/>
        <w:numPr>
          <w:ilvl w:val="1"/>
          <w:numId w:val="4"/>
        </w:numPr>
        <w:tabs>
          <w:tab w:val="left" w:pos="449"/>
        </w:tabs>
        <w:spacing w:after="160"/>
        <w:jc w:val="both"/>
        <w:rPr>
          <w:sz w:val="24"/>
          <w:szCs w:val="24"/>
        </w:rPr>
      </w:pPr>
      <w:bookmarkStart w:id="20" w:name="bookmark39"/>
      <w:r>
        <w:rPr>
          <w:rStyle w:val="CharStyle16"/>
          <w:lang w:eastAsia="da-DK"/>
        </w:rPr>
        <w:t>The northern vs. the central Strait of Georgia</w:t>
      </w:r>
      <w:bookmarkEnd w:id="20"/>
    </w:p>
    <w:p w14:paraId="5971A9C3" w14:textId="77777777" w:rsidR="0074324D" w:rsidRDefault="0074324D">
      <w:pPr>
        <w:pStyle w:val="Style2"/>
        <w:jc w:val="both"/>
        <w:rPr>
          <w:rFonts w:ascii="Times New Roman" w:hAnsi="Times New Roman" w:cs="Times New Roman"/>
          <w:sz w:val="24"/>
          <w:szCs w:val="24"/>
        </w:rPr>
      </w:pPr>
      <w:r>
        <w:rPr>
          <w:rStyle w:val="CharStyle3"/>
          <w:lang w:eastAsia="da-DK"/>
        </w:rPr>
        <w:t xml:space="preserve">In the model, the NSoG shows only slightly higher </w:t>
      </w:r>
      <w:r>
        <w:rPr>
          <w:rStyle w:val="CharStyle3"/>
          <w:lang w:val="en-US" w:eastAsia="en-US"/>
        </w:rPr>
        <w:t>depth</w:t>
      </w:r>
      <w:r>
        <w:rPr>
          <w:rStyle w:val="CharStyle3"/>
          <w:lang w:val="en-US" w:eastAsia="en-US"/>
        </w:rPr>
        <w:softHyphen/>
        <w:t>averaged</w:t>
      </w:r>
      <w:r>
        <w:rPr>
          <w:rStyle w:val="CharStyle3"/>
          <w:lang w:eastAsia="da-DK"/>
        </w:rPr>
        <w:t xml:space="preserve"> phytoplankton biomass in all seasons than the CSoG (Fig. 9). This biomass is consistent</w:t>
      </w:r>
      <w:r>
        <w:rPr>
          <w:rStyle w:val="CharStyle3"/>
          <w:lang w:eastAsia="da-DK"/>
        </w:rPr>
        <w:t xml:space="preserve"> with the in situ study of Masson and Peña conducted between 2001 and 2007 in this region, which shows lower surface chlorophyll but a deeper phytoplankton growing zone in the NSoG, </w:t>
      </w:r>
      <w:r>
        <w:rPr>
          <w:rStyle w:val="CharStyle3"/>
          <w:lang w:val="en-US" w:eastAsia="en-US"/>
        </w:rPr>
        <w:t>lead</w:t>
      </w:r>
      <w:r>
        <w:rPr>
          <w:rStyle w:val="CharStyle3"/>
          <w:lang w:val="en-US" w:eastAsia="en-US"/>
        </w:rPr>
        <w:softHyphen/>
        <w:t>ing</w:t>
      </w:r>
      <w:r>
        <w:rPr>
          <w:rStyle w:val="CharStyle3"/>
          <w:lang w:eastAsia="da-DK"/>
        </w:rPr>
        <w:t xml:space="preserve"> to slightly higher depth-integrated chlorophyll </w:t>
      </w:r>
      <w:r>
        <w:rPr>
          <w:rStyle w:val="CharStyle3"/>
          <w:lang w:val="en-US" w:eastAsia="en-US"/>
        </w:rPr>
        <w:t>concen</w:t>
      </w:r>
      <w:r>
        <w:rPr>
          <w:rStyle w:val="CharStyle3"/>
          <w:lang w:val="en-US" w:eastAsia="en-US"/>
        </w:rPr>
        <w:softHyphen/>
        <w:t>trations</w:t>
      </w:r>
      <w:r>
        <w:rPr>
          <w:rStyle w:val="CharStyle3"/>
          <w:lang w:eastAsia="da-DK"/>
        </w:rPr>
        <w:t xml:space="preserve"> in the northern region in all four seasons of sampling </w:t>
      </w:r>
      <w:hyperlink w:anchor="bookmark123" w:tooltip="Current Document" w:history="1">
        <w:r>
          <w:rPr>
            <w:rStyle w:val="CharStyle3"/>
            <w:lang w:eastAsia="da-DK"/>
          </w:rPr>
          <w:t>(Masson and Peña, 2009,</w:t>
        </w:r>
      </w:hyperlink>
      <w:r>
        <w:rPr>
          <w:rStyle w:val="CharStyle3"/>
          <w:lang w:eastAsia="da-DK"/>
        </w:rPr>
        <w:t xml:space="preserve"> henceforth MP09, their Table 2). Remote sensing observations also show significantly lower surface chlorophyll in the NSoG throughout the year, as well as finding anomalously high surface chlorophyll </w:t>
      </w:r>
      <w:r>
        <w:rPr>
          <w:rStyle w:val="CharStyle3"/>
          <w:lang w:val="en-US" w:eastAsia="en-US"/>
        </w:rPr>
        <w:t>concentra</w:t>
      </w:r>
      <w:r>
        <w:rPr>
          <w:rStyle w:val="CharStyle3"/>
          <w:lang w:val="en-US" w:eastAsia="en-US"/>
        </w:rPr>
        <w:softHyphen/>
        <w:t>tions</w:t>
      </w:r>
      <w:r>
        <w:rPr>
          <w:rStyle w:val="CharStyle3"/>
          <w:lang w:eastAsia="da-DK"/>
        </w:rPr>
        <w:t xml:space="preserve"> in 2015 that are not reproduced by the model </w:t>
      </w:r>
      <w:hyperlink w:anchor="bookmark137" w:tooltip="Current Document" w:history="1">
        <w:r>
          <w:rPr>
            <w:rStyle w:val="CharStyle3"/>
            <w:lang w:eastAsia="da-DK"/>
          </w:rPr>
          <w:t>(Suchy</w:t>
        </w:r>
      </w:hyperlink>
      <w:r>
        <w:rPr>
          <w:rStyle w:val="CharStyle3"/>
          <w:lang w:eastAsia="da-DK"/>
        </w:rPr>
        <w:t xml:space="preserve"> </w:t>
      </w:r>
      <w:hyperlink w:anchor="bookmark137" w:tooltip="Current Document" w:history="1">
        <w:r>
          <w:rPr>
            <w:rStyle w:val="CharStyle3"/>
            <w:lang w:eastAsia="da-DK"/>
          </w:rPr>
          <w:t>et al., 2019)</w:t>
        </w:r>
      </w:hyperlink>
      <w:r>
        <w:rPr>
          <w:rStyle w:val="CharStyle3"/>
          <w:lang w:eastAsia="da-DK"/>
        </w:rPr>
        <w:t>. The majority of the modeled biomass differ</w:t>
      </w:r>
      <w:r>
        <w:rPr>
          <w:rStyle w:val="CharStyle3"/>
          <w:lang w:eastAsia="da-DK"/>
        </w:rPr>
        <w:softHyphen/>
        <w:t xml:space="preserve">ence between the NSoG and CSoG occurs in the subsurface maximum around 6–8 m in depth (Fig. C4), where it cannot be detected by remote sensing. Previous modeling (of the years 2007–2009) found somewhat higher depth-integrated phytoplankton biomass in the CSoG throughout the year, but with significant spatiotemporal variability </w:t>
      </w:r>
      <w:hyperlink w:anchor="bookmark116" w:tooltip="Current Document" w:history="1">
        <w:r>
          <w:rPr>
            <w:rStyle w:val="CharStyle3"/>
            <w:lang w:eastAsia="da-DK"/>
          </w:rPr>
          <w:t>(Peña et al., 2016)</w:t>
        </w:r>
      </w:hyperlink>
      <w:r>
        <w:rPr>
          <w:rStyle w:val="CharStyle3"/>
          <w:lang w:eastAsia="da-DK"/>
        </w:rPr>
        <w:t>. However, a recent year-round in situ campaign in several parts of the Strait of Georgia found no meaningful differ-</w:t>
      </w:r>
      <w:r>
        <w:rPr>
          <w:rFonts w:ascii="Times New Roman" w:hAnsi="Times New Roman" w:cs="Times New Roman"/>
          <w:sz w:val="24"/>
          <w:szCs w:val="24"/>
        </w:rPr>
        <w:br w:type="page"/>
      </w:r>
    </w:p>
    <w:p w14:paraId="788A9293" w14:textId="72D16395" w:rsidR="0074324D" w:rsidRDefault="0074324D">
      <w:pPr>
        <w:pStyle w:val="Style2"/>
        <w:jc w:val="both"/>
        <w:rPr>
          <w:rFonts w:ascii="Times New Roman" w:hAnsi="Times New Roman" w:cs="Times New Roman"/>
          <w:sz w:val="24"/>
          <w:szCs w:val="24"/>
        </w:rPr>
      </w:pPr>
      <w:r>
        <w:rPr>
          <w:noProof/>
        </w:rPr>
        <w:lastRenderedPageBreak/>
        <mc:AlternateContent>
          <mc:Choice Requires="wps">
            <w:drawing>
              <wp:anchor distT="0" distB="6400165" distL="1003300" distR="800100" simplePos="0" relativeHeight="251670528" behindDoc="0" locked="0" layoutInCell="1" allowOverlap="1" wp14:anchorId="09669EE4" wp14:editId="70EA97E0">
                <wp:simplePos x="0" y="0"/>
                <wp:positionH relativeFrom="margin">
                  <wp:posOffset>904240</wp:posOffset>
                </wp:positionH>
                <wp:positionV relativeFrom="margin">
                  <wp:posOffset>360045</wp:posOffset>
                </wp:positionV>
                <wp:extent cx="4826000" cy="234315"/>
                <wp:effectExtent l="3810" t="1905" r="0" b="1905"/>
                <wp:wrapTopAndBottom/>
                <wp:docPr id="5723199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5174" w14:textId="77777777" w:rsidR="0074324D" w:rsidRDefault="0074324D">
                            <w:pPr>
                              <w:rPr>
                                <w:color w:val="auto"/>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69EE4" id="Text Box 25" o:spid="_x0000_s1032" type="#_x0000_t202" style="position:absolute;left:0;text-align:left;margin-left:71.2pt;margin-top:28.35pt;width:380pt;height:18.45pt;z-index:251670528;visibility:visible;mso-wrap-style:square;mso-width-percent:0;mso-height-percent:0;mso-wrap-distance-left:79pt;mso-wrap-distance-top:0;mso-wrap-distance-right:63pt;mso-wrap-distance-bottom:503.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" filled="f" stroked="f">
                <v:textbox inset="0,0,0,0">
                  <w:txbxContent>
                    <w:p w14:paraId="16515174" w14:textId="77777777" w:rsidR="0074324D" w:rsidRDefault="0074324D">
                      <w:pPr>
                        <w:rPr>
                          <w:color w:val="auto"/>
                          <w:lang w:eastAsia="en-GB"/>
                        </w:rPr>
                      </w:pPr>
                    </w:p>
                  </w:txbxContent>
                </v:textbox>
                <w10:wrap type="topAndBottom" anchorx="margin" anchory="margin"/>
              </v:shape>
            </w:pict>
          </mc:Fallback>
        </mc:AlternateContent>
      </w:r>
      <w:r>
        <w:rPr>
          <w:noProof/>
        </w:rPr>
        <w:drawing>
          <wp:anchor distT="228600" distB="5708650" distL="772160" distR="735965" simplePos="0" relativeHeight="251671552" behindDoc="1" locked="0" layoutInCell="1" allowOverlap="1" wp14:anchorId="40EA3E4F" wp14:editId="0F782B01">
            <wp:simplePos x="0" y="0"/>
            <wp:positionH relativeFrom="margin">
              <wp:posOffset>673100</wp:posOffset>
            </wp:positionH>
            <wp:positionV relativeFrom="margin">
              <wp:posOffset>588645</wp:posOffset>
            </wp:positionV>
            <wp:extent cx="5121275" cy="697230"/>
            <wp:effectExtent l="0" t="0" r="0" b="0"/>
            <wp:wrapTopAndBottom/>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1275" cy="697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939800" distB="3461385" distL="638175" distR="488315" simplePos="0" relativeHeight="251672576" behindDoc="1" locked="0" layoutInCell="1" allowOverlap="1" wp14:anchorId="7565405A" wp14:editId="3623D682">
            <wp:simplePos x="0" y="0"/>
            <wp:positionH relativeFrom="margin">
              <wp:posOffset>539115</wp:posOffset>
            </wp:positionH>
            <wp:positionV relativeFrom="margin">
              <wp:posOffset>1299845</wp:posOffset>
            </wp:positionV>
            <wp:extent cx="5502910" cy="2233295"/>
            <wp:effectExtent l="0" t="0" r="0" b="0"/>
            <wp:wrapTopAndBottom/>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910" cy="2233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401060" distB="885825" distL="431800" distR="432435" simplePos="0" relativeHeight="251673600" behindDoc="1" locked="0" layoutInCell="1" allowOverlap="1" wp14:anchorId="4862ACDD" wp14:editId="28860399">
            <wp:simplePos x="0" y="0"/>
            <wp:positionH relativeFrom="margin">
              <wp:posOffset>332740</wp:posOffset>
            </wp:positionH>
            <wp:positionV relativeFrom="margin">
              <wp:posOffset>3761105</wp:posOffset>
            </wp:positionV>
            <wp:extent cx="5765165" cy="2347595"/>
            <wp:effectExtent l="0" t="0" r="0" b="0"/>
            <wp:wrapTopAndBottom/>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165" cy="23475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74624" behindDoc="0" locked="0" layoutInCell="1" allowOverlap="1" wp14:anchorId="0C8E70FB" wp14:editId="42B337EA">
                <wp:simplePos x="0" y="0"/>
                <wp:positionH relativeFrom="margin">
                  <wp:posOffset>15240</wp:posOffset>
                </wp:positionH>
                <wp:positionV relativeFrom="margin">
                  <wp:posOffset>6225540</wp:posOffset>
                </wp:positionV>
                <wp:extent cx="6400800" cy="591185"/>
                <wp:effectExtent l="635" t="0" r="0" b="0"/>
                <wp:wrapNone/>
                <wp:docPr id="10152173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9D22" w14:textId="77777777" w:rsidR="0074324D" w:rsidRDefault="0074324D">
                            <w:pPr>
                              <w:pStyle w:val="Style7"/>
                              <w:jc w:val="both"/>
                              <w:rPr>
                                <w:rFonts w:ascii="Times New Roman" w:hAnsi="Times New Roman" w:cs="Times New Roman"/>
                                <w:sz w:val="24"/>
                                <w:szCs w:val="24"/>
                              </w:rPr>
                            </w:pPr>
                            <w:r>
                              <w:rPr>
                                <w:rStyle w:val="CharStyle8"/>
                                <w:lang w:eastAsia="da-DK"/>
                              </w:rPr>
                              <w:t>Figure 7. Clustering of the daily depth-averaged vertical eddy diffusivity signal. The domain is split into two major regions: the Strait of Georgia, which has universally low vertical eddy diffusivity, and Juan de Fuca Strait, with comparatively slightly higher VED due to stronger tidal currents. VED hotspots of various magnitudes are consistently found at tidal mixing hotspots, including Discovery Passage near Seymour Narrows and Haro Strait near the San Juan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E70FB" id="Text Box 29" o:spid="_x0000_s1033" type="#_x0000_t202" style="position:absolute;left:0;text-align:left;margin-left:1.2pt;margin-top:490.2pt;width:7in;height:46.55pt;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" filled="f" stroked="f">
                <v:textbox inset="0,0,0,0">
                  <w:txbxContent>
                    <w:p w14:paraId="6C429D22" w14:textId="77777777" w:rsidR="0074324D" w:rsidRDefault="0074324D">
                      <w:pPr>
                        <w:pStyle w:val="Style7"/>
                        <w:jc w:val="both"/>
                        <w:rPr>
                          <w:rFonts w:ascii="Times New Roman" w:hAnsi="Times New Roman" w:cs="Times New Roman"/>
                          <w:sz w:val="24"/>
                          <w:szCs w:val="24"/>
                        </w:rPr>
                      </w:pPr>
                      <w:r>
                        <w:rPr>
                          <w:rStyle w:val="CharStyle8"/>
                          <w:lang w:eastAsia="da-DK"/>
                        </w:rPr>
                        <w:t>Figure 7. Clustering of the daily depth-averaged vertical eddy diffusivity signal. The domain is split into two major regions: the Strait of Georgia, which has universally low vertical eddy diffusivity, and Juan de Fuca Strait, with comparatively slightly higher VED due to stronger tidal currents. VED hotspots of various magnitudes are consistently found at tidal mixing hotspots, including Discovery Passage near Seymour Narrows and Haro Strait near the San Juan islands.</w:t>
                      </w:r>
                    </w:p>
                  </w:txbxContent>
                </v:textbox>
                <w10:wrap anchorx="margin" anchory="margin"/>
              </v:shape>
            </w:pict>
          </mc:Fallback>
        </mc:AlternateContent>
      </w:r>
      <w:r>
        <w:rPr>
          <w:rStyle w:val="CharStyle3"/>
          <w:lang w:eastAsia="da-DK"/>
        </w:rPr>
        <w:t xml:space="preserve">ence in depth-integrated chlorophyll between the NSoG and CSoG </w:t>
      </w:r>
      <w:hyperlink w:anchor="bookmark115" w:tooltip="Current Document" w:history="1">
        <w:r>
          <w:rPr>
            <w:rStyle w:val="CharStyle3"/>
            <w:lang w:eastAsia="da-DK"/>
          </w:rPr>
          <w:t>(Pawlowicz et al., 2020)</w:t>
        </w:r>
      </w:hyperlink>
      <w:r>
        <w:rPr>
          <w:rStyle w:val="CharStyle3"/>
          <w:lang w:eastAsia="da-DK"/>
        </w:rPr>
        <w:t>.</w:t>
      </w:r>
    </w:p>
    <w:p w14:paraId="77261174"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Together, these studies</w:t>
      </w:r>
      <w:r>
        <w:rPr>
          <w:rStyle w:val="CharStyle3"/>
          <w:lang w:eastAsia="da-DK"/>
        </w:rPr>
        <w:t xml:space="preserve"> suggest that the difference between the two regions with respect to total depth-integrated biomass is subtle. However, we find a substantial difference in the modeled phytoplankton functional group composition and the temporal scale of variability of the phytoplankton signal between regions. In both regions of the strait, the </w:t>
      </w:r>
      <w:r>
        <w:rPr>
          <w:rStyle w:val="CharStyle3"/>
          <w:lang w:val="en-US" w:eastAsia="en-US"/>
        </w:rPr>
        <w:t>opportunist</w:t>
      </w:r>
      <w:r>
        <w:rPr>
          <w:rStyle w:val="CharStyle3"/>
          <w:lang w:val="en-US" w:eastAsia="en-US"/>
        </w:rPr>
        <w:softHyphen/>
        <w:t>class</w:t>
      </w:r>
      <w:r>
        <w:rPr>
          <w:rStyle w:val="CharStyle3"/>
          <w:lang w:eastAsia="da-DK"/>
        </w:rPr>
        <w:t xml:space="preserve"> diatoms, which have the highest growth rate and </w:t>
      </w:r>
      <w:r>
        <w:rPr>
          <w:rStyle w:val="CharStyle3"/>
          <w:lang w:val="en-US" w:eastAsia="en-US"/>
        </w:rPr>
        <w:t>high</w:t>
      </w:r>
      <w:r>
        <w:rPr>
          <w:rStyle w:val="CharStyle3"/>
          <w:lang w:val="en-US" w:eastAsia="en-US"/>
        </w:rPr>
        <w:softHyphen/>
        <w:t>est</w:t>
      </w:r>
      <w:r>
        <w:rPr>
          <w:rStyle w:val="CharStyle3"/>
          <w:lang w:eastAsia="da-DK"/>
        </w:rPr>
        <w:t xml:space="preserve"> nutrient requirements, peak first (typically in late March, though with considerable variability;</w:t>
      </w:r>
      <w:hyperlink w:anchor="bookmark78" w:tooltip="Current Document" w:history="1">
        <w:r>
          <w:rPr>
            <w:rStyle w:val="CharStyle3"/>
            <w:lang w:eastAsia="da-DK"/>
          </w:rPr>
          <w:t xml:space="preserve"> Allen and Wolfe, 2013)</w:t>
        </w:r>
      </w:hyperlink>
      <w:r>
        <w:rPr>
          <w:rStyle w:val="CharStyle3"/>
          <w:lang w:eastAsia="da-DK"/>
        </w:rPr>
        <w:t xml:space="preserve"> and form the majority of the phytoplankton biomass in the spring (Figs. 8, 9). In the CSoG, the model then transitions to higher biomass of gleaner-type flagellates around day 150, near the beginning of June, and flagellates continue to </w:t>
      </w:r>
      <w:r>
        <w:rPr>
          <w:rStyle w:val="CharStyle3"/>
          <w:lang w:val="en-US" w:eastAsia="en-US"/>
        </w:rPr>
        <w:t>ex</w:t>
      </w:r>
      <w:r>
        <w:rPr>
          <w:rStyle w:val="CharStyle3"/>
          <w:lang w:val="en-US" w:eastAsia="en-US"/>
        </w:rPr>
        <w:softHyphen/>
        <w:t>hibit</w:t>
      </w:r>
      <w:r>
        <w:rPr>
          <w:rStyle w:val="CharStyle3"/>
          <w:lang w:eastAsia="da-DK"/>
        </w:rPr>
        <w:t xml:space="preserve"> high summer biomass in this region (Figs. 8, 9). In contrast, the NSoG continues to exhibit episodic short-lived peaks of high opportunist-type phytoplankton biomass, rep</w:t>
      </w:r>
      <w:r>
        <w:rPr>
          <w:rStyle w:val="CharStyle3"/>
          <w:lang w:eastAsia="da-DK"/>
        </w:rPr>
        <w:softHyphen/>
        <w:t>resented by diatoms, throughout the summer so that in all</w:t>
      </w:r>
      <w:r>
        <w:rPr>
          <w:rFonts w:ascii="Times New Roman" w:hAnsi="Times New Roman" w:cs="Times New Roman"/>
          <w:sz w:val="24"/>
          <w:szCs w:val="24"/>
        </w:rPr>
        <w:br w:type="page"/>
      </w:r>
    </w:p>
    <w:p w14:paraId="0A787951" w14:textId="0787F271" w:rsidR="0074324D" w:rsidRDefault="0074324D">
      <w:pPr>
        <w:pStyle w:val="Style2"/>
        <w:jc w:val="both"/>
        <w:rPr>
          <w:rFonts w:ascii="Times New Roman" w:hAnsi="Times New Roman" w:cs="Times New Roman"/>
          <w:sz w:val="24"/>
          <w:szCs w:val="24"/>
        </w:rPr>
      </w:pPr>
      <w:r>
        <w:rPr>
          <w:noProof/>
        </w:rPr>
        <w:lastRenderedPageBreak/>
        <mc:AlternateContent>
          <mc:Choice Requires="wps">
            <w:drawing>
              <wp:anchor distT="0" distB="6868160" distL="1793875" distR="1449070" simplePos="0" relativeHeight="251675648" behindDoc="0" locked="0" layoutInCell="1" allowOverlap="1" wp14:anchorId="4F9106BA" wp14:editId="7DCB9E61">
                <wp:simplePos x="0" y="0"/>
                <wp:positionH relativeFrom="margin">
                  <wp:posOffset>1693545</wp:posOffset>
                </wp:positionH>
                <wp:positionV relativeFrom="margin">
                  <wp:posOffset>350520</wp:posOffset>
                </wp:positionV>
                <wp:extent cx="3386455" cy="103505"/>
                <wp:effectExtent l="2540" t="1905" r="1905" b="0"/>
                <wp:wrapTopAndBottom/>
                <wp:docPr id="18504320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E48E" w14:textId="77777777" w:rsidR="0074324D" w:rsidRDefault="0074324D">
                            <w:pPr>
                              <w:rPr>
                                <w:color w:val="auto"/>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06BA" id="Text Box 30" o:spid="_x0000_s1034" type="#_x0000_t202" style="position:absolute;left:0;text-align:left;margin-left:133.35pt;margin-top:27.6pt;width:266.65pt;height:8.15pt;z-index:251675648;visibility:visible;mso-wrap-style:square;mso-width-percent:0;mso-height-percent:0;mso-wrap-distance-left:141.25pt;mso-wrap-distance-top:0;mso-wrap-distance-right:114.1pt;mso-wrap-distance-bottom:540.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" filled="f" stroked="f">
                <v:textbox inset="0,0,0,0">
                  <w:txbxContent>
                    <w:p w14:paraId="703EE48E" w14:textId="77777777" w:rsidR="0074324D" w:rsidRDefault="0074324D">
                      <w:pPr>
                        <w:rPr>
                          <w:color w:val="auto"/>
                          <w:lang w:eastAsia="en-GB"/>
                        </w:rPr>
                      </w:pPr>
                    </w:p>
                  </w:txbxContent>
                </v:textbox>
                <w10:wrap type="topAndBottom" anchorx="margin" anchory="margin"/>
              </v:shape>
            </w:pict>
          </mc:Fallback>
        </mc:AlternateContent>
      </w:r>
      <w:r>
        <w:rPr>
          <w:noProof/>
        </w:rPr>
        <w:drawing>
          <wp:anchor distT="94615" distB="4533265" distL="1525270" distR="1181100" simplePos="0" relativeHeight="251676672" behindDoc="1" locked="0" layoutInCell="1" allowOverlap="1" wp14:anchorId="09BBFA98" wp14:editId="27F28CAD">
            <wp:simplePos x="0" y="0"/>
            <wp:positionH relativeFrom="margin">
              <wp:posOffset>1424940</wp:posOffset>
            </wp:positionH>
            <wp:positionV relativeFrom="margin">
              <wp:posOffset>445135</wp:posOffset>
            </wp:positionV>
            <wp:extent cx="3923030" cy="2343785"/>
            <wp:effectExtent l="0" t="0" r="0" b="0"/>
            <wp:wrapTopAndBottom/>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3030" cy="2343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2727960" distB="723265" distL="1132205" distR="1132205" simplePos="0" relativeHeight="251677696" behindDoc="1" locked="0" layoutInCell="1" allowOverlap="1" wp14:anchorId="0B8957B6" wp14:editId="27780DD5">
            <wp:simplePos x="0" y="0"/>
            <wp:positionH relativeFrom="margin">
              <wp:posOffset>1031875</wp:posOffset>
            </wp:positionH>
            <wp:positionV relativeFrom="margin">
              <wp:posOffset>3078480</wp:posOffset>
            </wp:positionV>
            <wp:extent cx="4364990" cy="3520440"/>
            <wp:effectExtent l="0" t="0" r="0" b="0"/>
            <wp:wrapTopAndBottom/>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4990" cy="35204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78720" behindDoc="0" locked="0" layoutInCell="1" allowOverlap="1" wp14:anchorId="2EF6A754" wp14:editId="1DC2685E">
                <wp:simplePos x="0" y="0"/>
                <wp:positionH relativeFrom="margin">
                  <wp:posOffset>13970</wp:posOffset>
                </wp:positionH>
                <wp:positionV relativeFrom="margin">
                  <wp:posOffset>6696710</wp:posOffset>
                </wp:positionV>
                <wp:extent cx="6400800" cy="448310"/>
                <wp:effectExtent l="0" t="4445" r="635" b="4445"/>
                <wp:wrapNone/>
                <wp:docPr id="9363706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C6F6" w14:textId="77777777" w:rsidR="0074324D" w:rsidRDefault="0074324D">
                            <w:pPr>
                              <w:pStyle w:val="Style7"/>
                              <w:rPr>
                                <w:rFonts w:ascii="Times New Roman" w:hAnsi="Times New Roman" w:cs="Times New Roman"/>
                                <w:sz w:val="24"/>
                                <w:szCs w:val="24"/>
                              </w:rPr>
                            </w:pPr>
                            <w:r>
                              <w:rPr>
                                <w:rStyle w:val="CharStyle8"/>
                                <w:lang w:eastAsia="da-DK"/>
                              </w:rPr>
                              <w:t>Figure 8. Clustering of vertically integrated phytoplankton biomass separated by model-defined functional group (diatoms, followed by flagellates, then ciliates). The domain is split into the CSoG, NSoG, and JdF, each of which exhibits distinct phytoplankton dynamics (see Sect. 3.5 and the Discussion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A754" id="Text Box 33" o:spid="_x0000_s1035" type="#_x0000_t202" style="position:absolute;left:0;text-align:left;margin-left:1.1pt;margin-top:527.3pt;width:7in;height:35.3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" filled="f" stroked="f">
                <v:textbox inset="0,0,0,0">
                  <w:txbxContent>
                    <w:p w14:paraId="38C9C6F6" w14:textId="77777777" w:rsidR="0074324D" w:rsidRDefault="0074324D">
                      <w:pPr>
                        <w:pStyle w:val="Style7"/>
                        <w:rPr>
                          <w:rFonts w:ascii="Times New Roman" w:hAnsi="Times New Roman" w:cs="Times New Roman"/>
                          <w:sz w:val="24"/>
                          <w:szCs w:val="24"/>
                        </w:rPr>
                      </w:pPr>
                      <w:r>
                        <w:rPr>
                          <w:rStyle w:val="CharStyle8"/>
                          <w:lang w:eastAsia="da-DK"/>
                        </w:rPr>
                        <w:t>Figure 8. Clustering of vertically integrated phytoplankton biomass separated by model-defined functional group (diatoms, followed by flagellates, then ciliates). The domain is split into the CSoG, NSoG, and JdF, each of which exhibits distinct phytoplankton dynamics (see Sect. 3.5 and the Discussion section).</w:t>
                      </w:r>
                    </w:p>
                  </w:txbxContent>
                </v:textbox>
                <w10:wrap anchorx="margin" anchory="margin"/>
              </v:shape>
            </w:pict>
          </mc:Fallback>
        </mc:AlternateContent>
      </w:r>
      <w:r>
        <w:rPr>
          <w:noProof/>
        </w:rPr>
        <w:drawing>
          <wp:anchor distT="4754880" distB="1442720" distL="1153795" distR="1153795" simplePos="0" relativeHeight="251679744" behindDoc="1" locked="0" layoutInCell="1" allowOverlap="1" wp14:anchorId="477DFC8F" wp14:editId="4801300D">
            <wp:simplePos x="0" y="0"/>
            <wp:positionH relativeFrom="margin">
              <wp:posOffset>1053465</wp:posOffset>
            </wp:positionH>
            <wp:positionV relativeFrom="margin">
              <wp:posOffset>5105400</wp:posOffset>
            </wp:positionV>
            <wp:extent cx="4321810" cy="774065"/>
            <wp:effectExtent l="0" t="0" r="0" b="0"/>
            <wp:wrapTopAndBottom/>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1810" cy="774065"/>
                    </a:xfrm>
                    <a:prstGeom prst="rect">
                      <a:avLst/>
                    </a:prstGeom>
                    <a:noFill/>
                  </pic:spPr>
                </pic:pic>
              </a:graphicData>
            </a:graphic>
            <wp14:sizeRelH relativeFrom="page">
              <wp14:pctWidth>0</wp14:pctWidth>
            </wp14:sizeRelH>
            <wp14:sizeRelV relativeFrom="page">
              <wp14:pctHeight>0</wp14:pctHeight>
            </wp14:sizeRelV>
          </wp:anchor>
        </w:drawing>
      </w:r>
      <w:r>
        <w:rPr>
          <w:rStyle w:val="CharStyle3"/>
          <w:lang w:eastAsia="da-DK"/>
        </w:rPr>
        <w:t>years except 2016, diatoms make up the majority (</w:t>
      </w:r>
      <w:r>
        <w:rPr>
          <w:rStyle w:val="CharStyle3"/>
          <w:rFonts w:ascii="Cambria Math" w:hAnsi="Cambria Math" w:cs="Cambria Math"/>
          <w:lang w:eastAsia="da-DK"/>
        </w:rPr>
        <w:t>∼</w:t>
      </w:r>
      <w:r>
        <w:rPr>
          <w:rStyle w:val="CharStyle3"/>
          <w:lang w:eastAsia="da-DK"/>
        </w:rPr>
        <w:t xml:space="preserve"> 55 %– 60 %) of summer phytoplankton biomass in this region.</w:t>
      </w:r>
    </w:p>
    <w:p w14:paraId="4AD2DABD"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In the Strait of Georgia, significant evidence of high sum</w:t>
      </w:r>
      <w:r>
        <w:rPr>
          <w:rStyle w:val="CharStyle3"/>
          <w:lang w:eastAsia="da-DK"/>
        </w:rPr>
        <w:softHyphen/>
        <w:t xml:space="preserve">mer biomass near strong mixing zones or in response to </w:t>
      </w:r>
      <w:r>
        <w:rPr>
          <w:rStyle w:val="CharStyle3"/>
          <w:lang w:val="en-US" w:eastAsia="en-US"/>
        </w:rPr>
        <w:t>mix</w:t>
      </w:r>
      <w:r>
        <w:rPr>
          <w:rStyle w:val="CharStyle3"/>
          <w:lang w:val="en-US" w:eastAsia="en-US"/>
        </w:rPr>
        <w:softHyphen/>
        <w:t>ing</w:t>
      </w:r>
      <w:r>
        <w:rPr>
          <w:rStyle w:val="CharStyle3"/>
          <w:lang w:eastAsia="da-DK"/>
        </w:rPr>
        <w:t xml:space="preserve"> driven-nutrient delivery exists. For example, early </w:t>
      </w:r>
      <w:r>
        <w:rPr>
          <w:rStyle w:val="CharStyle3"/>
          <w:lang w:val="en-US" w:eastAsia="en-US"/>
        </w:rPr>
        <w:t>sur</w:t>
      </w:r>
      <w:r>
        <w:rPr>
          <w:rStyle w:val="CharStyle3"/>
          <w:lang w:val="en-US" w:eastAsia="en-US"/>
        </w:rPr>
        <w:softHyphen/>
        <w:t>veys</w:t>
      </w:r>
      <w:r>
        <w:rPr>
          <w:rStyle w:val="CharStyle3"/>
          <w:lang w:eastAsia="da-DK"/>
        </w:rPr>
        <w:t xml:space="preserve"> of the system find high chlorophyll associated with </w:t>
      </w:r>
      <w:r>
        <w:rPr>
          <w:rStyle w:val="CharStyle3"/>
          <w:lang w:val="en-US" w:eastAsia="en-US"/>
        </w:rPr>
        <w:t>dy</w:t>
      </w:r>
      <w:r>
        <w:rPr>
          <w:rStyle w:val="CharStyle3"/>
          <w:lang w:val="en-US" w:eastAsia="en-US"/>
        </w:rPr>
        <w:softHyphen/>
        <w:t>namic</w:t>
      </w:r>
      <w:r>
        <w:rPr>
          <w:rStyle w:val="CharStyle3"/>
          <w:lang w:eastAsia="da-DK"/>
        </w:rPr>
        <w:t xml:space="preserve"> frontal regions in the northern and southern ends of the SoG </w:t>
      </w:r>
      <w:hyperlink w:anchor="bookmark111" w:tooltip="Current Document" w:history="1">
        <w:r>
          <w:rPr>
            <w:rStyle w:val="CharStyle3"/>
            <w:lang w:eastAsia="da-DK"/>
          </w:rPr>
          <w:t>(Parsons et al., 1981)</w:t>
        </w:r>
      </w:hyperlink>
      <w:r>
        <w:rPr>
          <w:rStyle w:val="CharStyle3"/>
          <w:lang w:eastAsia="da-DK"/>
        </w:rPr>
        <w:t xml:space="preserve">, and they consequently warn against drawing firm conclusions about the nature of </w:t>
      </w:r>
      <w:r>
        <w:rPr>
          <w:rStyle w:val="CharStyle3"/>
          <w:lang w:val="en-US" w:eastAsia="en-US"/>
        </w:rPr>
        <w:t>phyto</w:t>
      </w:r>
      <w:r>
        <w:rPr>
          <w:rStyle w:val="CharStyle3"/>
          <w:lang w:val="en-US" w:eastAsia="en-US"/>
        </w:rPr>
        <w:softHyphen/>
        <w:t>plankton</w:t>
      </w:r>
      <w:r>
        <w:rPr>
          <w:rStyle w:val="CharStyle3"/>
          <w:lang w:eastAsia="da-DK"/>
        </w:rPr>
        <w:t xml:space="preserve"> abundance and variability from episodic sampling in shifting frontal zones. Nutrient delivery via episodic tidal mixing events near Discovery Passage has been linked to </w:t>
      </w:r>
      <w:r>
        <w:rPr>
          <w:rStyle w:val="CharStyle3"/>
          <w:lang w:val="en-US" w:eastAsia="en-US"/>
        </w:rPr>
        <w:t>in</w:t>
      </w:r>
      <w:r>
        <w:rPr>
          <w:rStyle w:val="CharStyle3"/>
          <w:lang w:val="en-US" w:eastAsia="en-US"/>
        </w:rPr>
        <w:softHyphen/>
        <w:t>creased</w:t>
      </w:r>
      <w:r>
        <w:rPr>
          <w:rStyle w:val="CharStyle3"/>
          <w:lang w:eastAsia="da-DK"/>
        </w:rPr>
        <w:t xml:space="preserve"> biomass (e.g.,</w:t>
      </w:r>
      <w:hyperlink w:anchor="bookmark111" w:tooltip="Current Document" w:history="1">
        <w:r>
          <w:rPr>
            <w:rStyle w:val="CharStyle3"/>
            <w:lang w:eastAsia="da-DK"/>
          </w:rPr>
          <w:t xml:space="preserve"> Parsons et al., 1981;</w:t>
        </w:r>
      </w:hyperlink>
      <w:hyperlink w:anchor="bookmark87" w:tooltip="Current Document" w:history="1">
        <w:r>
          <w:rPr>
            <w:rStyle w:val="CharStyle3"/>
            <w:lang w:eastAsia="da-DK"/>
          </w:rPr>
          <w:t xml:space="preserve"> Haigh and Taylor,</w:t>
        </w:r>
      </w:hyperlink>
      <w:r>
        <w:rPr>
          <w:rStyle w:val="CharStyle3"/>
          <w:lang w:eastAsia="da-DK"/>
        </w:rPr>
        <w:t xml:space="preserve"> </w:t>
      </w:r>
      <w:hyperlink w:anchor="bookmark87" w:tooltip="Current Document" w:history="1">
        <w:r>
          <w:rPr>
            <w:rStyle w:val="CharStyle3"/>
            <w:lang w:eastAsia="da-DK"/>
          </w:rPr>
          <w:t>1991)</w:t>
        </w:r>
      </w:hyperlink>
      <w:r>
        <w:rPr>
          <w:rStyle w:val="CharStyle3"/>
          <w:lang w:eastAsia="da-DK"/>
        </w:rPr>
        <w:t xml:space="preserve"> and modeled primary productivity </w:t>
      </w:r>
      <w:hyperlink w:anchor="bookmark109" w:tooltip="Current Document" w:history="1">
        <w:r>
          <w:rPr>
            <w:rStyle w:val="CharStyle3"/>
            <w:lang w:eastAsia="da-DK"/>
          </w:rPr>
          <w:t>(Olson et al., 2020)</w:t>
        </w:r>
      </w:hyperlink>
      <w:r>
        <w:rPr>
          <w:rStyle w:val="CharStyle3"/>
          <w:lang w:eastAsia="da-DK"/>
        </w:rPr>
        <w:t xml:space="preserve">. Though this phenomenon has been recorded in the CSoG as well </w:t>
      </w:r>
      <w:hyperlink w:anchor="bookmark138" w:tooltip="Current Document" w:history="1">
        <w:r>
          <w:rPr>
            <w:rStyle w:val="CharStyle3"/>
            <w:lang w:eastAsia="da-DK"/>
          </w:rPr>
          <w:t>(Yin et al., 1997;</w:t>
        </w:r>
      </w:hyperlink>
      <w:hyperlink w:anchor="bookmark135" w:tooltip="Current Document" w:history="1">
        <w:r>
          <w:rPr>
            <w:rStyle w:val="CharStyle3"/>
            <w:lang w:eastAsia="da-DK"/>
          </w:rPr>
          <w:t xml:space="preserve"> St. John et al., 1993)</w:t>
        </w:r>
      </w:hyperlink>
      <w:r>
        <w:rPr>
          <w:rStyle w:val="CharStyle3"/>
          <w:lang w:eastAsia="da-DK"/>
        </w:rPr>
        <w:t>, higher stratifica-</w:t>
      </w:r>
    </w:p>
    <w:p w14:paraId="161E54FC" w14:textId="4D4D59A9" w:rsidR="0074324D" w:rsidRDefault="0074324D">
      <w:pPr>
        <w:jc w:val="center"/>
        <w:rPr>
          <w:color w:val="auto"/>
          <w:lang w:eastAsia="en-GB"/>
        </w:rPr>
      </w:pPr>
      <w:r>
        <w:rPr>
          <w:noProof/>
          <w:color w:val="auto"/>
          <w:lang w:eastAsia="en-GB"/>
        </w:rPr>
        <w:lastRenderedPageBreak/>
        <w:drawing>
          <wp:inline distT="0" distB="0" distL="0" distR="0" wp14:anchorId="474ED8E2" wp14:editId="29E18F90">
            <wp:extent cx="3067050" cy="46863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4686300"/>
                    </a:xfrm>
                    <a:prstGeom prst="rect">
                      <a:avLst/>
                    </a:prstGeom>
                    <a:noFill/>
                    <a:ln>
                      <a:noFill/>
                    </a:ln>
                  </pic:spPr>
                </pic:pic>
              </a:graphicData>
            </a:graphic>
          </wp:inline>
        </w:drawing>
      </w:r>
    </w:p>
    <w:p w14:paraId="24AF1699" w14:textId="77777777" w:rsidR="0074324D" w:rsidRDefault="0074324D">
      <w:pPr>
        <w:pStyle w:val="Style7"/>
        <w:jc w:val="both"/>
        <w:rPr>
          <w:rFonts w:ascii="Times New Roman" w:hAnsi="Times New Roman" w:cs="Times New Roman"/>
          <w:sz w:val="24"/>
          <w:szCs w:val="24"/>
        </w:rPr>
      </w:pPr>
      <w:r>
        <w:rPr>
          <w:rStyle w:val="CharStyle8"/>
          <w:lang w:eastAsia="da-DK"/>
        </w:rPr>
        <w:t xml:space="preserve">Figure 9. Depth-integrated phytoplankton biomass for the three main biological clusters (CSoG, NSoG, and JdF) differentiated by functional group. The annual, spring, and summer means of the </w:t>
      </w:r>
      <w:r>
        <w:rPr>
          <w:rStyle w:val="CharStyle8"/>
          <w:lang w:val="en-US" w:eastAsia="en-US"/>
        </w:rPr>
        <w:t>de</w:t>
      </w:r>
      <w:r>
        <w:rPr>
          <w:rStyle w:val="CharStyle8"/>
          <w:lang w:val="en-US" w:eastAsia="en-US"/>
        </w:rPr>
        <w:softHyphen/>
        <w:t>rived</w:t>
      </w:r>
      <w:r>
        <w:rPr>
          <w:rStyle w:val="CharStyle8"/>
          <w:lang w:eastAsia="da-DK"/>
        </w:rPr>
        <w:t xml:space="preserve"> clusters are shown for</w:t>
      </w:r>
      <w:r>
        <w:rPr>
          <w:rStyle w:val="CharStyle8"/>
          <w:lang w:eastAsia="da-DK"/>
        </w:rPr>
        <w:t xml:space="preserve"> all 4 modeled years. All three clustered regions have similar total biomass, which stays relatively consistent interannually, but functional group composition varies by cluster, with higher summer diatom abundance in the NSoG and JdF than in the CSoG. Spring is defined as March–May, and summer is June– August.</w:t>
      </w:r>
    </w:p>
    <w:p w14:paraId="6C02B742" w14:textId="77777777" w:rsidR="0074324D" w:rsidRDefault="0074324D">
      <w:pPr>
        <w:spacing w:after="619" w:line="1" w:lineRule="exact"/>
        <w:rPr>
          <w:color w:val="auto"/>
          <w:lang w:eastAsia="en-GB"/>
        </w:rPr>
      </w:pPr>
    </w:p>
    <w:p w14:paraId="3F3D4A59" w14:textId="77777777" w:rsidR="0074324D" w:rsidRDefault="0074324D">
      <w:pPr>
        <w:pStyle w:val="Style2"/>
        <w:jc w:val="both"/>
        <w:rPr>
          <w:rFonts w:ascii="Times New Roman" w:hAnsi="Times New Roman" w:cs="Times New Roman"/>
          <w:sz w:val="24"/>
          <w:szCs w:val="24"/>
        </w:rPr>
      </w:pPr>
      <w:r>
        <w:rPr>
          <w:rStyle w:val="CharStyle3"/>
          <w:lang w:eastAsia="da-DK"/>
        </w:rPr>
        <w:t xml:space="preserve">tion may dampen the magnitude of the nutrient pulses. </w:t>
      </w:r>
      <w:r>
        <w:rPr>
          <w:rStyle w:val="CharStyle3"/>
          <w:lang w:val="en-US" w:eastAsia="en-US"/>
        </w:rPr>
        <w:t>Sud</w:t>
      </w:r>
      <w:r>
        <w:rPr>
          <w:rStyle w:val="CharStyle3"/>
          <w:lang w:val="en-US" w:eastAsia="en-US"/>
        </w:rPr>
        <w:softHyphen/>
        <w:t>den</w:t>
      </w:r>
      <w:r>
        <w:rPr>
          <w:rStyle w:val="CharStyle3"/>
          <w:lang w:eastAsia="da-DK"/>
        </w:rPr>
        <w:t xml:space="preserve"> introduction of abundant nutrients is expected to favor the opportunist functional group represented by diatoms over the slower-growing gleaner functional group represented by flagellates, as is seen in our clustering </w:t>
      </w:r>
      <w:hyperlink w:anchor="bookmark86" w:tooltip="Current Document" w:history="1">
        <w:r>
          <w:rPr>
            <w:rStyle w:val="CharStyle3"/>
            <w:lang w:eastAsia="da-DK"/>
          </w:rPr>
          <w:t>(Cloern and Dufford,</w:t>
        </w:r>
      </w:hyperlink>
      <w:r>
        <w:rPr>
          <w:rStyle w:val="CharStyle3"/>
          <w:lang w:eastAsia="da-DK"/>
        </w:rPr>
        <w:t xml:space="preserve"> </w:t>
      </w:r>
      <w:hyperlink w:anchor="bookmark86" w:tooltip="Current Document" w:history="1">
        <w:r>
          <w:rPr>
            <w:rStyle w:val="CharStyle3"/>
            <w:lang w:eastAsia="da-DK"/>
          </w:rPr>
          <w:t>2005;</w:t>
        </w:r>
      </w:hyperlink>
      <w:hyperlink w:anchor="bookmark65" w:tooltip="Current Document" w:history="1">
        <w:r>
          <w:rPr>
            <w:rStyle w:val="CharStyle3"/>
            <w:lang w:eastAsia="da-DK"/>
          </w:rPr>
          <w:t xml:space="preserve"> Dutkiewicz et al., 2009)</w:t>
        </w:r>
      </w:hyperlink>
      <w:r>
        <w:rPr>
          <w:rStyle w:val="CharStyle3"/>
          <w:lang w:eastAsia="da-DK"/>
        </w:rPr>
        <w:t xml:space="preserve">. A recent 4-year time series of phytoplankton composition data at a station near Quadra Island in the NSoG supports this idea by showing episodic blooms of summer diatoms after wind events </w:t>
      </w:r>
      <w:hyperlink w:anchor="bookmark92" w:tooltip="Current Document" w:history="1">
        <w:r>
          <w:rPr>
            <w:rStyle w:val="CharStyle3"/>
            <w:lang w:eastAsia="da-DK"/>
          </w:rPr>
          <w:t>(Del Bel Bel-</w:t>
        </w:r>
      </w:hyperlink>
      <w:r>
        <w:rPr>
          <w:rStyle w:val="CharStyle3"/>
          <w:lang w:eastAsia="da-DK"/>
        </w:rPr>
        <w:t xml:space="preserve"> </w:t>
      </w:r>
      <w:hyperlink w:anchor="bookmark92" w:tooltip="Current Document" w:history="1">
        <w:r>
          <w:rPr>
            <w:rStyle w:val="CharStyle3"/>
            <w:lang w:eastAsia="da-DK"/>
          </w:rPr>
          <w:t>luz et al., 2021)</w:t>
        </w:r>
      </w:hyperlink>
      <w:r>
        <w:rPr>
          <w:rStyle w:val="CharStyle3"/>
          <w:lang w:eastAsia="da-DK"/>
        </w:rPr>
        <w:t xml:space="preserve">. Indirect evidence of episodic high biomass, sometimes following wind events, has been observed </w:t>
      </w:r>
      <w:r>
        <w:rPr>
          <w:rStyle w:val="CharStyle3"/>
          <w:lang w:val="en-US" w:eastAsia="en-US"/>
        </w:rPr>
        <w:t>else</w:t>
      </w:r>
      <w:r>
        <w:rPr>
          <w:rStyle w:val="CharStyle3"/>
          <w:lang w:val="en-US" w:eastAsia="en-US"/>
        </w:rPr>
        <w:softHyphen/>
        <w:t>where</w:t>
      </w:r>
      <w:r>
        <w:rPr>
          <w:rStyle w:val="CharStyle3"/>
          <w:lang w:eastAsia="da-DK"/>
        </w:rPr>
        <w:t xml:space="preserve"> in the NSoG </w:t>
      </w:r>
      <w:hyperlink w:anchor="bookmark70" w:tooltip="Current Document" w:history="1">
        <w:r>
          <w:rPr>
            <w:rStyle w:val="CharStyle3"/>
            <w:lang w:eastAsia="da-DK"/>
          </w:rPr>
          <w:t>(Evans et al., 2019;</w:t>
        </w:r>
      </w:hyperlink>
      <w:hyperlink w:anchor="bookmark117" w:tooltip="Current Document" w:history="1">
        <w:r>
          <w:rPr>
            <w:rStyle w:val="CharStyle3"/>
            <w:lang w:eastAsia="da-DK"/>
          </w:rPr>
          <w:t xml:space="preserve"> Mahara et al., 2021)</w:t>
        </w:r>
      </w:hyperlink>
      <w:r>
        <w:rPr>
          <w:rStyle w:val="CharStyle3"/>
          <w:lang w:eastAsia="da-DK"/>
        </w:rPr>
        <w:t>.</w:t>
      </w:r>
    </w:p>
    <w:p w14:paraId="2D5A1D69"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We suggest that our results reflect a controlling influence of stratification on phytoplankton biomass and community structure. Strong stratification concentrates phytoplankton biomass in a thin well-lit surface layer while limiting </w:t>
      </w:r>
      <w:r>
        <w:rPr>
          <w:rStyle w:val="CharStyle3"/>
          <w:lang w:val="en-US" w:eastAsia="en-US"/>
        </w:rPr>
        <w:t>sup</w:t>
      </w:r>
      <w:r>
        <w:rPr>
          <w:rStyle w:val="CharStyle3"/>
          <w:lang w:val="en-US" w:eastAsia="en-US"/>
        </w:rPr>
        <w:softHyphen/>
        <w:t>ply</w:t>
      </w:r>
      <w:r>
        <w:rPr>
          <w:rStyle w:val="CharStyle3"/>
          <w:lang w:eastAsia="da-DK"/>
        </w:rPr>
        <w:t xml:space="preserve"> of nutrients after the initial biological drawdown. In the model, these conditions favor high abundance of the gleaner flagellate group. In the NSoG, nutrient drawdown also </w:t>
      </w:r>
      <w:r>
        <w:rPr>
          <w:rStyle w:val="CharStyle3"/>
          <w:lang w:val="en-US" w:eastAsia="en-US"/>
        </w:rPr>
        <w:t>oc</w:t>
      </w:r>
      <w:r>
        <w:rPr>
          <w:rStyle w:val="CharStyle3"/>
          <w:lang w:val="en-US" w:eastAsia="en-US"/>
        </w:rPr>
        <w:softHyphen/>
        <w:t>curs,</w:t>
      </w:r>
      <w:r>
        <w:rPr>
          <w:rStyle w:val="CharStyle3"/>
          <w:lang w:eastAsia="da-DK"/>
        </w:rPr>
        <w:t xml:space="preserve"> but episodic wind events lead to </w:t>
      </w:r>
      <w:r>
        <w:rPr>
          <w:rStyle w:val="CharStyle3"/>
          <w:lang w:eastAsia="da-DK"/>
        </w:rPr>
        <w:t xml:space="preserve">stronger upwelling and mixing due to the comparatively weaker stratification and inject sharp pulses of nutrients into the near surface, </w:t>
      </w:r>
      <w:r>
        <w:rPr>
          <w:rStyle w:val="CharStyle3"/>
          <w:lang w:val="en-US" w:eastAsia="en-US"/>
        </w:rPr>
        <w:t>lead</w:t>
      </w:r>
      <w:r>
        <w:rPr>
          <w:rStyle w:val="CharStyle3"/>
          <w:lang w:val="en-US" w:eastAsia="en-US"/>
        </w:rPr>
        <w:softHyphen/>
        <w:t>ing</w:t>
      </w:r>
      <w:r>
        <w:rPr>
          <w:rStyle w:val="CharStyle3"/>
          <w:lang w:eastAsia="da-DK"/>
        </w:rPr>
        <w:t xml:space="preserve"> to sharp, short-lived diatom blooms </w:t>
      </w:r>
      <w:hyperlink w:anchor="bookmark101" w:tooltip="Current Document" w:history="1">
        <w:r>
          <w:rPr>
            <w:rStyle w:val="CharStyle3"/>
            <w:lang w:eastAsia="da-DK"/>
          </w:rPr>
          <w:t>(Moore-Maley and</w:t>
        </w:r>
      </w:hyperlink>
      <w:r>
        <w:rPr>
          <w:rStyle w:val="CharStyle3"/>
          <w:lang w:eastAsia="da-DK"/>
        </w:rPr>
        <w:t xml:space="preserve"> </w:t>
      </w:r>
      <w:hyperlink w:anchor="bookmark101" w:tooltip="Current Document" w:history="1">
        <w:r>
          <w:rPr>
            <w:rStyle w:val="CharStyle3"/>
            <w:lang w:eastAsia="da-DK"/>
          </w:rPr>
          <w:t>Allen, 2022)</w:t>
        </w:r>
      </w:hyperlink>
      <w:r>
        <w:rPr>
          <w:rStyle w:val="CharStyle3"/>
          <w:lang w:eastAsia="da-DK"/>
        </w:rPr>
        <w:t>. In contrast, in the CSoG, despite stronger sum</w:t>
      </w:r>
      <w:r>
        <w:rPr>
          <w:rStyle w:val="CharStyle3"/>
          <w:lang w:eastAsia="da-DK"/>
        </w:rPr>
        <w:softHyphen/>
        <w:t xml:space="preserve">mer winds, strong stratification continues to favor </w:t>
      </w:r>
      <w:r>
        <w:rPr>
          <w:rStyle w:val="CharStyle3"/>
          <w:lang w:val="en-US" w:eastAsia="en-US"/>
        </w:rPr>
        <w:t>gleaner</w:t>
      </w:r>
      <w:r>
        <w:rPr>
          <w:rStyle w:val="CharStyle3"/>
          <w:lang w:val="en-US" w:eastAsia="en-US"/>
        </w:rPr>
        <w:softHyphen/>
        <w:t>type</w:t>
      </w:r>
      <w:r>
        <w:rPr>
          <w:rStyle w:val="CharStyle3"/>
          <w:lang w:eastAsia="da-DK"/>
        </w:rPr>
        <w:t xml:space="preserve"> organisms. Faster-growing opportunist diatoms tend to outcompete gleaner flagellates when sufficient nutrients and light are available, but inherent variability in the physical environment promotes coexistence </w:t>
      </w:r>
      <w:hyperlink w:anchor="bookmark80" w:tooltip="Current Document" w:history="1">
        <w:r>
          <w:rPr>
            <w:rStyle w:val="CharStyle3"/>
            <w:lang w:eastAsia="da-DK"/>
          </w:rPr>
          <w:t>(Anderies and Beisner,</w:t>
        </w:r>
      </w:hyperlink>
      <w:r>
        <w:rPr>
          <w:rStyle w:val="CharStyle3"/>
          <w:lang w:eastAsia="da-DK"/>
        </w:rPr>
        <w:t xml:space="preserve"> </w:t>
      </w:r>
      <w:hyperlink w:anchor="bookmark80" w:tooltip="Current Document" w:history="1">
        <w:r>
          <w:rPr>
            <w:rStyle w:val="CharStyle3"/>
            <w:lang w:eastAsia="da-DK"/>
          </w:rPr>
          <w:t>2000)</w:t>
        </w:r>
      </w:hyperlink>
      <w:r>
        <w:rPr>
          <w:rStyle w:val="CharStyle3"/>
          <w:lang w:eastAsia="da-DK"/>
        </w:rPr>
        <w:t>. The result is only a modest, if any, change in biomass but a significant change in functional group composition and temporal variability between the NSoG and CSoG.</w:t>
      </w:r>
    </w:p>
    <w:p w14:paraId="75272041" w14:textId="77777777" w:rsidR="0074324D" w:rsidRDefault="0074324D">
      <w:pPr>
        <w:pStyle w:val="Style2"/>
        <w:spacing w:after="200"/>
        <w:ind w:firstLine="220"/>
        <w:jc w:val="both"/>
        <w:rPr>
          <w:rFonts w:ascii="Times New Roman" w:hAnsi="Times New Roman" w:cs="Times New Roman"/>
          <w:sz w:val="24"/>
          <w:szCs w:val="24"/>
        </w:rPr>
      </w:pPr>
      <w:r>
        <w:rPr>
          <w:rStyle w:val="CharStyle3"/>
          <w:lang w:eastAsia="da-DK"/>
        </w:rPr>
        <w:t xml:space="preserve">Peña et al. find higher biomass in the CSoG due to the deeper nutricline in the NSoG </w:t>
      </w:r>
      <w:hyperlink w:anchor="bookmark116" w:tooltip="Current Document" w:history="1">
        <w:r>
          <w:rPr>
            <w:rStyle w:val="CharStyle3"/>
            <w:lang w:eastAsia="da-DK"/>
          </w:rPr>
          <w:t>(Peña et al., 2016)</w:t>
        </w:r>
      </w:hyperlink>
      <w:r>
        <w:rPr>
          <w:rStyle w:val="CharStyle3"/>
          <w:lang w:eastAsia="da-DK"/>
        </w:rPr>
        <w:t xml:space="preserve">. We find instead that the increased mixing in the NSoG provides </w:t>
      </w:r>
      <w:r>
        <w:rPr>
          <w:rStyle w:val="CharStyle3"/>
          <w:lang w:val="en-US" w:eastAsia="en-US"/>
        </w:rPr>
        <w:t>in</w:t>
      </w:r>
      <w:r>
        <w:rPr>
          <w:rStyle w:val="CharStyle3"/>
          <w:lang w:val="en-US" w:eastAsia="en-US"/>
        </w:rPr>
        <w:softHyphen/>
        <w:t>creased</w:t>
      </w:r>
      <w:r>
        <w:rPr>
          <w:rStyle w:val="CharStyle3"/>
          <w:lang w:eastAsia="da-DK"/>
        </w:rPr>
        <w:t xml:space="preserve"> nutrients and that biomass in both regions is about the same. These two views are not directly reconcilable and which view is more representative of actual conditions </w:t>
      </w:r>
      <w:r>
        <w:rPr>
          <w:rStyle w:val="CharStyle3"/>
          <w:lang w:val="en-US" w:eastAsia="en-US"/>
        </w:rPr>
        <w:t>de</w:t>
      </w:r>
      <w:r>
        <w:rPr>
          <w:rStyle w:val="CharStyle3"/>
          <w:lang w:val="en-US" w:eastAsia="en-US"/>
        </w:rPr>
        <w:softHyphen/>
        <w:t>pends</w:t>
      </w:r>
      <w:r>
        <w:rPr>
          <w:rStyle w:val="CharStyle3"/>
          <w:lang w:eastAsia="da-DK"/>
        </w:rPr>
        <w:t xml:space="preserve"> on accurately capturing the balance between the action of mixing as a source of nutrients and mixing as a source of light reduction and phytoplankton dilution.</w:t>
      </w:r>
    </w:p>
    <w:p w14:paraId="790D5904" w14:textId="77777777" w:rsidR="0074324D" w:rsidRDefault="0074324D">
      <w:pPr>
        <w:pStyle w:val="Style15"/>
        <w:keepNext/>
        <w:keepLines/>
        <w:numPr>
          <w:ilvl w:val="1"/>
          <w:numId w:val="4"/>
        </w:numPr>
        <w:tabs>
          <w:tab w:val="left" w:pos="449"/>
        </w:tabs>
        <w:spacing w:line="295" w:lineRule="auto"/>
        <w:ind w:left="480" w:hanging="480"/>
        <w:jc w:val="both"/>
        <w:rPr>
          <w:sz w:val="24"/>
          <w:szCs w:val="24"/>
        </w:rPr>
      </w:pPr>
      <w:bookmarkStart w:id="21" w:name="bookmark41"/>
      <w:r>
        <w:rPr>
          <w:rStyle w:val="CharStyle16"/>
          <w:lang w:eastAsia="da-DK"/>
        </w:rPr>
        <w:t>Comparison with in situ phytoplankton functional group observations</w:t>
      </w:r>
      <w:bookmarkEnd w:id="21"/>
    </w:p>
    <w:p w14:paraId="101CF4F4" w14:textId="77777777" w:rsidR="0074324D" w:rsidRDefault="0074324D">
      <w:pPr>
        <w:pStyle w:val="Style2"/>
        <w:jc w:val="both"/>
        <w:rPr>
          <w:rFonts w:ascii="Times New Roman" w:hAnsi="Times New Roman" w:cs="Times New Roman"/>
          <w:sz w:val="24"/>
          <w:szCs w:val="24"/>
        </w:rPr>
      </w:pPr>
      <w:r>
        <w:rPr>
          <w:rStyle w:val="CharStyle3"/>
          <w:lang w:eastAsia="da-DK"/>
        </w:rPr>
        <w:t xml:space="preserve">The extent of phytoplankton diversity in the Salish Sea </w:t>
      </w:r>
      <w:r>
        <w:rPr>
          <w:rStyle w:val="CharStyle3"/>
          <w:lang w:val="en-US" w:eastAsia="en-US"/>
        </w:rPr>
        <w:t>can</w:t>
      </w:r>
      <w:r>
        <w:rPr>
          <w:rStyle w:val="CharStyle3"/>
          <w:lang w:val="en-US" w:eastAsia="en-US"/>
        </w:rPr>
        <w:softHyphen/>
        <w:t>not</w:t>
      </w:r>
      <w:r>
        <w:rPr>
          <w:rStyle w:val="CharStyle3"/>
          <w:lang w:eastAsia="da-DK"/>
        </w:rPr>
        <w:t xml:space="preserve"> be strictly condensed into</w:t>
      </w:r>
      <w:r>
        <w:rPr>
          <w:rStyle w:val="CharStyle3"/>
          <w:lang w:eastAsia="da-DK"/>
        </w:rPr>
        <w:t xml:space="preserve"> the three functional groups represented in this model. The divide of the phytoplankton functional groups in the model does not precisely correspond to a split between diatoms and all types of flagellates. For instance, silicoflagellates (class Dictyochophyceae) might align with the diatom class based on silicon utilization. For this reason, we discuss these classes in terms of competition between opportunist-type primary producers with high </w:t>
      </w:r>
      <w:r>
        <w:rPr>
          <w:rStyle w:val="CharStyle3"/>
          <w:lang w:val="en-US" w:eastAsia="en-US"/>
        </w:rPr>
        <w:t>nu</w:t>
      </w:r>
      <w:r>
        <w:rPr>
          <w:rStyle w:val="CharStyle3"/>
          <w:lang w:val="en-US" w:eastAsia="en-US"/>
        </w:rPr>
        <w:softHyphen/>
        <w:t>trient</w:t>
      </w:r>
      <w:r>
        <w:rPr>
          <w:rStyle w:val="CharStyle3"/>
          <w:lang w:eastAsia="da-DK"/>
        </w:rPr>
        <w:t xml:space="preserve"> needs and high light needs and gleaner-type primary prod</w:t>
      </w:r>
      <w:r>
        <w:rPr>
          <w:rStyle w:val="CharStyle3"/>
          <w:lang w:eastAsia="da-DK"/>
        </w:rPr>
        <w:t>ucers with capacity to persist at lower nutrient and light levels. For this study, the requirement is capturing the over</w:t>
      </w:r>
      <w:r>
        <w:rPr>
          <w:rStyle w:val="CharStyle3"/>
          <w:lang w:eastAsia="da-DK"/>
        </w:rPr>
        <w:softHyphen/>
        <w:t>all regional biomass patterns and function. Here we provide a brief comparison between our results and available in situ phytoplankton functional group observations.</w:t>
      </w:r>
    </w:p>
    <w:p w14:paraId="41EDE9EA"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In situ measurements of the relative abundance of </w:t>
      </w:r>
      <w:r>
        <w:rPr>
          <w:rStyle w:val="CharStyle3"/>
          <w:lang w:val="en-US" w:eastAsia="en-US"/>
        </w:rPr>
        <w:t>phy</w:t>
      </w:r>
      <w:r>
        <w:rPr>
          <w:rStyle w:val="CharStyle3"/>
          <w:lang w:val="en-US" w:eastAsia="en-US"/>
        </w:rPr>
        <w:softHyphen/>
        <w:t>toplankton</w:t>
      </w:r>
      <w:r>
        <w:rPr>
          <w:rStyle w:val="CharStyle3"/>
          <w:lang w:eastAsia="da-DK"/>
        </w:rPr>
        <w:t xml:space="preserve"> functional groups remain rare in the Salish Sea and tend to be sparse in space and/or time. In situ observa</w:t>
      </w:r>
      <w:r>
        <w:rPr>
          <w:rStyle w:val="CharStyle3"/>
          <w:lang w:eastAsia="da-DK"/>
        </w:rPr>
        <w:softHyphen/>
        <w:t xml:space="preserve">tions represent a snapshot at a single station and depth, while model output instead presents the average of a much larger volume (the discrete model cell). A recent temporally well- resolved 4-year (2015–2018) time series of phytoplankton biomass and composition, derived from high-performance liquid chromatography (HPLC) analysis of phytoplankton pigments, taken at a single station in </w:t>
      </w:r>
      <w:r>
        <w:rPr>
          <w:rStyle w:val="CharStyle3"/>
          <w:lang w:eastAsia="da-DK"/>
        </w:rPr>
        <w:t xml:space="preserve">the NSoG </w:t>
      </w:r>
      <w:hyperlink w:anchor="bookmark92" w:tooltip="Current Document" w:history="1">
        <w:r>
          <w:rPr>
            <w:rStyle w:val="CharStyle3"/>
            <w:lang w:eastAsia="da-DK"/>
          </w:rPr>
          <w:t>(Del Bel Bel-</w:t>
        </w:r>
      </w:hyperlink>
      <w:r>
        <w:rPr>
          <w:rStyle w:val="CharStyle3"/>
          <w:lang w:eastAsia="da-DK"/>
        </w:rPr>
        <w:t xml:space="preserve"> </w:t>
      </w:r>
      <w:hyperlink w:anchor="bookmark92" w:tooltip="Current Document" w:history="1">
        <w:r>
          <w:rPr>
            <w:rStyle w:val="CharStyle3"/>
            <w:lang w:eastAsia="da-DK"/>
          </w:rPr>
          <w:t>luz et al., 2021)</w:t>
        </w:r>
      </w:hyperlink>
      <w:r>
        <w:rPr>
          <w:rStyle w:val="CharStyle3"/>
          <w:lang w:eastAsia="da-DK"/>
        </w:rPr>
        <w:t xml:space="preserve"> provides a starting point for such a </w:t>
      </w:r>
      <w:r>
        <w:rPr>
          <w:rStyle w:val="CharStyle3"/>
          <w:lang w:val="en-US" w:eastAsia="en-US"/>
        </w:rPr>
        <w:t>compari</w:t>
      </w:r>
      <w:r>
        <w:rPr>
          <w:rStyle w:val="CharStyle3"/>
          <w:lang w:val="en-US" w:eastAsia="en-US"/>
        </w:rPr>
        <w:softHyphen/>
        <w:t>son.</w:t>
      </w:r>
      <w:r>
        <w:rPr>
          <w:rStyle w:val="CharStyle3"/>
          <w:lang w:eastAsia="da-DK"/>
        </w:rPr>
        <w:t xml:space="preserve"> The in situ data, taken from a depth of 5 m, show diatom- dominated blooms with varying start dates in the spring </w:t>
      </w:r>
      <w:r>
        <w:rPr>
          <w:rStyle w:val="CharStyle3"/>
          <w:lang w:val="en-US" w:eastAsia="en-US"/>
        </w:rPr>
        <w:t>sea</w:t>
      </w:r>
      <w:r>
        <w:rPr>
          <w:rStyle w:val="CharStyle3"/>
          <w:lang w:val="en-US" w:eastAsia="en-US"/>
        </w:rPr>
        <w:softHyphen/>
        <w:t>son,</w:t>
      </w:r>
      <w:r>
        <w:rPr>
          <w:rStyle w:val="CharStyle3"/>
          <w:lang w:eastAsia="da-DK"/>
        </w:rPr>
        <w:t xml:space="preserve"> followed by a transition to a regime wherein flagellate- type groups (chiefly prasinophytes and cryptophytes) make up the majority of phytoplankton biomass, but diatoms </w:t>
      </w:r>
      <w:r>
        <w:rPr>
          <w:rStyle w:val="CharStyle3"/>
          <w:lang w:val="en-US" w:eastAsia="en-US"/>
        </w:rPr>
        <w:t>re</w:t>
      </w:r>
      <w:r>
        <w:rPr>
          <w:rStyle w:val="CharStyle3"/>
          <w:lang w:val="en-US" w:eastAsia="en-US"/>
        </w:rPr>
        <w:softHyphen/>
        <w:t>main</w:t>
      </w:r>
      <w:r>
        <w:rPr>
          <w:rStyle w:val="CharStyle3"/>
          <w:lang w:eastAsia="da-DK"/>
        </w:rPr>
        <w:t xml:space="preserve"> present </w:t>
      </w:r>
      <w:hyperlink w:anchor="bookmark92" w:tooltip="Current Document" w:history="1">
        <w:r>
          <w:rPr>
            <w:rStyle w:val="CharStyle3"/>
            <w:lang w:eastAsia="da-DK"/>
          </w:rPr>
          <w:t>(Del Bel Belluz et al., 2021,</w:t>
        </w:r>
      </w:hyperlink>
      <w:r>
        <w:rPr>
          <w:rStyle w:val="CharStyle3"/>
          <w:lang w:eastAsia="da-DK"/>
        </w:rPr>
        <w:t xml:space="preserve"> their Figs. 4, 5). Episodic later-summer diatom blooms occur in 3 of the 4 ob</w:t>
      </w:r>
      <w:r>
        <w:rPr>
          <w:rStyle w:val="CharStyle3"/>
          <w:lang w:eastAsia="da-DK"/>
        </w:rPr>
        <w:softHyphen/>
        <w:t>servational years, corroborating the modeled later-summer NSoG diatom blooms seen in this study.</w:t>
      </w:r>
    </w:p>
    <w:p w14:paraId="5F339577"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Local phytoplankton composition data derived from </w:t>
      </w:r>
      <w:r>
        <w:rPr>
          <w:rStyle w:val="CharStyle3"/>
          <w:lang w:val="en-US" w:eastAsia="en-US"/>
        </w:rPr>
        <w:t>ship</w:t>
      </w:r>
      <w:r>
        <w:rPr>
          <w:rStyle w:val="CharStyle3"/>
          <w:lang w:val="en-US" w:eastAsia="en-US"/>
        </w:rPr>
        <w:softHyphen/>
        <w:t>board</w:t>
      </w:r>
      <w:r>
        <w:rPr>
          <w:rStyle w:val="CharStyle3"/>
          <w:lang w:eastAsia="da-DK"/>
        </w:rPr>
        <w:t xml:space="preserve"> </w:t>
      </w:r>
      <w:r>
        <w:rPr>
          <w:rStyle w:val="CharStyle3"/>
          <w:lang w:eastAsia="da-DK"/>
        </w:rPr>
        <w:lastRenderedPageBreak/>
        <w:t>observations from spring, summer, and autumn cruises spanning the Juan de Fuca Strait and both the CSoG and the NSoG are also available as a technical report by</w:t>
      </w:r>
      <w:hyperlink w:anchor="bookmark105" w:tooltip="Current Document" w:history="1">
        <w:r>
          <w:rPr>
            <w:rStyle w:val="CharStyle3"/>
            <w:lang w:eastAsia="da-DK"/>
          </w:rPr>
          <w:t xml:space="preserve"> Nem-</w:t>
        </w:r>
      </w:hyperlink>
      <w:r>
        <w:rPr>
          <w:rStyle w:val="CharStyle3"/>
          <w:lang w:eastAsia="da-DK"/>
        </w:rPr>
        <w:t xml:space="preserve"> </w:t>
      </w:r>
      <w:hyperlink w:anchor="bookmark105" w:tooltip="Current Document" w:history="1">
        <w:r>
          <w:rPr>
            <w:rStyle w:val="CharStyle3"/>
            <w:lang w:eastAsia="da-DK"/>
          </w:rPr>
          <w:t>cek et al. (2020)</w:t>
        </w:r>
      </w:hyperlink>
      <w:r>
        <w:rPr>
          <w:rStyle w:val="CharStyle3"/>
          <w:lang w:eastAsia="da-DK"/>
        </w:rPr>
        <w:t>. Unlike the Del Bel Belluz study, these data are relatively well-resolved in space but less resolved tem</w:t>
      </w:r>
      <w:r>
        <w:rPr>
          <w:rStyle w:val="CharStyle3"/>
          <w:lang w:eastAsia="da-DK"/>
        </w:rPr>
        <w:softHyphen/>
        <w:t xml:space="preserve">porally; in a given year, typically only 1 d of observations is available for each station. The relative abundance of </w:t>
      </w:r>
      <w:r>
        <w:rPr>
          <w:rStyle w:val="CharStyle3"/>
          <w:lang w:val="en-US" w:eastAsia="en-US"/>
        </w:rPr>
        <w:t>phy</w:t>
      </w:r>
      <w:r>
        <w:rPr>
          <w:rStyle w:val="CharStyle3"/>
          <w:lang w:val="en-US" w:eastAsia="en-US"/>
        </w:rPr>
        <w:softHyphen/>
        <w:t>toplankton</w:t>
      </w:r>
      <w:r>
        <w:rPr>
          <w:rStyle w:val="CharStyle3"/>
          <w:lang w:eastAsia="da-DK"/>
        </w:rPr>
        <w:t xml:space="preserve"> functional groups in the three regions is thus in- terannually variable </w:t>
      </w:r>
      <w:hyperlink w:anchor="bookmark105" w:tooltip="Current Document" w:history="1">
        <w:r>
          <w:rPr>
            <w:rStyle w:val="CharStyle3"/>
            <w:lang w:eastAsia="da-DK"/>
          </w:rPr>
          <w:t>(Nemcek et al., 2020,</w:t>
        </w:r>
      </w:hyperlink>
      <w:r>
        <w:rPr>
          <w:rStyle w:val="CharStyle3"/>
          <w:lang w:eastAsia="da-DK"/>
        </w:rPr>
        <w:t xml:space="preserve"> their Fig. 39-2), and in contrast to the Del Bel Belluz study, the data show only limited summer presence of diatoms in the NSoG in </w:t>
      </w:r>
      <w:r>
        <w:rPr>
          <w:rStyle w:val="CharStyle3"/>
          <w:lang w:val="en-US" w:eastAsia="en-US"/>
        </w:rPr>
        <w:t>ei</w:t>
      </w:r>
      <w:r>
        <w:rPr>
          <w:rStyle w:val="CharStyle3"/>
          <w:lang w:val="en-US" w:eastAsia="en-US"/>
        </w:rPr>
        <w:softHyphen/>
        <w:t>ther</w:t>
      </w:r>
      <w:r>
        <w:rPr>
          <w:rStyle w:val="CharStyle3"/>
          <w:lang w:eastAsia="da-DK"/>
        </w:rPr>
        <w:t xml:space="preserve"> of the years overlapping with our study (2015 and 2016). These observations contradict trends seen in our model. </w:t>
      </w:r>
      <w:r>
        <w:rPr>
          <w:rStyle w:val="CharStyle3"/>
          <w:lang w:val="en-US" w:eastAsia="en-US"/>
        </w:rPr>
        <w:t>Si</w:t>
      </w:r>
      <w:r>
        <w:rPr>
          <w:rStyle w:val="CharStyle3"/>
          <w:lang w:val="en-US" w:eastAsia="en-US"/>
        </w:rPr>
        <w:softHyphen/>
        <w:t>multaneously,</w:t>
      </w:r>
      <w:r>
        <w:rPr>
          <w:rStyle w:val="CharStyle3"/>
          <w:lang w:eastAsia="da-DK"/>
        </w:rPr>
        <w:t xml:space="preserve"> these data show summer diatom dominance in the well-mixed Haro Strait region, corresponding to our tidal mixing region, which echoes trends we see in this study. Taken together, these two in situ phytoplankton composition studies each provid</w:t>
      </w:r>
      <w:r>
        <w:rPr>
          <w:rStyle w:val="CharStyle3"/>
          <w:lang w:eastAsia="da-DK"/>
        </w:rPr>
        <w:t xml:space="preserve">e some corroboration of patterns we see in the model but differ from each other regarding summertime diatom representation in the NSoG. Combined with the </w:t>
      </w:r>
      <w:r>
        <w:rPr>
          <w:rStyle w:val="CharStyle3"/>
          <w:lang w:val="en-US" w:eastAsia="en-US"/>
        </w:rPr>
        <w:t>mod</w:t>
      </w:r>
      <w:r>
        <w:rPr>
          <w:rStyle w:val="CharStyle3"/>
          <w:lang w:val="en-US" w:eastAsia="en-US"/>
        </w:rPr>
        <w:softHyphen/>
        <w:t>eling,</w:t>
      </w:r>
      <w:r>
        <w:rPr>
          <w:rStyle w:val="CharStyle3"/>
          <w:lang w:eastAsia="da-DK"/>
        </w:rPr>
        <w:t xml:space="preserve"> these three perspectives on phytoplankton composition and biogeography each represent different spatial and tempo</w:t>
      </w:r>
      <w:r>
        <w:rPr>
          <w:rStyle w:val="CharStyle3"/>
          <w:lang w:eastAsia="da-DK"/>
        </w:rPr>
        <w:softHyphen/>
        <w:t>ral scales. The questions raised by their contrasting findings highlight the need for both modeling and observational work to provide a holistic view of the local biophysical dynamics.</w:t>
      </w:r>
    </w:p>
    <w:p w14:paraId="58F9DFCE"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Our modeling study is necessarily subject to lim</w:t>
      </w:r>
      <w:r>
        <w:rPr>
          <w:rStyle w:val="CharStyle3"/>
          <w:lang w:eastAsia="da-DK"/>
        </w:rPr>
        <w:t>itations. For example, very high biomass shown in the tidal mixing region (Fig. 8, cluster 1/gold) could be an artifact of slower phytoplankton mortality rates, at least at times, than occur in nature, with phytoplankton mixed deep into the water col</w:t>
      </w:r>
      <w:r>
        <w:rPr>
          <w:rStyle w:val="CharStyle3"/>
          <w:lang w:eastAsia="da-DK"/>
        </w:rPr>
        <w:softHyphen/>
        <w:t>umn and persisting too long. Such a rate imbalance would affect the response to mixing described above. Available ob</w:t>
      </w:r>
      <w:r>
        <w:rPr>
          <w:rStyle w:val="CharStyle3"/>
          <w:lang w:eastAsia="da-DK"/>
        </w:rPr>
        <w:softHyphen/>
        <w:t>servations support model phytoplankton levels in this region but are limited to the upper water column. Because model– data agreement on biomass</w:t>
      </w:r>
      <w:r>
        <w:rPr>
          <w:rStyle w:val="CharStyle3"/>
          <w:lang w:eastAsia="da-DK"/>
        </w:rPr>
        <w:t xml:space="preserve"> and nitrate is strong in these re</w:t>
      </w:r>
      <w:r>
        <w:rPr>
          <w:rStyle w:val="CharStyle3"/>
          <w:lang w:eastAsia="da-DK"/>
        </w:rPr>
        <w:softHyphen/>
        <w:t>gions, we believe the mechanism of nutrient delivery by wind events in the less stratified north, leading to dominance of faster-growing phytoplankton, is robust.</w:t>
      </w:r>
    </w:p>
    <w:p w14:paraId="050BB90E" w14:textId="77777777" w:rsidR="0074324D" w:rsidRDefault="0074324D">
      <w:pPr>
        <w:pStyle w:val="Style15"/>
        <w:keepNext/>
        <w:keepLines/>
        <w:numPr>
          <w:ilvl w:val="1"/>
          <w:numId w:val="4"/>
        </w:numPr>
        <w:tabs>
          <w:tab w:val="left" w:pos="449"/>
        </w:tabs>
        <w:jc w:val="both"/>
        <w:rPr>
          <w:sz w:val="24"/>
          <w:szCs w:val="24"/>
        </w:rPr>
      </w:pPr>
      <w:bookmarkStart w:id="22" w:name="bookmark43"/>
      <w:r>
        <w:rPr>
          <w:rStyle w:val="CharStyle16"/>
          <w:lang w:eastAsia="da-DK"/>
        </w:rPr>
        <w:t>Juan de Fuca Strait</w:t>
      </w:r>
      <w:bookmarkEnd w:id="22"/>
    </w:p>
    <w:p w14:paraId="2DC7120C" w14:textId="77777777" w:rsidR="0074324D" w:rsidRDefault="0074324D">
      <w:pPr>
        <w:pStyle w:val="Style2"/>
        <w:jc w:val="both"/>
        <w:rPr>
          <w:rFonts w:ascii="Times New Roman" w:hAnsi="Times New Roman" w:cs="Times New Roman"/>
          <w:sz w:val="24"/>
          <w:szCs w:val="24"/>
        </w:rPr>
      </w:pPr>
      <w:r>
        <w:rPr>
          <w:rStyle w:val="CharStyle3"/>
          <w:lang w:eastAsia="da-DK"/>
        </w:rPr>
        <w:t xml:space="preserve">Our results suggest that the mean annual average depth- integrated biomass is about the same in all three physical regions, including the well-mixed, weakly stratified JdF. In contrast, previous studies suggested a lower biomass in JdF </w:t>
      </w:r>
      <w:hyperlink w:anchor="bookmark123" w:tooltip="Current Document" w:history="1">
        <w:r>
          <w:rPr>
            <w:rStyle w:val="CharStyle3"/>
            <w:lang w:eastAsia="da-DK"/>
          </w:rPr>
          <w:t>(Masson and Peña, 2009;</w:t>
        </w:r>
      </w:hyperlink>
      <w:hyperlink w:anchor="bookmark116" w:tooltip="Current Document" w:history="1">
        <w:r>
          <w:rPr>
            <w:rStyle w:val="CharStyle3"/>
            <w:lang w:eastAsia="da-DK"/>
          </w:rPr>
          <w:t xml:space="preserve"> Peña et al., 2016)</w:t>
        </w:r>
      </w:hyperlink>
      <w:r>
        <w:rPr>
          <w:rStyle w:val="CharStyle3"/>
          <w:lang w:eastAsia="da-DK"/>
        </w:rPr>
        <w:t xml:space="preserve"> due to a deeper nutricline. However, recent in situ chlorophyll and nutrient data (2013–2016) support our result. In fact, the evaluation suggests that, for dates and locations for which observations are available, the model slightly underestimates observed biomass in Juan de Fuca Strait (Fig. A2, Table</w:t>
      </w:r>
      <w:hyperlink w:anchor="bookmark54" w:tooltip="Current Document" w:history="1">
        <w:r>
          <w:rPr>
            <w:rStyle w:val="CharStyle3"/>
            <w:lang w:eastAsia="da-DK"/>
          </w:rPr>
          <w:t xml:space="preserve"> A2)</w:t>
        </w:r>
      </w:hyperlink>
      <w:r>
        <w:rPr>
          <w:rStyle w:val="CharStyle3"/>
          <w:lang w:eastAsia="da-DK"/>
        </w:rPr>
        <w:t>.</w:t>
      </w:r>
    </w:p>
    <w:p w14:paraId="490C2688"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One factor contributing to the difference between these conclusions may be the vertical structure in the biomass </w:t>
      </w:r>
      <w:r>
        <w:rPr>
          <w:rStyle w:val="CharStyle3"/>
          <w:lang w:val="en-US" w:eastAsia="en-US"/>
        </w:rPr>
        <w:t>ob</w:t>
      </w:r>
      <w:r>
        <w:rPr>
          <w:rStyle w:val="CharStyle3"/>
          <w:lang w:val="en-US" w:eastAsia="en-US"/>
        </w:rPr>
        <w:softHyphen/>
        <w:t>served</w:t>
      </w:r>
      <w:r>
        <w:rPr>
          <w:rStyle w:val="CharStyle3"/>
          <w:lang w:eastAsia="da-DK"/>
        </w:rPr>
        <w:t xml:space="preserve"> by both MP09 and the model. </w:t>
      </w:r>
      <w:r>
        <w:rPr>
          <w:rStyle w:val="CharStyle3"/>
          <w:lang w:eastAsia="da-DK"/>
        </w:rPr>
        <w:t>In MP09, the spring phytoplankton biomass is much more prominent in the CSoG and NSoG than in JdF. The spring biomass exhibits a strong subsurface maximum (</w:t>
      </w:r>
      <w:r>
        <w:rPr>
          <w:rStyle w:val="CharStyle3"/>
          <w:rFonts w:ascii="Cambria Math" w:hAnsi="Cambria Math" w:cs="Cambria Math"/>
          <w:lang w:eastAsia="da-DK"/>
        </w:rPr>
        <w:t>∼</w:t>
      </w:r>
      <w:r>
        <w:rPr>
          <w:rStyle w:val="CharStyle3"/>
          <w:lang w:eastAsia="da-DK"/>
        </w:rPr>
        <w:t xml:space="preserve"> 10 m in the chlorophyll observa</w:t>
      </w:r>
      <w:r>
        <w:rPr>
          <w:rStyle w:val="CharStyle3"/>
          <w:lang w:eastAsia="da-DK"/>
        </w:rPr>
        <w:softHyphen/>
        <w:t xml:space="preserve">tions) and persists relatively deep into the water column (up to 40 m). However, though overall concentrations reported in MP09 are lower in all seasons in JdF, observed chlorophyll concentrations </w:t>
      </w:r>
      <w:r>
        <w:rPr>
          <w:rStyle w:val="CharStyle3"/>
          <w:sz w:val="16"/>
          <w:szCs w:val="16"/>
          <w:lang w:eastAsia="da-DK"/>
        </w:rPr>
        <w:t>&gt;</w:t>
      </w:r>
      <w:r>
        <w:rPr>
          <w:rStyle w:val="CharStyle3"/>
          <w:lang w:eastAsia="da-DK"/>
        </w:rPr>
        <w:t>= 1 mg m</w:t>
      </w:r>
      <w:r>
        <w:rPr>
          <w:rStyle w:val="CharStyle3"/>
          <w:sz w:val="13"/>
          <w:szCs w:val="13"/>
          <w:vertAlign w:val="superscript"/>
          <w:lang w:eastAsia="da-DK"/>
        </w:rPr>
        <w:t>-</w:t>
      </w:r>
      <w:r>
        <w:rPr>
          <w:rStyle w:val="CharStyle3"/>
          <w:vertAlign w:val="superscript"/>
          <w:lang w:eastAsia="da-DK"/>
        </w:rPr>
        <w:t>3</w:t>
      </w:r>
      <w:r>
        <w:rPr>
          <w:rStyle w:val="CharStyle3"/>
          <w:lang w:eastAsia="da-DK"/>
        </w:rPr>
        <w:t xml:space="preserve"> persist at deeper depths in most seasons in Juan de Fuca than in both regions of the Strait of Georgia (up to 50 m in </w:t>
      </w:r>
      <w:r>
        <w:rPr>
          <w:rStyle w:val="CharStyle3"/>
          <w:lang w:eastAsia="da-DK"/>
        </w:rPr>
        <w:t xml:space="preserve">the spring, summer, and fall), and in summer and fall, the NSoG exhibits slightly deeper </w:t>
      </w:r>
      <w:r>
        <w:rPr>
          <w:rStyle w:val="CharStyle3"/>
          <w:lang w:val="en-US" w:eastAsia="en-US"/>
        </w:rPr>
        <w:t>phy</w:t>
      </w:r>
      <w:r>
        <w:rPr>
          <w:rStyle w:val="CharStyle3"/>
          <w:lang w:val="en-US" w:eastAsia="en-US"/>
        </w:rPr>
        <w:softHyphen/>
        <w:t>toplankton</w:t>
      </w:r>
      <w:r>
        <w:rPr>
          <w:rStyle w:val="CharStyle3"/>
          <w:lang w:eastAsia="da-DK"/>
        </w:rPr>
        <w:t xml:space="preserve"> persistence compared to the CSoG. We replicate t</w:t>
      </w:r>
      <w:r>
        <w:rPr>
          <w:rStyle w:val="CharStyle3"/>
          <w:lang w:eastAsia="da-DK"/>
        </w:rPr>
        <w:t xml:space="preserve">hese trends in general vertical structure (Fig. C4), with a prominent subsurface maximum at </w:t>
      </w:r>
      <w:r>
        <w:rPr>
          <w:rStyle w:val="CharStyle3"/>
          <w:rFonts w:ascii="Cambria Math" w:hAnsi="Cambria Math" w:cs="Cambria Math"/>
          <w:lang w:eastAsia="da-DK"/>
        </w:rPr>
        <w:t>∼</w:t>
      </w:r>
      <w:r>
        <w:rPr>
          <w:rStyle w:val="CharStyle3"/>
          <w:lang w:eastAsia="da-DK"/>
        </w:rPr>
        <w:t xml:space="preserve"> 6–8 m and </w:t>
      </w:r>
      <w:r>
        <w:rPr>
          <w:rStyle w:val="CharStyle3"/>
          <w:lang w:val="en-US" w:eastAsia="en-US"/>
        </w:rPr>
        <w:t>phytoplank</w:t>
      </w:r>
      <w:r>
        <w:rPr>
          <w:rStyle w:val="CharStyle3"/>
          <w:lang w:val="en-US" w:eastAsia="en-US"/>
        </w:rPr>
        <w:softHyphen/>
        <w:t>ton</w:t>
      </w:r>
      <w:r>
        <w:rPr>
          <w:rStyle w:val="CharStyle3"/>
          <w:lang w:eastAsia="da-DK"/>
        </w:rPr>
        <w:t xml:space="preserve"> biomass mixed deeper in Juan de Fuca Strait than in </w:t>
      </w:r>
      <w:r>
        <w:rPr>
          <w:rStyle w:val="CharStyle3"/>
          <w:lang w:val="en-US" w:eastAsia="en-US"/>
        </w:rPr>
        <w:t>ei</w:t>
      </w:r>
      <w:r>
        <w:rPr>
          <w:rStyle w:val="CharStyle3"/>
          <w:lang w:val="en-US" w:eastAsia="en-US"/>
        </w:rPr>
        <w:softHyphen/>
        <w:t>ther</w:t>
      </w:r>
      <w:r>
        <w:rPr>
          <w:rStyle w:val="CharStyle3"/>
          <w:lang w:eastAsia="da-DK"/>
        </w:rPr>
        <w:t xml:space="preserve"> region of the Strait of Georgia.</w:t>
      </w:r>
    </w:p>
    <w:p w14:paraId="722F16E1"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 xml:space="preserve">This vertical structure likely leads to a dilution effect – even when phytoplankton concentration at a given depth may be lower in Juan de Fuca Strait than in the Strait of </w:t>
      </w:r>
      <w:r>
        <w:rPr>
          <w:rStyle w:val="CharStyle3"/>
          <w:lang w:val="en-US" w:eastAsia="en-US"/>
        </w:rPr>
        <w:t>Geor</w:t>
      </w:r>
      <w:r>
        <w:rPr>
          <w:rStyle w:val="CharStyle3"/>
          <w:lang w:val="en-US" w:eastAsia="en-US"/>
        </w:rPr>
        <w:softHyphen/>
        <w:t>gia,</w:t>
      </w:r>
      <w:r>
        <w:rPr>
          <w:rStyle w:val="CharStyle3"/>
          <w:lang w:eastAsia="da-DK"/>
        </w:rPr>
        <w:t xml:space="preserve"> overall depth-integrated biomass may be simultaneously higher. This deep biomass is less likely to be captured by sampling campaigns, potentially leading to an </w:t>
      </w:r>
      <w:r>
        <w:rPr>
          <w:rStyle w:val="CharStyle3"/>
          <w:lang w:val="en-US" w:eastAsia="en-US"/>
        </w:rPr>
        <w:t>underestima</w:t>
      </w:r>
      <w:r>
        <w:rPr>
          <w:rStyle w:val="CharStyle3"/>
          <w:lang w:val="en-US" w:eastAsia="en-US"/>
        </w:rPr>
        <w:softHyphen/>
        <w:t>tion</w:t>
      </w:r>
      <w:r>
        <w:rPr>
          <w:rStyle w:val="CharStyle3"/>
          <w:lang w:eastAsia="da-DK"/>
        </w:rPr>
        <w:t xml:space="preserve"> of the phytoplankton biomass of the region as a whole. Furthermore, because of the interannual variability in spring bloom timing and differences in spring bloom timing </w:t>
      </w:r>
      <w:r>
        <w:rPr>
          <w:rStyle w:val="CharStyle3"/>
          <w:lang w:val="en-US" w:eastAsia="en-US"/>
        </w:rPr>
        <w:t>be</w:t>
      </w:r>
      <w:r>
        <w:rPr>
          <w:rStyle w:val="CharStyle3"/>
          <w:lang w:val="en-US" w:eastAsia="en-US"/>
        </w:rPr>
        <w:softHyphen/>
        <w:t>tween</w:t>
      </w:r>
      <w:r>
        <w:rPr>
          <w:rStyle w:val="CharStyle3"/>
          <w:lang w:eastAsia="da-DK"/>
        </w:rPr>
        <w:t xml:space="preserve"> the Strait of Georgia and Juan de Fuca Strait </w:t>
      </w:r>
      <w:r>
        <w:rPr>
          <w:rStyle w:val="CharStyle3"/>
          <w:lang w:val="en-US" w:eastAsia="en-US"/>
        </w:rPr>
        <w:t>(dis</w:t>
      </w:r>
      <w:r>
        <w:rPr>
          <w:rStyle w:val="CharStyle3"/>
          <w:lang w:val="en-US" w:eastAsia="en-US"/>
        </w:rPr>
        <w:softHyphen/>
        <w:t>cussed</w:t>
      </w:r>
      <w:r>
        <w:rPr>
          <w:rStyle w:val="CharStyle3"/>
          <w:lang w:eastAsia="da-DK"/>
        </w:rPr>
        <w:t xml:space="preserve"> further below), the spring in situ survey that captures high biomass in the Strait of Geo</w:t>
      </w:r>
      <w:r>
        <w:rPr>
          <w:rStyle w:val="CharStyle3"/>
          <w:lang w:eastAsia="da-DK"/>
        </w:rPr>
        <w:t>rgia may be too early to observe the full extent of the spring bloom in Juan de Fuca Strait.</w:t>
      </w:r>
    </w:p>
    <w:p w14:paraId="138DB006"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In the NSoG and CSoG, the derived biological signals sug</w:t>
      </w:r>
      <w:r>
        <w:rPr>
          <w:rStyle w:val="CharStyle3"/>
          <w:lang w:eastAsia="da-DK"/>
        </w:rPr>
        <w:softHyphen/>
        <w:t xml:space="preserve">gest a regime wherein stable growing conditions in the spring transition to varying degrees of summer nutrient limitation which are interrupted by episodic nutrient delivery more </w:t>
      </w:r>
      <w:r>
        <w:rPr>
          <w:rStyle w:val="CharStyle3"/>
          <w:lang w:val="en-US" w:eastAsia="en-US"/>
        </w:rPr>
        <w:t>fre</w:t>
      </w:r>
      <w:r>
        <w:rPr>
          <w:rStyle w:val="CharStyle3"/>
          <w:lang w:val="en-US" w:eastAsia="en-US"/>
        </w:rPr>
        <w:softHyphen/>
        <w:t>quently</w:t>
      </w:r>
      <w:r>
        <w:rPr>
          <w:rStyle w:val="CharStyle3"/>
          <w:lang w:eastAsia="da-DK"/>
        </w:rPr>
        <w:t xml:space="preserve"> in the NSoG. In contrast, the diatom growth curve in JdF suggests a light-limited environment year-round, </w:t>
      </w:r>
      <w:r>
        <w:rPr>
          <w:rStyle w:val="CharStyle3"/>
          <w:lang w:val="en-US" w:eastAsia="en-US"/>
        </w:rPr>
        <w:t>consis</w:t>
      </w:r>
      <w:r>
        <w:rPr>
          <w:rStyle w:val="CharStyle3"/>
          <w:lang w:val="en-US" w:eastAsia="en-US"/>
        </w:rPr>
        <w:softHyphen/>
        <w:t>tent</w:t>
      </w:r>
      <w:r>
        <w:rPr>
          <w:rStyle w:val="CharStyle3"/>
          <w:lang w:eastAsia="da-DK"/>
        </w:rPr>
        <w:t xml:space="preserve"> with the established understanding </w:t>
      </w:r>
      <w:hyperlink w:anchor="bookmark112" w:tooltip="Current Document" w:history="1">
        <w:r>
          <w:rPr>
            <w:rStyle w:val="CharStyle3"/>
            <w:lang w:eastAsia="da-DK"/>
          </w:rPr>
          <w:t xml:space="preserve">(Mackas and </w:t>
        </w:r>
        <w:r>
          <w:rPr>
            <w:rStyle w:val="CharStyle3"/>
            <w:lang w:val="en-US" w:eastAsia="en-US"/>
          </w:rPr>
          <w:t>Harri</w:t>
        </w:r>
        <w:r>
          <w:rPr>
            <w:rStyle w:val="CharStyle3"/>
            <w:lang w:val="en-US" w:eastAsia="en-US"/>
          </w:rPr>
          <w:softHyphen/>
        </w:r>
      </w:hyperlink>
      <w:hyperlink w:anchor="bookmark112" w:tooltip="Current Document" w:history="1">
        <w:r>
          <w:rPr>
            <w:rStyle w:val="CharStyle3"/>
            <w:lang w:val="en-US" w:eastAsia="en-US"/>
          </w:rPr>
          <w:t>son,</w:t>
        </w:r>
        <w:r>
          <w:rPr>
            <w:rStyle w:val="CharStyle3"/>
            <w:lang w:eastAsia="da-DK"/>
          </w:rPr>
          <w:t xml:space="preserve"> 1997)</w:t>
        </w:r>
      </w:hyperlink>
      <w:r>
        <w:rPr>
          <w:rStyle w:val="CharStyle3"/>
          <w:lang w:eastAsia="da-DK"/>
        </w:rPr>
        <w:t xml:space="preserve">. Nutrients are rarely limiting in JdF owing to the plentiful supply of oceanic nitrate </w:t>
      </w:r>
      <w:hyperlink w:anchor="bookmark140" w:tooltip="Current Document" w:history="1">
        <w:r>
          <w:rPr>
            <w:rStyle w:val="CharStyle3"/>
            <w:lang w:eastAsia="da-DK"/>
          </w:rPr>
          <w:t>(Sutton et al., 2013)</w:t>
        </w:r>
      </w:hyperlink>
      <w:r>
        <w:rPr>
          <w:rStyle w:val="CharStyle3"/>
          <w:lang w:eastAsia="da-DK"/>
        </w:rPr>
        <w:t xml:space="preserve"> and stronger water column mixing in this region demonstrated in the VED clustering (Fig. 7). One factor that may potentially</w:t>
      </w:r>
      <w:r>
        <w:rPr>
          <w:rFonts w:ascii="Times New Roman" w:hAnsi="Times New Roman" w:cs="Times New Roman"/>
          <w:sz w:val="24"/>
          <w:szCs w:val="24"/>
        </w:rPr>
        <w:br w:type="page"/>
      </w:r>
    </w:p>
    <w:p w14:paraId="3DA69A71" w14:textId="44B39425" w:rsidR="0074324D" w:rsidRDefault="0074324D">
      <w:pPr>
        <w:pStyle w:val="Style2"/>
        <w:spacing w:after="240"/>
        <w:jc w:val="both"/>
        <w:rPr>
          <w:rFonts w:ascii="Times New Roman" w:hAnsi="Times New Roman" w:cs="Times New Roman"/>
          <w:sz w:val="24"/>
          <w:szCs w:val="24"/>
        </w:rPr>
      </w:pPr>
      <w:r>
        <w:rPr>
          <w:noProof/>
        </w:rPr>
        <w:lastRenderedPageBreak/>
        <w:drawing>
          <wp:anchor distT="0" distB="741680" distL="793750" distR="796925" simplePos="0" relativeHeight="251680768" behindDoc="1" locked="0" layoutInCell="1" allowOverlap="1" wp14:anchorId="36E33543" wp14:editId="7182DF0B">
            <wp:simplePos x="0" y="0"/>
            <wp:positionH relativeFrom="margin">
              <wp:posOffset>690245</wp:posOffset>
            </wp:positionH>
            <wp:positionV relativeFrom="margin">
              <wp:posOffset>368935</wp:posOffset>
            </wp:positionV>
            <wp:extent cx="5041265" cy="2597150"/>
            <wp:effectExtent l="0" t="0" r="0" b="0"/>
            <wp:wrapTopAndBottom/>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265" cy="2597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81792" behindDoc="0" locked="0" layoutInCell="1" allowOverlap="1" wp14:anchorId="457F190A" wp14:editId="261219B0">
                <wp:simplePos x="0" y="0"/>
                <wp:positionH relativeFrom="margin">
                  <wp:posOffset>10795</wp:posOffset>
                </wp:positionH>
                <wp:positionV relativeFrom="margin">
                  <wp:posOffset>3081655</wp:posOffset>
                </wp:positionV>
                <wp:extent cx="6403975" cy="448310"/>
                <wp:effectExtent l="0" t="0" r="635" b="0"/>
                <wp:wrapNone/>
                <wp:docPr id="19726447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A6521" w14:textId="77777777" w:rsidR="0074324D" w:rsidRDefault="0074324D">
                            <w:pPr>
                              <w:pStyle w:val="Style7"/>
                              <w:jc w:val="both"/>
                              <w:rPr>
                                <w:rFonts w:ascii="Times New Roman" w:hAnsi="Times New Roman" w:cs="Times New Roman"/>
                                <w:sz w:val="24"/>
                                <w:szCs w:val="24"/>
                              </w:rPr>
                            </w:pPr>
                            <w:r>
                              <w:rPr>
                                <w:rStyle w:val="CharStyle8"/>
                                <w:lang w:eastAsia="da-DK"/>
                              </w:rPr>
                              <w:t>Figure 10. A spatial view of the onset of the spring bloom in the domain. Here the spring bloom is defined as the first peak in depth-integrated diatom biomass that is at least 30 % of the maximum annual diatom biomass at that station. In all years, the spring bloom occurred earliest in the CSog and subsequently in the NSoG before reaching JdF with a variable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190A" id="Text Box 36" o:spid="_x0000_s1036" type="#_x0000_t202" style="position:absolute;left:0;text-align:left;margin-left:.85pt;margin-top:242.65pt;width:504.25pt;height:35.3pt;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" filled="f" stroked="f">
                <v:textbox inset="0,0,0,0">
                  <w:txbxContent>
                    <w:p w14:paraId="236A6521" w14:textId="77777777" w:rsidR="0074324D" w:rsidRDefault="0074324D">
                      <w:pPr>
                        <w:pStyle w:val="Style7"/>
                        <w:jc w:val="both"/>
                        <w:rPr>
                          <w:rFonts w:ascii="Times New Roman" w:hAnsi="Times New Roman" w:cs="Times New Roman"/>
                          <w:sz w:val="24"/>
                          <w:szCs w:val="24"/>
                        </w:rPr>
                      </w:pPr>
                      <w:r>
                        <w:rPr>
                          <w:rStyle w:val="CharStyle8"/>
                          <w:lang w:eastAsia="da-DK"/>
                        </w:rPr>
                        <w:t>Figure 10. A spatial view of the onset of the spring bloom in the domain. Here the spring bloom is defined as the first peak in depth-integrated diatom biomass that is at least 30 % of the maximum annual diatom biomass at that station. In all years, the spring bloom occurred earliest in the CSog and subsequently in the NSoG before reaching JdF with a variable delay.</w:t>
                      </w:r>
                    </w:p>
                  </w:txbxContent>
                </v:textbox>
                <w10:wrap anchorx="margin" anchory="margin"/>
              </v:shape>
            </w:pict>
          </mc:Fallback>
        </mc:AlternateContent>
      </w:r>
      <w:r>
        <w:rPr>
          <w:rStyle w:val="CharStyle3"/>
          <w:lang w:eastAsia="da-DK"/>
        </w:rPr>
        <w:t xml:space="preserve">enhance growing conditions in the summer season here is the advection of a freshwater lens from the Strait of Georgia via the surface estuarine circulation </w:t>
      </w:r>
      <w:hyperlink w:anchor="bookmark113" w:tooltip="Current Document" w:history="1">
        <w:r>
          <w:rPr>
            <w:rStyle w:val="CharStyle3"/>
            <w:lang w:eastAsia="da-DK"/>
          </w:rPr>
          <w:t>(Pawlowicz et al., 2007;</w:t>
        </w:r>
      </w:hyperlink>
      <w:r>
        <w:rPr>
          <w:rStyle w:val="CharStyle3"/>
          <w:lang w:eastAsia="da-DK"/>
        </w:rPr>
        <w:t xml:space="preserve"> </w:t>
      </w:r>
      <w:hyperlink w:anchor="bookmark110" w:tooltip="Current Document" w:history="1">
        <w:r>
          <w:rPr>
            <w:rStyle w:val="CharStyle3"/>
            <w:lang w:eastAsia="da-DK"/>
          </w:rPr>
          <w:t>MacCready et al., 2021)</w:t>
        </w:r>
      </w:hyperlink>
      <w:r>
        <w:rPr>
          <w:rStyle w:val="CharStyle3"/>
          <w:lang w:eastAsia="da-DK"/>
        </w:rPr>
        <w:t xml:space="preserve">. This advection is visible as a slight increase in the summer freshwater index in JdF (Fig. 6); it may contribute to increased water column stability and hence light availability and favorable growing conditions in this </w:t>
      </w:r>
      <w:r>
        <w:rPr>
          <w:rStyle w:val="CharStyle3"/>
          <w:lang w:val="en-US" w:eastAsia="en-US"/>
        </w:rPr>
        <w:t>pe</w:t>
      </w:r>
      <w:r>
        <w:rPr>
          <w:rStyle w:val="CharStyle3"/>
          <w:lang w:val="en-US" w:eastAsia="en-US"/>
        </w:rPr>
        <w:softHyphen/>
        <w:t>riod.</w:t>
      </w:r>
    </w:p>
    <w:p w14:paraId="3B7FA6BC" w14:textId="77777777" w:rsidR="0074324D" w:rsidRDefault="0074324D">
      <w:pPr>
        <w:pStyle w:val="Style22"/>
        <w:keepNext/>
        <w:keepLines/>
        <w:numPr>
          <w:ilvl w:val="2"/>
          <w:numId w:val="4"/>
        </w:numPr>
        <w:tabs>
          <w:tab w:val="left" w:pos="605"/>
        </w:tabs>
        <w:spacing w:after="240"/>
        <w:jc w:val="both"/>
        <w:rPr>
          <w:sz w:val="24"/>
          <w:szCs w:val="24"/>
        </w:rPr>
      </w:pPr>
      <w:bookmarkStart w:id="23" w:name="bookmark45"/>
      <w:r>
        <w:rPr>
          <w:rStyle w:val="CharStyle23"/>
          <w:lang w:eastAsia="da-DK"/>
        </w:rPr>
        <w:t>Spring bloom timing</w:t>
      </w:r>
      <w:bookmarkEnd w:id="23"/>
    </w:p>
    <w:p w14:paraId="2B2C514A" w14:textId="77777777" w:rsidR="0074324D" w:rsidRDefault="0074324D">
      <w:pPr>
        <w:pStyle w:val="Style2"/>
        <w:spacing w:after="240"/>
        <w:jc w:val="both"/>
        <w:rPr>
          <w:rFonts w:ascii="Times New Roman" w:hAnsi="Times New Roman" w:cs="Times New Roman"/>
          <w:sz w:val="24"/>
          <w:szCs w:val="24"/>
        </w:rPr>
      </w:pPr>
      <w:r>
        <w:rPr>
          <w:rStyle w:val="CharStyle3"/>
          <w:lang w:eastAsia="da-DK"/>
        </w:rPr>
        <w:t>The timing of the first</w:t>
      </w:r>
      <w:r>
        <w:rPr>
          <w:rStyle w:val="CharStyle3"/>
          <w:lang w:eastAsia="da-DK"/>
        </w:rPr>
        <w:t xml:space="preserve"> substantial increase in phytoplankton biomass (the spring bloom) in the Salish Sea varies </w:t>
      </w:r>
      <w:r>
        <w:rPr>
          <w:rStyle w:val="CharStyle3"/>
          <w:lang w:val="en-US" w:eastAsia="en-US"/>
        </w:rPr>
        <w:t>consider</w:t>
      </w:r>
      <w:r>
        <w:rPr>
          <w:rStyle w:val="CharStyle3"/>
          <w:lang w:val="en-US" w:eastAsia="en-US"/>
        </w:rPr>
        <w:softHyphen/>
        <w:t>ably</w:t>
      </w:r>
      <w:r>
        <w:rPr>
          <w:rStyle w:val="CharStyle3"/>
          <w:lang w:eastAsia="da-DK"/>
        </w:rPr>
        <w:t xml:space="preserve"> interannually and is driven by different factors, </w:t>
      </w:r>
      <w:r>
        <w:rPr>
          <w:rStyle w:val="CharStyle3"/>
          <w:lang w:val="en-US" w:eastAsia="en-US"/>
        </w:rPr>
        <w:t>primar</w:t>
      </w:r>
      <w:r>
        <w:rPr>
          <w:rStyle w:val="CharStyle3"/>
          <w:lang w:val="en-US" w:eastAsia="en-US"/>
        </w:rPr>
        <w:softHyphen/>
        <w:t>ily</w:t>
      </w:r>
      <w:r>
        <w:rPr>
          <w:rStyle w:val="CharStyle3"/>
          <w:lang w:eastAsia="da-DK"/>
        </w:rPr>
        <w:t xml:space="preserve"> wind speed and cloud cover and secondarily temperature and freshwater discharge </w:t>
      </w:r>
      <w:hyperlink w:anchor="bookmark78" w:tooltip="Current Document" w:history="1">
        <w:r>
          <w:rPr>
            <w:rStyle w:val="CharStyle3"/>
            <w:lang w:eastAsia="da-DK"/>
          </w:rPr>
          <w:t>(Allen and Wolfe, 2013)</w:t>
        </w:r>
      </w:hyperlink>
      <w:r>
        <w:rPr>
          <w:rStyle w:val="CharStyle3"/>
          <w:lang w:eastAsia="da-DK"/>
        </w:rPr>
        <w:t xml:space="preserve">. While we do not evaluate spring bloom timing here, considering the spatial variability of the onset of the spring bloom </w:t>
      </w:r>
      <w:r>
        <w:rPr>
          <w:rStyle w:val="CharStyle3"/>
          <w:lang w:val="en-US" w:eastAsia="en-US"/>
        </w:rPr>
        <w:t>through</w:t>
      </w:r>
      <w:r>
        <w:rPr>
          <w:rStyle w:val="CharStyle3"/>
          <w:lang w:val="en-US" w:eastAsia="en-US"/>
        </w:rPr>
        <w:softHyphen/>
        <w:t>out</w:t>
      </w:r>
      <w:r>
        <w:rPr>
          <w:rStyle w:val="CharStyle3"/>
          <w:lang w:eastAsia="da-DK"/>
        </w:rPr>
        <w:t xml:space="preserve"> the domain may deliver insights regarding the </w:t>
      </w:r>
      <w:r>
        <w:rPr>
          <w:rStyle w:val="CharStyle3"/>
          <w:lang w:val="en-US" w:eastAsia="en-US"/>
        </w:rPr>
        <w:t>function</w:t>
      </w:r>
      <w:r>
        <w:rPr>
          <w:rStyle w:val="CharStyle3"/>
          <w:lang w:val="en-US" w:eastAsia="en-US"/>
        </w:rPr>
        <w:softHyphen/>
        <w:t>ing</w:t>
      </w:r>
      <w:r>
        <w:rPr>
          <w:rStyle w:val="CharStyle3"/>
          <w:lang w:eastAsia="da-DK"/>
        </w:rPr>
        <w:t xml:space="preserve"> of the different regions. For the purposes of this informal exploration, at each station we define the spring bloom as the first peak in depth-integrated diatom biomass that is at least 30 % of the maximum annual diatom biomass at that station. Earlier spring bloom initiation in the CSoG with </w:t>
      </w:r>
      <w:r>
        <w:rPr>
          <w:rStyle w:val="CharStyle3"/>
          <w:lang w:val="en-US" w:eastAsia="en-US"/>
        </w:rPr>
        <w:t>re</w:t>
      </w:r>
      <w:r>
        <w:rPr>
          <w:rStyle w:val="CharStyle3"/>
          <w:lang w:val="en-US" w:eastAsia="en-US"/>
        </w:rPr>
        <w:softHyphen/>
        <w:t>spect</w:t>
      </w:r>
      <w:r>
        <w:rPr>
          <w:rStyle w:val="CharStyle3"/>
          <w:lang w:eastAsia="da-DK"/>
        </w:rPr>
        <w:t xml:space="preserve"> to the NSoG was </w:t>
      </w:r>
      <w:r>
        <w:rPr>
          <w:rStyle w:val="CharStyle3"/>
          <w:lang w:eastAsia="da-DK"/>
        </w:rPr>
        <w:t>seen in multiple years of satellite ob</w:t>
      </w:r>
      <w:r>
        <w:rPr>
          <w:rStyle w:val="CharStyle3"/>
          <w:lang w:eastAsia="da-DK"/>
        </w:rPr>
        <w:softHyphen/>
        <w:t xml:space="preserve">servations </w:t>
      </w:r>
      <w:hyperlink w:anchor="bookmark137" w:tooltip="Current Document" w:history="1">
        <w:r>
          <w:rPr>
            <w:rStyle w:val="CharStyle3"/>
            <w:lang w:eastAsia="da-DK"/>
          </w:rPr>
          <w:t>(Suchy et al., 2019)</w:t>
        </w:r>
      </w:hyperlink>
      <w:r>
        <w:rPr>
          <w:rStyle w:val="CharStyle3"/>
          <w:lang w:eastAsia="da-DK"/>
        </w:rPr>
        <w:t>. In our results this progression within the SoG is almost indistinguishable and is followed by later blooming in the JdF. The late bloom timing in JdF was likely driven by stronger mixing, limiting light availability later into the year in the JdF region (Fig. 10), consistent with the functional differences between JdF and the NSoG and CSoG discussed above.</w:t>
      </w:r>
    </w:p>
    <w:p w14:paraId="5E37594D" w14:textId="77777777" w:rsidR="0074324D" w:rsidRDefault="0074324D">
      <w:pPr>
        <w:pStyle w:val="Style2"/>
        <w:spacing w:after="240" w:line="295" w:lineRule="auto"/>
        <w:ind w:firstLine="220"/>
        <w:jc w:val="both"/>
        <w:rPr>
          <w:rFonts w:ascii="Times New Roman" w:hAnsi="Times New Roman" w:cs="Times New Roman"/>
          <w:sz w:val="24"/>
          <w:szCs w:val="24"/>
        </w:rPr>
      </w:pPr>
      <w:r>
        <w:rPr>
          <w:rStyle w:val="CharStyle3"/>
          <w:lang w:eastAsia="da-DK"/>
        </w:rPr>
        <w:t>This preliminary examination of modeled bloom timing shows the large interannual variability in the onset of the spring bloom, consistent with one-dime</w:t>
      </w:r>
      <w:r>
        <w:rPr>
          <w:rStyle w:val="CharStyle3"/>
          <w:lang w:eastAsia="da-DK"/>
        </w:rPr>
        <w:t xml:space="preserve">nsional models of the region </w:t>
      </w:r>
      <w:hyperlink w:anchor="bookmark89" w:tooltip="Current Document" w:history="1">
        <w:r>
          <w:rPr>
            <w:rStyle w:val="CharStyle3"/>
            <w:lang w:eastAsia="da-DK"/>
          </w:rPr>
          <w:t>(Collins et al., 2009;</w:t>
        </w:r>
      </w:hyperlink>
      <w:hyperlink w:anchor="bookmark78" w:tooltip="Current Document" w:history="1">
        <w:r>
          <w:rPr>
            <w:rStyle w:val="CharStyle3"/>
            <w:lang w:eastAsia="da-DK"/>
          </w:rPr>
          <w:t xml:space="preserve"> Allen and Wolfe, 2013)</w:t>
        </w:r>
      </w:hyperlink>
      <w:r>
        <w:rPr>
          <w:rStyle w:val="CharStyle3"/>
          <w:lang w:eastAsia="da-DK"/>
        </w:rPr>
        <w:t xml:space="preserve"> and the in situ and satellite-based observations </w:t>
      </w:r>
      <w:hyperlink w:anchor="bookmark137" w:tooltip="Current Document" w:history="1">
        <w:r>
          <w:rPr>
            <w:rStyle w:val="CharStyle3"/>
            <w:lang w:eastAsia="da-DK"/>
          </w:rPr>
          <w:t>(Suchy et al., 2019;</w:t>
        </w:r>
      </w:hyperlink>
      <w:r>
        <w:rPr>
          <w:rStyle w:val="CharStyle3"/>
          <w:lang w:eastAsia="da-DK"/>
        </w:rPr>
        <w:t xml:space="preserve"> </w:t>
      </w:r>
      <w:hyperlink w:anchor="bookmark83" w:tooltip="Current Document" w:history="1">
        <w:r>
          <w:rPr>
            <w:rStyle w:val="CharStyle3"/>
            <w:lang w:eastAsia="da-DK"/>
          </w:rPr>
          <w:t>Gower et al., 2013;</w:t>
        </w:r>
      </w:hyperlink>
      <w:hyperlink w:anchor="bookmark81" w:tooltip="Current Document" w:history="1">
        <w:r>
          <w:rPr>
            <w:rStyle w:val="CharStyle3"/>
            <w:lang w:eastAsia="da-DK"/>
          </w:rPr>
          <w:t xml:space="preserve"> Boldt et al., 2019)</w:t>
        </w:r>
      </w:hyperlink>
      <w:r>
        <w:rPr>
          <w:rStyle w:val="CharStyle3"/>
          <w:lang w:eastAsia="da-DK"/>
        </w:rPr>
        <w:t>. The significant spatial variability seen here underscores the dynamical differences in environmental growing conditions in different regions of the Salish Sea and provides an interesting direction for future research.</w:t>
      </w:r>
    </w:p>
    <w:p w14:paraId="0C69BB83" w14:textId="77777777" w:rsidR="0074324D" w:rsidRDefault="0074324D">
      <w:pPr>
        <w:pStyle w:val="Style15"/>
        <w:keepNext/>
        <w:keepLines/>
        <w:numPr>
          <w:ilvl w:val="1"/>
          <w:numId w:val="4"/>
        </w:numPr>
        <w:tabs>
          <w:tab w:val="left" w:pos="449"/>
        </w:tabs>
        <w:spacing w:after="240" w:line="295" w:lineRule="auto"/>
        <w:ind w:left="480" w:hanging="480"/>
        <w:jc w:val="both"/>
        <w:rPr>
          <w:sz w:val="24"/>
          <w:szCs w:val="24"/>
        </w:rPr>
      </w:pPr>
      <w:bookmarkStart w:id="24" w:name="bookmark47"/>
      <w:r>
        <w:rPr>
          <w:rStyle w:val="CharStyle16"/>
          <w:lang w:eastAsia="da-DK"/>
        </w:rPr>
        <w:t>Utility of clustering methods in the context of high-resolution models</w:t>
      </w:r>
      <w:bookmarkEnd w:id="24"/>
    </w:p>
    <w:p w14:paraId="4F4B5094" w14:textId="77777777" w:rsidR="0074324D" w:rsidRDefault="0074324D">
      <w:pPr>
        <w:pStyle w:val="Style2"/>
        <w:jc w:val="both"/>
        <w:rPr>
          <w:rFonts w:ascii="Times New Roman" w:hAnsi="Times New Roman" w:cs="Times New Roman"/>
          <w:sz w:val="24"/>
          <w:szCs w:val="24"/>
        </w:rPr>
      </w:pPr>
      <w:r>
        <w:rPr>
          <w:rStyle w:val="CharStyle3"/>
          <w:lang w:eastAsia="da-DK"/>
        </w:rPr>
        <w:t>Our clustering approach</w:t>
      </w:r>
      <w:r>
        <w:rPr>
          <w:rStyle w:val="CharStyle3"/>
          <w:lang w:eastAsia="da-DK"/>
        </w:rPr>
        <w:t xml:space="preserve"> identifies unambiguous regions of a complex coastal sea that exhibit distinct biological responses to disparate physical environments. These responses are not immediately obvious in time-averaged snapshots of the </w:t>
      </w:r>
      <w:r>
        <w:rPr>
          <w:rStyle w:val="CharStyle3"/>
          <w:lang w:val="en-US" w:eastAsia="en-US"/>
        </w:rPr>
        <w:t>stud</w:t>
      </w:r>
      <w:r>
        <w:rPr>
          <w:rStyle w:val="CharStyle3"/>
          <w:lang w:val="en-US" w:eastAsia="en-US"/>
        </w:rPr>
        <w:softHyphen/>
        <w:t>ied</w:t>
      </w:r>
      <w:r>
        <w:rPr>
          <w:rStyle w:val="CharStyle3"/>
          <w:lang w:eastAsia="da-DK"/>
        </w:rPr>
        <w:t xml:space="preserve"> system. The simple machine learning technique used here enhances our way of looking at the problem – in this </w:t>
      </w:r>
      <w:r>
        <w:rPr>
          <w:rStyle w:val="CharStyle3"/>
          <w:lang w:val="en-US" w:eastAsia="en-US"/>
        </w:rPr>
        <w:t>ap</w:t>
      </w:r>
      <w:r>
        <w:rPr>
          <w:rStyle w:val="CharStyle3"/>
          <w:lang w:val="en-US" w:eastAsia="en-US"/>
        </w:rPr>
        <w:softHyphen/>
        <w:t>plication,</w:t>
      </w:r>
      <w:r>
        <w:rPr>
          <w:rStyle w:val="CharStyle3"/>
          <w:lang w:eastAsia="da-DK"/>
        </w:rPr>
        <w:t xml:space="preserve"> we are not using machine learning to predict </w:t>
      </w:r>
      <w:r>
        <w:rPr>
          <w:rStyle w:val="CharStyle3"/>
          <w:lang w:val="en-US" w:eastAsia="en-US"/>
        </w:rPr>
        <w:t>un</w:t>
      </w:r>
      <w:r>
        <w:rPr>
          <w:rStyle w:val="CharStyle3"/>
          <w:lang w:val="en-US" w:eastAsia="en-US"/>
        </w:rPr>
        <w:softHyphen/>
        <w:t>known</w:t>
      </w:r>
      <w:r>
        <w:rPr>
          <w:rStyle w:val="CharStyle3"/>
          <w:lang w:eastAsia="da-DK"/>
        </w:rPr>
        <w:t xml:space="preserve"> quantities, as is becoming common (e.g.,</w:t>
      </w:r>
      <w:hyperlink w:anchor="bookmark97" w:tooltip="Current Document" w:history="1">
        <w:r>
          <w:rPr>
            <w:rStyle w:val="CharStyle3"/>
            <w:lang w:eastAsia="da-DK"/>
          </w:rPr>
          <w:t xml:space="preserve"> Keppler</w:t>
        </w:r>
      </w:hyperlink>
      <w:r>
        <w:rPr>
          <w:rStyle w:val="CharStyle3"/>
          <w:lang w:eastAsia="da-DK"/>
        </w:rPr>
        <w:t xml:space="preserve"> </w:t>
      </w:r>
      <w:hyperlink w:anchor="bookmark97" w:tooltip="Current Document" w:history="1">
        <w:r>
          <w:rPr>
            <w:rStyle w:val="CharStyle3"/>
            <w:lang w:eastAsia="da-DK"/>
          </w:rPr>
          <w:t>et al., 2020)</w:t>
        </w:r>
      </w:hyperlink>
      <w:r>
        <w:rPr>
          <w:rStyle w:val="CharStyle3"/>
          <w:lang w:eastAsia="da-DK"/>
        </w:rPr>
        <w:t xml:space="preserve">, but instead we are asking it to show us what is already there. Using this simple technique, we are able to draw objective boundaries between regions based on </w:t>
      </w:r>
      <w:r>
        <w:rPr>
          <w:rStyle w:val="CharStyle3"/>
          <w:lang w:val="en-US" w:eastAsia="en-US"/>
        </w:rPr>
        <w:t>emer</w:t>
      </w:r>
      <w:r>
        <w:rPr>
          <w:rStyle w:val="CharStyle3"/>
          <w:lang w:val="en-US" w:eastAsia="en-US"/>
        </w:rPr>
        <w:softHyphen/>
        <w:t>gent</w:t>
      </w:r>
      <w:r>
        <w:rPr>
          <w:rStyle w:val="CharStyle3"/>
          <w:lang w:eastAsia="da-DK"/>
        </w:rPr>
        <w:t xml:space="preserve"> structures in our data and significantly advance our intu</w:t>
      </w:r>
      <w:r>
        <w:rPr>
          <w:rStyle w:val="CharStyle3"/>
          <w:lang w:eastAsia="da-DK"/>
        </w:rPr>
        <w:softHyphen/>
        <w:t>ition about the system. Cluster-based model evaluation may also be a very useful application of clustering techniques, as it has potential to diagnose how well a given model performs across different biophysical regimes.</w:t>
      </w:r>
    </w:p>
    <w:p w14:paraId="175F1C41" w14:textId="77777777" w:rsidR="0074324D" w:rsidRDefault="0074324D">
      <w:pPr>
        <w:pStyle w:val="Style2"/>
        <w:spacing w:after="360"/>
        <w:ind w:firstLine="220"/>
        <w:jc w:val="both"/>
        <w:rPr>
          <w:rFonts w:ascii="Times New Roman" w:hAnsi="Times New Roman" w:cs="Times New Roman"/>
          <w:sz w:val="24"/>
          <w:szCs w:val="24"/>
        </w:rPr>
      </w:pPr>
      <w:r>
        <w:rPr>
          <w:rStyle w:val="CharStyle3"/>
          <w:lang w:eastAsia="da-DK"/>
        </w:rPr>
        <w:t xml:space="preserve">The simplicity of the approach may have utility in </w:t>
      </w:r>
      <w:r>
        <w:rPr>
          <w:rStyle w:val="CharStyle3"/>
          <w:lang w:val="en-US" w:eastAsia="en-US"/>
        </w:rPr>
        <w:t>nu</w:t>
      </w:r>
      <w:r>
        <w:rPr>
          <w:rStyle w:val="CharStyle3"/>
          <w:lang w:val="en-US" w:eastAsia="en-US"/>
        </w:rPr>
        <w:softHyphen/>
        <w:t>merous</w:t>
      </w:r>
      <w:r>
        <w:rPr>
          <w:rStyle w:val="CharStyle3"/>
          <w:lang w:eastAsia="da-DK"/>
        </w:rPr>
        <w:t xml:space="preserve"> contexts. For instance, many characterizations of en- vironmental regions rely on sparse data with large spatial biases. Objective clusters determined from regional mod</w:t>
      </w:r>
      <w:r>
        <w:rPr>
          <w:rStyle w:val="CharStyle3"/>
          <w:lang w:eastAsia="da-DK"/>
        </w:rPr>
        <w:softHyphen/>
        <w:t xml:space="preserve">els, with mechanistic underpinnings, may be used to group sparse data. This approach allows clear characterization of complex systems. Furthermore, it may provide the </w:t>
      </w:r>
      <w:r>
        <w:rPr>
          <w:rStyle w:val="CharStyle3"/>
          <w:lang w:val="en-US" w:eastAsia="en-US"/>
        </w:rPr>
        <w:t>neces</w:t>
      </w:r>
      <w:r>
        <w:rPr>
          <w:rStyle w:val="CharStyle3"/>
          <w:lang w:val="en-US" w:eastAsia="en-US"/>
        </w:rPr>
        <w:softHyphen/>
        <w:t>sary</w:t>
      </w:r>
      <w:r>
        <w:rPr>
          <w:rStyle w:val="CharStyle3"/>
          <w:lang w:eastAsia="da-DK"/>
        </w:rPr>
        <w:t xml:space="preserve"> first step for machine learning studies that rely on well- organized training datasets to accurately predict target vari</w:t>
      </w:r>
      <w:r>
        <w:rPr>
          <w:rStyle w:val="CharStyle3"/>
          <w:lang w:eastAsia="da-DK"/>
        </w:rPr>
        <w:softHyphen/>
        <w:t>ables (e.g.,</w:t>
      </w:r>
      <w:hyperlink w:anchor="bookmark100" w:tooltip="Current Document" w:history="1">
        <w:r>
          <w:rPr>
            <w:rStyle w:val="CharStyle3"/>
            <w:lang w:eastAsia="da-DK"/>
          </w:rPr>
          <w:t xml:space="preserve"> Landschützer et al., 2013)</w:t>
        </w:r>
      </w:hyperlink>
      <w:r>
        <w:rPr>
          <w:rStyle w:val="CharStyle3"/>
          <w:lang w:eastAsia="da-DK"/>
        </w:rPr>
        <w:t xml:space="preserve">. Resource and </w:t>
      </w:r>
      <w:r>
        <w:rPr>
          <w:rStyle w:val="CharStyle3"/>
          <w:lang w:val="en-US" w:eastAsia="en-US"/>
        </w:rPr>
        <w:t>envi</w:t>
      </w:r>
      <w:r>
        <w:rPr>
          <w:rStyle w:val="CharStyle3"/>
          <w:lang w:val="en-US" w:eastAsia="en-US"/>
        </w:rPr>
        <w:softHyphen/>
        <w:t>ronmental</w:t>
      </w:r>
      <w:r>
        <w:rPr>
          <w:rStyle w:val="CharStyle3"/>
          <w:lang w:eastAsia="da-DK"/>
        </w:rPr>
        <w:t xml:space="preserve"> management situations and</w:t>
      </w:r>
      <w:r>
        <w:rPr>
          <w:rStyle w:val="CharStyle3"/>
          <w:lang w:eastAsia="da-DK"/>
        </w:rPr>
        <w:t xml:space="preserve"> optimal monitoring strategies may also benefit from a data-driven approach to regional definitions.</w:t>
      </w:r>
    </w:p>
    <w:p w14:paraId="36CB9EF7" w14:textId="77777777" w:rsidR="0074324D" w:rsidRDefault="0074324D">
      <w:pPr>
        <w:pStyle w:val="Style13"/>
        <w:keepNext/>
        <w:keepLines/>
        <w:numPr>
          <w:ilvl w:val="0"/>
          <w:numId w:val="4"/>
        </w:numPr>
        <w:tabs>
          <w:tab w:val="left" w:pos="302"/>
        </w:tabs>
        <w:jc w:val="both"/>
        <w:rPr>
          <w:sz w:val="24"/>
          <w:szCs w:val="24"/>
        </w:rPr>
      </w:pPr>
      <w:bookmarkStart w:id="25" w:name="bookmark49"/>
      <w:r>
        <w:rPr>
          <w:rStyle w:val="CharStyle14"/>
          <w:lang w:eastAsia="da-DK"/>
        </w:rPr>
        <w:lastRenderedPageBreak/>
        <w:t>Conclusion</w:t>
      </w:r>
      <w:bookmarkEnd w:id="25"/>
    </w:p>
    <w:p w14:paraId="3C9E29CB" w14:textId="77777777" w:rsidR="0074324D" w:rsidRDefault="0074324D">
      <w:pPr>
        <w:pStyle w:val="Style2"/>
        <w:jc w:val="both"/>
        <w:rPr>
          <w:rFonts w:ascii="Times New Roman" w:hAnsi="Times New Roman" w:cs="Times New Roman"/>
          <w:sz w:val="24"/>
          <w:szCs w:val="24"/>
        </w:rPr>
      </w:pPr>
      <w:r>
        <w:rPr>
          <w:rStyle w:val="CharStyle3"/>
          <w:lang w:eastAsia="da-DK"/>
        </w:rPr>
        <w:t xml:space="preserve">Our work applies a hierarchical clustering algorithm to 4 years of SalishSeaCast model output. We extract four factors relating to stratification and one relating to depth- integrated phytoplankton biomass, differentiated by </w:t>
      </w:r>
      <w:r>
        <w:rPr>
          <w:rStyle w:val="CharStyle3"/>
          <w:lang w:val="en-US" w:eastAsia="en-US"/>
        </w:rPr>
        <w:t>func</w:t>
      </w:r>
      <w:r>
        <w:rPr>
          <w:rStyle w:val="CharStyle3"/>
          <w:lang w:val="en-US" w:eastAsia="en-US"/>
        </w:rPr>
        <w:softHyphen/>
        <w:t>tional</w:t>
      </w:r>
      <w:r>
        <w:rPr>
          <w:rStyle w:val="CharStyle3"/>
          <w:lang w:eastAsia="da-DK"/>
        </w:rPr>
        <w:t xml:space="preserve"> group. We identify distinct regions of the model </w:t>
      </w:r>
      <w:r>
        <w:rPr>
          <w:rStyle w:val="CharStyle3"/>
          <w:lang w:val="en-US" w:eastAsia="en-US"/>
        </w:rPr>
        <w:t>do</w:t>
      </w:r>
      <w:r>
        <w:rPr>
          <w:rStyle w:val="CharStyle3"/>
          <w:lang w:val="en-US" w:eastAsia="en-US"/>
        </w:rPr>
        <w:softHyphen/>
        <w:t>main</w:t>
      </w:r>
      <w:r>
        <w:rPr>
          <w:rStyle w:val="CharStyle3"/>
          <w:lang w:eastAsia="da-DK"/>
        </w:rPr>
        <w:t xml:space="preserve"> that exhibit contrasting wind and freshwater input </w:t>
      </w:r>
      <w:r>
        <w:rPr>
          <w:rStyle w:val="CharStyle3"/>
          <w:lang w:val="en-US" w:eastAsia="en-US"/>
        </w:rPr>
        <w:t>dy</w:t>
      </w:r>
      <w:r>
        <w:rPr>
          <w:rStyle w:val="CharStyle3"/>
          <w:lang w:val="en-US" w:eastAsia="en-US"/>
        </w:rPr>
        <w:softHyphen/>
        <w:t>namics,</w:t>
      </w:r>
      <w:r>
        <w:rPr>
          <w:rStyle w:val="CharStyle3"/>
          <w:lang w:eastAsia="da-DK"/>
        </w:rPr>
        <w:t xml:space="preserve"> as well as regions of varying water-column-averaged vertical eddy diffusivity and halocline depth regimes. </w:t>
      </w:r>
      <w:r>
        <w:rPr>
          <w:rStyle w:val="CharStyle3"/>
          <w:lang w:val="en-US" w:eastAsia="en-US"/>
        </w:rPr>
        <w:t>Simi</w:t>
      </w:r>
      <w:r>
        <w:rPr>
          <w:rStyle w:val="CharStyle3"/>
          <w:lang w:val="en-US" w:eastAsia="en-US"/>
        </w:rPr>
        <w:softHyphen/>
        <w:t>lar</w:t>
      </w:r>
      <w:r>
        <w:rPr>
          <w:rStyle w:val="CharStyle3"/>
          <w:lang w:eastAsia="da-DK"/>
        </w:rPr>
        <w:t xml:space="preserve"> spatial regionalizations in physical variables persist in all 4 analyzed years.</w:t>
      </w:r>
    </w:p>
    <w:p w14:paraId="1AB63634" w14:textId="77777777" w:rsidR="0074324D" w:rsidRDefault="0074324D">
      <w:pPr>
        <w:pStyle w:val="Style2"/>
        <w:spacing w:after="260"/>
        <w:ind w:firstLine="220"/>
        <w:jc w:val="both"/>
        <w:rPr>
          <w:rFonts w:ascii="Times New Roman" w:hAnsi="Times New Roman" w:cs="Times New Roman"/>
          <w:sz w:val="24"/>
          <w:szCs w:val="24"/>
        </w:rPr>
      </w:pPr>
      <w:r>
        <w:rPr>
          <w:rStyle w:val="CharStyle3"/>
          <w:lang w:eastAsia="da-DK"/>
        </w:rPr>
        <w:t xml:space="preserve">Similarly, we find distinct, interannually persisting, </w:t>
      </w:r>
      <w:r>
        <w:rPr>
          <w:rStyle w:val="CharStyle3"/>
          <w:lang w:val="en-US" w:eastAsia="en-US"/>
        </w:rPr>
        <w:t>bi</w:t>
      </w:r>
      <w:r>
        <w:rPr>
          <w:rStyle w:val="CharStyle3"/>
          <w:lang w:val="en-US" w:eastAsia="en-US"/>
        </w:rPr>
        <w:softHyphen/>
        <w:t>ological</w:t>
      </w:r>
      <w:r>
        <w:rPr>
          <w:rStyle w:val="CharStyle3"/>
          <w:lang w:eastAsia="da-DK"/>
        </w:rPr>
        <w:t xml:space="preserve"> regions with phytoplankton biomass patterns that may be explained by patterns in the physical factors. In the NSoG, a deeper winter halocline and episodic summer </w:t>
      </w:r>
      <w:r>
        <w:rPr>
          <w:rStyle w:val="CharStyle3"/>
          <w:lang w:val="en-US" w:eastAsia="en-US"/>
        </w:rPr>
        <w:t>mix</w:t>
      </w:r>
      <w:r>
        <w:rPr>
          <w:rStyle w:val="CharStyle3"/>
          <w:lang w:val="en-US" w:eastAsia="en-US"/>
        </w:rPr>
        <w:softHyphen/>
        <w:t>ing</w:t>
      </w:r>
      <w:r>
        <w:rPr>
          <w:rStyle w:val="CharStyle3"/>
          <w:lang w:eastAsia="da-DK"/>
        </w:rPr>
        <w:t xml:space="preserve"> coincide with higher summer opportunist-type </w:t>
      </w:r>
      <w:r>
        <w:rPr>
          <w:rStyle w:val="CharStyle3"/>
          <w:lang w:val="en-US" w:eastAsia="en-US"/>
        </w:rPr>
        <w:t>phyto</w:t>
      </w:r>
      <w:r>
        <w:rPr>
          <w:rStyle w:val="CharStyle3"/>
          <w:lang w:val="en-US" w:eastAsia="en-US"/>
        </w:rPr>
        <w:softHyphen/>
        <w:t>plankton</w:t>
      </w:r>
      <w:r>
        <w:rPr>
          <w:rStyle w:val="CharStyle3"/>
          <w:lang w:eastAsia="da-DK"/>
        </w:rPr>
        <w:t xml:space="preserve"> abundance, represented in the model by diatoms, and episodic fluctuations in phytoplankton biomass. In </w:t>
      </w:r>
      <w:r>
        <w:rPr>
          <w:rStyle w:val="CharStyle3"/>
          <w:lang w:val="en-US" w:eastAsia="en-US"/>
        </w:rPr>
        <w:t>con</w:t>
      </w:r>
      <w:r>
        <w:rPr>
          <w:rStyle w:val="CharStyle3"/>
          <w:lang w:val="en-US" w:eastAsia="en-US"/>
        </w:rPr>
        <w:softHyphen/>
        <w:t>trast,</w:t>
      </w:r>
      <w:r>
        <w:rPr>
          <w:rStyle w:val="CharStyle3"/>
          <w:lang w:eastAsia="da-DK"/>
        </w:rPr>
        <w:t xml:space="preserve"> in the Fraser River stratified CSoG, shallower </w:t>
      </w:r>
      <w:r>
        <w:rPr>
          <w:rStyle w:val="CharStyle3"/>
          <w:lang w:val="en-US" w:eastAsia="en-US"/>
        </w:rPr>
        <w:t>halo</w:t>
      </w:r>
      <w:r>
        <w:rPr>
          <w:rStyle w:val="CharStyle3"/>
          <w:lang w:val="en-US" w:eastAsia="en-US"/>
        </w:rPr>
        <w:softHyphen/>
        <w:t>clines</w:t>
      </w:r>
      <w:r>
        <w:rPr>
          <w:rStyle w:val="CharStyle3"/>
          <w:lang w:eastAsia="da-DK"/>
        </w:rPr>
        <w:t xml:space="preserve"> and stronger summer stratification coincide with more consistent biomass and high summer abundanc</w:t>
      </w:r>
      <w:r>
        <w:rPr>
          <w:rStyle w:val="CharStyle3"/>
          <w:lang w:eastAsia="da-DK"/>
        </w:rPr>
        <w:t xml:space="preserve">e of </w:t>
      </w:r>
      <w:r>
        <w:rPr>
          <w:rStyle w:val="CharStyle3"/>
          <w:lang w:val="en-US" w:eastAsia="en-US"/>
        </w:rPr>
        <w:t>gleaner</w:t>
      </w:r>
      <w:r>
        <w:rPr>
          <w:rStyle w:val="CharStyle3"/>
          <w:lang w:val="en-US" w:eastAsia="en-US"/>
        </w:rPr>
        <w:softHyphen/>
        <w:t>type</w:t>
      </w:r>
      <w:r>
        <w:rPr>
          <w:rStyle w:val="CharStyle3"/>
          <w:lang w:eastAsia="da-DK"/>
        </w:rPr>
        <w:t xml:space="preserve"> phytoplankton with slower growth rates, represented in the model as the flagellate functional group. While the biomass signals in the CSoG and NSoG suggest varying </w:t>
      </w:r>
      <w:r>
        <w:rPr>
          <w:rStyle w:val="CharStyle3"/>
          <w:lang w:val="en-US" w:eastAsia="en-US"/>
        </w:rPr>
        <w:t>de</w:t>
      </w:r>
      <w:r>
        <w:rPr>
          <w:rStyle w:val="CharStyle3"/>
          <w:lang w:val="en-US" w:eastAsia="en-US"/>
        </w:rPr>
        <w:softHyphen/>
        <w:t>grees</w:t>
      </w:r>
      <w:r>
        <w:rPr>
          <w:rStyle w:val="CharStyle3"/>
          <w:lang w:eastAsia="da-DK"/>
        </w:rPr>
        <w:t xml:space="preserve"> of nutrient limitation, the JdF biomass signal suggests a light-limited physical regime. Furthermore, the cluster-based model evaluation suggests that JdF supports more biomass here than previously thought, likely due to a deeper growing layer. Our approach shows that stratification controls </w:t>
      </w:r>
      <w:r>
        <w:rPr>
          <w:rStyle w:val="CharStyle3"/>
          <w:lang w:val="en-US" w:eastAsia="en-US"/>
        </w:rPr>
        <w:t>nutri</w:t>
      </w:r>
      <w:r>
        <w:rPr>
          <w:rStyle w:val="CharStyle3"/>
          <w:lang w:val="en-US" w:eastAsia="en-US"/>
        </w:rPr>
        <w:softHyphen/>
        <w:t>ent</w:t>
      </w:r>
      <w:r>
        <w:rPr>
          <w:rStyle w:val="CharStyle3"/>
          <w:lang w:eastAsia="da-DK"/>
        </w:rPr>
        <w:t xml:space="preserve"> delivery and cause</w:t>
      </w:r>
      <w:r>
        <w:rPr>
          <w:rStyle w:val="CharStyle3"/>
          <w:lang w:eastAsia="da-DK"/>
        </w:rPr>
        <w:t xml:space="preserve">s subtle structure in regional </w:t>
      </w:r>
      <w:r>
        <w:rPr>
          <w:rStyle w:val="CharStyle3"/>
          <w:lang w:val="en-US" w:eastAsia="en-US"/>
        </w:rPr>
        <w:t>biologi</w:t>
      </w:r>
      <w:r>
        <w:rPr>
          <w:rStyle w:val="CharStyle3"/>
          <w:lang w:val="en-US" w:eastAsia="en-US"/>
        </w:rPr>
        <w:softHyphen/>
        <w:t>cal</w:t>
      </w:r>
      <w:r>
        <w:rPr>
          <w:rStyle w:val="CharStyle3"/>
          <w:lang w:eastAsia="da-DK"/>
        </w:rPr>
        <w:t xml:space="preserve"> patterns, and it demonstrates the utility of simple machine learning tools in extracting insight from large datasets in the context of oceanographic models.</w:t>
      </w:r>
    </w:p>
    <w:p w14:paraId="5B4A1A1E" w14:textId="77777777" w:rsidR="0074324D" w:rsidRDefault="0074324D">
      <w:pPr>
        <w:pStyle w:val="Style13"/>
        <w:keepNext/>
        <w:keepLines/>
        <w:jc w:val="both"/>
        <w:rPr>
          <w:rFonts w:ascii="Times New Roman" w:hAnsi="Times New Roman" w:cs="Times New Roman"/>
          <w:sz w:val="24"/>
          <w:szCs w:val="24"/>
        </w:rPr>
      </w:pPr>
      <w:bookmarkStart w:id="26" w:name="bookmark51"/>
      <w:r>
        <w:rPr>
          <w:rStyle w:val="CharStyle14"/>
          <w:lang w:eastAsia="da-DK"/>
        </w:rPr>
        <w:t>Appendix A: Model evaluation</w:t>
      </w:r>
      <w:bookmarkEnd w:id="26"/>
    </w:p>
    <w:p w14:paraId="44D8D7B3" w14:textId="77777777" w:rsidR="0074324D" w:rsidRDefault="0074324D">
      <w:pPr>
        <w:pStyle w:val="Style2"/>
        <w:jc w:val="both"/>
        <w:rPr>
          <w:rFonts w:ascii="Times New Roman" w:hAnsi="Times New Roman" w:cs="Times New Roman"/>
          <w:sz w:val="24"/>
          <w:szCs w:val="24"/>
        </w:rPr>
        <w:sectPr w:rsidR="00000000">
          <w:headerReference w:type="even" r:id="rId33"/>
          <w:headerReference w:type="default" r:id="rId34"/>
          <w:footerReference w:type="even" r:id="rId35"/>
          <w:footerReference w:type="default" r:id="rId36"/>
          <w:type w:val="continuous"/>
          <w:pgSz w:w="11909" w:h="16834"/>
          <w:pgMar w:top="1326" w:right="895" w:bottom="1204" w:left="892" w:header="0" w:footer="3" w:gutter="0"/>
          <w:cols w:num="2" w:space="299"/>
          <w:noEndnote/>
          <w:docGrid w:linePitch="360"/>
        </w:sectPr>
      </w:pPr>
      <w:r>
        <w:rPr>
          <w:rStyle w:val="CharStyle3"/>
          <w:lang w:eastAsia="da-DK"/>
        </w:rPr>
        <w:t xml:space="preserve">We evaluate the version of the SalishSeaCast biophysical model used in this clustering analysis regionally against available data from the Department of Fisheries and Oceans Canada </w:t>
      </w:r>
      <w:hyperlink w:anchor="bookmark107" w:tooltip="Current Document" w:history="1">
        <w:r>
          <w:rPr>
            <w:rStyle w:val="CharStyle3"/>
            <w:lang w:eastAsia="da-DK"/>
          </w:rPr>
          <w:t>(Ocean Sciences Division, 2020)</w:t>
        </w:r>
      </w:hyperlink>
      <w:r>
        <w:rPr>
          <w:rStyle w:val="CharStyle3"/>
          <w:lang w:eastAsia="da-DK"/>
        </w:rPr>
        <w:t xml:space="preserve">, specifically nitrate, dissolved silica, log-transformed chlorophyll, absolute </w:t>
      </w:r>
      <w:r>
        <w:rPr>
          <w:rStyle w:val="CharStyle3"/>
          <w:lang w:val="en-US" w:eastAsia="en-US"/>
        </w:rPr>
        <w:t>salin</w:t>
      </w:r>
      <w:r>
        <w:rPr>
          <w:rStyle w:val="CharStyle3"/>
          <w:lang w:val="en-US" w:eastAsia="en-US"/>
        </w:rPr>
        <w:softHyphen/>
        <w:t>ity,</w:t>
      </w:r>
      <w:r>
        <w:rPr>
          <w:rStyle w:val="CharStyle3"/>
          <w:lang w:eastAsia="da-DK"/>
        </w:rPr>
        <w:t xml:space="preserve"> and conservative temperature, along with the spread of locations and times of collection (Figs. A1, A2; Tables</w:t>
      </w:r>
      <w:hyperlink w:anchor="bookmark53" w:tooltip="Current Document" w:history="1">
        <w:r>
          <w:rPr>
            <w:rStyle w:val="CharStyle3"/>
            <w:lang w:eastAsia="da-DK"/>
          </w:rPr>
          <w:t xml:space="preserve"> A1,</w:t>
        </w:r>
      </w:hyperlink>
      <w:r>
        <w:rPr>
          <w:rStyle w:val="CharStyle3"/>
          <w:lang w:eastAsia="da-DK"/>
        </w:rPr>
        <w:t xml:space="preserve"> </w:t>
      </w:r>
      <w:hyperlink w:anchor="bookmark54" w:tooltip="Current Document" w:history="1">
        <w:r>
          <w:rPr>
            <w:rStyle w:val="CharStyle3"/>
            <w:lang w:eastAsia="da-DK"/>
          </w:rPr>
          <w:t>A2)</w:t>
        </w:r>
      </w:hyperlink>
      <w:r>
        <w:rPr>
          <w:rStyle w:val="CharStyle3"/>
          <w:lang w:eastAsia="da-DK"/>
        </w:rPr>
        <w:t>.</w:t>
      </w:r>
    </w:p>
    <w:p w14:paraId="4DD7CFF5" w14:textId="7043E5E2" w:rsidR="0074324D" w:rsidRDefault="0074324D">
      <w:pPr>
        <w:jc w:val="center"/>
        <w:rPr>
          <w:color w:val="auto"/>
          <w:lang w:eastAsia="en-GB"/>
        </w:rPr>
      </w:pPr>
      <w:r>
        <w:rPr>
          <w:noProof/>
          <w:color w:val="auto"/>
          <w:lang w:eastAsia="en-GB"/>
        </w:rPr>
        <w:lastRenderedPageBreak/>
        <w:drawing>
          <wp:inline distT="0" distB="0" distL="0" distR="0" wp14:anchorId="37F07C56" wp14:editId="41F85E3B">
            <wp:extent cx="3781425" cy="70485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1425" cy="7048500"/>
                    </a:xfrm>
                    <a:prstGeom prst="rect">
                      <a:avLst/>
                    </a:prstGeom>
                    <a:noFill/>
                    <a:ln>
                      <a:noFill/>
                    </a:ln>
                  </pic:spPr>
                </pic:pic>
              </a:graphicData>
            </a:graphic>
          </wp:inline>
        </w:drawing>
      </w:r>
    </w:p>
    <w:p w14:paraId="6B51D35A" w14:textId="77777777" w:rsidR="0074324D" w:rsidRDefault="0074324D">
      <w:pPr>
        <w:spacing w:after="159" w:line="1" w:lineRule="exact"/>
        <w:rPr>
          <w:color w:val="auto"/>
          <w:lang w:eastAsia="en-GB"/>
        </w:rPr>
      </w:pPr>
    </w:p>
    <w:p w14:paraId="3D260C5F" w14:textId="77777777" w:rsidR="0074324D" w:rsidRDefault="0074324D">
      <w:pPr>
        <w:pStyle w:val="Style26"/>
        <w:spacing w:line="307" w:lineRule="auto"/>
        <w:ind w:left="0" w:firstLine="0"/>
        <w:jc w:val="both"/>
        <w:rPr>
          <w:rFonts w:ascii="Times New Roman" w:hAnsi="Times New Roman" w:cs="Times New Roman"/>
          <w:sz w:val="24"/>
          <w:szCs w:val="24"/>
        </w:rPr>
      </w:pPr>
      <w:r>
        <w:rPr>
          <w:rStyle w:val="CharStyle27"/>
          <w:lang w:eastAsia="da-DK"/>
        </w:rPr>
        <w:t>Figure A1. Model comparison with DFO CTD (conductivity–temperature–depth sensor) temperature and salinity data. The plots show modeled vs. observed values for salinity and temperature for the entire model domain, as well as points matched only to the three major biological clusters – the northern Strait of Georgia, the central Strait of Georgia, and the Juan de Fuca Strait (cluster boundaries are specific to the year of observation) (note that in some years, Bute Inlet clusters with the Juan de Fuca Strait)</w:t>
      </w:r>
      <w:r>
        <w:rPr>
          <w:rStyle w:val="CharStyle27"/>
          <w:lang w:eastAsia="da-DK"/>
        </w:rPr>
        <w:t>. Because of the large amount of data available for comparison, a histogram view is presented. The timeline and rightmost panel display observation times and locations. Summary statistics corresponding to these plots are shown in Table</w:t>
      </w:r>
      <w:hyperlink w:anchor="bookmark53" w:tooltip="Current Document" w:history="1">
        <w:r>
          <w:rPr>
            <w:rStyle w:val="CharStyle27"/>
            <w:lang w:eastAsia="da-DK"/>
          </w:rPr>
          <w:t xml:space="preserve"> A1.</w:t>
        </w:r>
      </w:hyperlink>
      <w:r>
        <w:rPr>
          <w:rFonts w:ascii="Times New Roman" w:hAnsi="Times New Roman" w:cs="Times New Roman"/>
          <w:sz w:val="24"/>
          <w:szCs w:val="24"/>
        </w:rPr>
        <w:br w:type="page"/>
      </w:r>
    </w:p>
    <w:p w14:paraId="77B568E8" w14:textId="7B7F865A" w:rsidR="0074324D" w:rsidRDefault="0074324D">
      <w:pPr>
        <w:jc w:val="center"/>
        <w:rPr>
          <w:color w:val="auto"/>
          <w:lang w:eastAsia="en-GB"/>
        </w:rPr>
      </w:pPr>
      <w:r>
        <w:rPr>
          <w:noProof/>
          <w:color w:val="auto"/>
          <w:lang w:eastAsia="en-GB"/>
        </w:rPr>
        <w:lastRenderedPageBreak/>
        <w:drawing>
          <wp:inline distT="0" distB="0" distL="0" distR="0" wp14:anchorId="1FDEB1B5" wp14:editId="6B216729">
            <wp:extent cx="4324350" cy="69532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6953250"/>
                    </a:xfrm>
                    <a:prstGeom prst="rect">
                      <a:avLst/>
                    </a:prstGeom>
                    <a:noFill/>
                    <a:ln>
                      <a:noFill/>
                    </a:ln>
                  </pic:spPr>
                </pic:pic>
              </a:graphicData>
            </a:graphic>
          </wp:inline>
        </w:drawing>
      </w:r>
    </w:p>
    <w:p w14:paraId="058688AB" w14:textId="77777777" w:rsidR="0074324D" w:rsidRDefault="0074324D">
      <w:pPr>
        <w:spacing w:after="179" w:line="1" w:lineRule="exact"/>
        <w:rPr>
          <w:color w:val="auto"/>
          <w:lang w:eastAsia="en-GB"/>
        </w:rPr>
      </w:pPr>
    </w:p>
    <w:p w14:paraId="1535A951" w14:textId="77777777" w:rsidR="0074324D" w:rsidRDefault="0074324D">
      <w:pPr>
        <w:pStyle w:val="Style26"/>
        <w:ind w:left="0" w:firstLine="0"/>
        <w:jc w:val="both"/>
        <w:rPr>
          <w:rFonts w:ascii="Times New Roman" w:hAnsi="Times New Roman" w:cs="Times New Roman"/>
          <w:sz w:val="24"/>
          <w:szCs w:val="24"/>
        </w:rPr>
      </w:pPr>
      <w:r>
        <w:rPr>
          <w:rStyle w:val="CharStyle27"/>
          <w:lang w:eastAsia="da-DK"/>
        </w:rPr>
        <w:t>Figure A2. Model comparison with DFO nitrate, dissolved silica, and log-transformed chlorophyll data. The plots show modeled vs. observed values for nitrate, dissolved silica, and log-transformed chlorophyll for the entire model domain, as well as points matched only to the three major biological clusters – the northern Strait of Georgia, the central Strait of Georgia, and the Juan de Fuca Strait (cluster boundaries are specific to the year of observation). The timeline and rightmost panel display observati</w:t>
      </w:r>
      <w:r>
        <w:rPr>
          <w:rStyle w:val="CharStyle27"/>
          <w:lang w:eastAsia="da-DK"/>
        </w:rPr>
        <w:t>on times and locations. Stations with nutrients but no chlorophyll data are shown in red, while stations with observations of all three parameters are shown in purple. Summary statistics corresponding to these plots are shown in Table</w:t>
      </w:r>
      <w:hyperlink w:anchor="bookmark54" w:tooltip="Current Document" w:history="1">
        <w:r>
          <w:rPr>
            <w:rStyle w:val="CharStyle27"/>
            <w:lang w:eastAsia="da-DK"/>
          </w:rPr>
          <w:t xml:space="preserve"> A2.</w:t>
        </w:r>
      </w:hyperlink>
      <w:r>
        <w:rPr>
          <w:rFonts w:ascii="Times New Roman" w:hAnsi="Times New Roman" w:cs="Times New Roman"/>
          <w:sz w:val="24"/>
          <w:szCs w:val="24"/>
        </w:rPr>
        <w:br w:type="page"/>
      </w:r>
    </w:p>
    <w:p w14:paraId="46AD4DCF" w14:textId="77777777" w:rsidR="0074324D" w:rsidRDefault="0074324D">
      <w:pPr>
        <w:pStyle w:val="Style28"/>
        <w:spacing w:line="307" w:lineRule="auto"/>
        <w:rPr>
          <w:rFonts w:ascii="Times New Roman" w:hAnsi="Times New Roman" w:cs="Times New Roman"/>
          <w:sz w:val="24"/>
          <w:szCs w:val="24"/>
        </w:rPr>
      </w:pPr>
      <w:bookmarkStart w:id="27" w:name="bookmark53"/>
      <w:r>
        <w:rPr>
          <w:rStyle w:val="CharStyle29"/>
          <w:lang w:eastAsia="da-DK"/>
        </w:rPr>
        <w:lastRenderedPageBreak/>
        <w:t>Table A1. Summary statistics corresponding to the model–data comparison of temperature and salinity shown in Fig. A1. Model bias is low compared to model means, and model bias and skill score do not vary significantly between biological clusters.</w:t>
      </w:r>
      <w:bookmarkEnd w:id="27"/>
    </w:p>
    <w:tbl>
      <w:tblPr>
        <w:tblW w:w="0" w:type="auto"/>
        <w:jc w:val="center"/>
        <w:tblLayout w:type="fixed"/>
        <w:tblCellMar>
          <w:left w:w="0" w:type="dxa"/>
          <w:right w:w="0" w:type="dxa"/>
        </w:tblCellMar>
        <w:tblLook w:val="0000" w:firstRow="0" w:lastRow="0" w:firstColumn="0" w:lastColumn="0" w:noHBand="0" w:noVBand="0"/>
      </w:tblPr>
      <w:tblGrid>
        <w:gridCol w:w="1416"/>
        <w:gridCol w:w="5798"/>
      </w:tblGrid>
      <w:tr w:rsidR="00000000" w14:paraId="55FFBF93" w14:textId="77777777">
        <w:tblPrEx>
          <w:tblCellMar>
            <w:top w:w="0" w:type="dxa"/>
            <w:left w:w="0" w:type="dxa"/>
            <w:bottom w:w="0" w:type="dxa"/>
            <w:right w:w="0" w:type="dxa"/>
          </w:tblCellMar>
        </w:tblPrEx>
        <w:trPr>
          <w:trHeight w:hRule="exact" w:val="254"/>
          <w:jc w:val="center"/>
        </w:trPr>
        <w:tc>
          <w:tcPr>
            <w:tcW w:w="1416" w:type="dxa"/>
            <w:tcBorders>
              <w:top w:val="single" w:sz="4" w:space="0" w:color="auto"/>
              <w:left w:val="nil"/>
              <w:bottom w:val="nil"/>
              <w:right w:val="nil"/>
            </w:tcBorders>
          </w:tcPr>
          <w:p w14:paraId="018EDFAF" w14:textId="77777777" w:rsidR="0074324D" w:rsidRDefault="0074324D">
            <w:pPr>
              <w:rPr>
                <w:color w:val="auto"/>
                <w:lang w:eastAsia="en-GB"/>
              </w:rPr>
            </w:pPr>
          </w:p>
        </w:tc>
        <w:tc>
          <w:tcPr>
            <w:tcW w:w="5798" w:type="dxa"/>
            <w:tcBorders>
              <w:top w:val="single" w:sz="4" w:space="0" w:color="auto"/>
              <w:left w:val="nil"/>
              <w:bottom w:val="nil"/>
              <w:right w:val="nil"/>
            </w:tcBorders>
          </w:tcPr>
          <w:p w14:paraId="6127FC1D" w14:textId="77777777" w:rsidR="0074324D" w:rsidRDefault="0074324D">
            <w:pPr>
              <w:pStyle w:val="Style30"/>
              <w:tabs>
                <w:tab w:val="left" w:pos="1046"/>
              </w:tabs>
              <w:spacing w:line="240" w:lineRule="auto"/>
              <w:jc w:val="both"/>
              <w:rPr>
                <w:rFonts w:ascii="Times New Roman" w:hAnsi="Times New Roman" w:cs="Times New Roman"/>
                <w:sz w:val="24"/>
                <w:szCs w:val="24"/>
              </w:rPr>
            </w:pPr>
            <w:r>
              <w:rPr>
                <w:rStyle w:val="CharStyle31"/>
                <w:sz w:val="14"/>
                <w:szCs w:val="14"/>
                <w:lang w:eastAsia="da-DK"/>
              </w:rPr>
              <w:t>Metric</w:t>
            </w:r>
            <w:r>
              <w:rPr>
                <w:rStyle w:val="CharStyle31"/>
                <w:sz w:val="14"/>
                <w:szCs w:val="14"/>
                <w:lang w:eastAsia="da-DK"/>
              </w:rPr>
              <w:tab/>
              <w:t>All data Cluster 3 (CSoG) Cluster 4 (NSoG) Cluster 5 (JdF)</w:t>
            </w:r>
          </w:p>
        </w:tc>
      </w:tr>
      <w:tr w:rsidR="00000000" w14:paraId="275861E3" w14:textId="77777777">
        <w:tblPrEx>
          <w:tblCellMar>
            <w:top w:w="0" w:type="dxa"/>
            <w:left w:w="0" w:type="dxa"/>
            <w:bottom w:w="0" w:type="dxa"/>
            <w:right w:w="0" w:type="dxa"/>
          </w:tblCellMar>
        </w:tblPrEx>
        <w:trPr>
          <w:trHeight w:hRule="exact" w:val="1123"/>
          <w:jc w:val="center"/>
        </w:trPr>
        <w:tc>
          <w:tcPr>
            <w:tcW w:w="1416" w:type="dxa"/>
            <w:tcBorders>
              <w:top w:val="single" w:sz="4" w:space="0" w:color="auto"/>
              <w:left w:val="nil"/>
              <w:bottom w:val="nil"/>
              <w:right w:val="nil"/>
            </w:tcBorders>
          </w:tcPr>
          <w:p w14:paraId="4F6543F1" w14:textId="77777777" w:rsidR="0074324D" w:rsidRDefault="0074324D">
            <w:pPr>
              <w:pStyle w:val="Style30"/>
              <w:spacing w:line="240" w:lineRule="auto"/>
              <w:jc w:val="center"/>
              <w:rPr>
                <w:rFonts w:ascii="Times New Roman" w:hAnsi="Times New Roman" w:cs="Times New Roman"/>
                <w:sz w:val="24"/>
                <w:szCs w:val="24"/>
              </w:rPr>
            </w:pPr>
            <w:r>
              <w:rPr>
                <w:rStyle w:val="CharStyle31"/>
                <w:sz w:val="14"/>
                <w:szCs w:val="14"/>
                <w:lang w:eastAsia="da-DK"/>
              </w:rPr>
              <w:t>Temperature (</w:t>
            </w:r>
            <w:r>
              <w:rPr>
                <w:rStyle w:val="CharStyle31"/>
                <w:sz w:val="12"/>
                <w:szCs w:val="12"/>
                <w:vertAlign w:val="superscript"/>
                <w:lang w:eastAsia="da-DK"/>
              </w:rPr>
              <w:t>◦</w:t>
            </w:r>
            <w:r>
              <w:rPr>
                <w:rStyle w:val="CharStyle31"/>
                <w:sz w:val="14"/>
                <w:szCs w:val="14"/>
                <w:lang w:eastAsia="da-DK"/>
              </w:rPr>
              <w:t>C)</w:t>
            </w:r>
          </w:p>
        </w:tc>
        <w:tc>
          <w:tcPr>
            <w:tcW w:w="5798" w:type="dxa"/>
            <w:tcBorders>
              <w:top w:val="single" w:sz="4" w:space="0" w:color="auto"/>
              <w:left w:val="nil"/>
              <w:bottom w:val="nil"/>
              <w:right w:val="nil"/>
            </w:tcBorders>
            <w:vAlign w:val="center"/>
          </w:tcPr>
          <w:p w14:paraId="7AEC50B6" w14:textId="77777777" w:rsidR="0074324D" w:rsidRDefault="0074324D">
            <w:pPr>
              <w:pStyle w:val="Style30"/>
              <w:tabs>
                <w:tab w:val="left" w:pos="1046"/>
                <w:tab w:val="left" w:pos="2419"/>
                <w:tab w:val="left" w:pos="3888"/>
                <w:tab w:val="left" w:pos="5098"/>
              </w:tabs>
              <w:spacing w:line="240" w:lineRule="auto"/>
              <w:jc w:val="both"/>
              <w:rPr>
                <w:rFonts w:ascii="Times New Roman" w:hAnsi="Times New Roman" w:cs="Times New Roman"/>
                <w:sz w:val="24"/>
                <w:szCs w:val="24"/>
              </w:rPr>
            </w:pPr>
            <w:r>
              <w:rPr>
                <w:rStyle w:val="CharStyle31"/>
                <w:sz w:val="13"/>
                <w:szCs w:val="13"/>
                <w:lang w:eastAsia="da-DK"/>
              </w:rPr>
              <w:t>N</w:t>
            </w:r>
            <w:r>
              <w:rPr>
                <w:rStyle w:val="CharStyle31"/>
                <w:sz w:val="13"/>
                <w:szCs w:val="13"/>
                <w:lang w:eastAsia="da-DK"/>
              </w:rPr>
              <w:tab/>
            </w:r>
            <w:r>
              <w:rPr>
                <w:rStyle w:val="CharStyle31"/>
                <w:sz w:val="14"/>
                <w:szCs w:val="14"/>
                <w:lang w:eastAsia="da-DK"/>
              </w:rPr>
              <w:t>502 228</w:t>
            </w:r>
            <w:r>
              <w:rPr>
                <w:rStyle w:val="CharStyle31"/>
                <w:sz w:val="14"/>
                <w:szCs w:val="14"/>
                <w:lang w:eastAsia="da-DK"/>
              </w:rPr>
              <w:tab/>
              <w:t>308 314</w:t>
            </w:r>
            <w:r>
              <w:rPr>
                <w:rStyle w:val="CharStyle31"/>
                <w:sz w:val="14"/>
                <w:szCs w:val="14"/>
                <w:lang w:eastAsia="da-DK"/>
              </w:rPr>
              <w:tab/>
              <w:t>56 479</w:t>
            </w:r>
            <w:r>
              <w:rPr>
                <w:rStyle w:val="CharStyle31"/>
                <w:sz w:val="14"/>
                <w:szCs w:val="14"/>
                <w:lang w:eastAsia="da-DK"/>
              </w:rPr>
              <w:tab/>
              <w:t>37 858</w:t>
            </w:r>
          </w:p>
          <w:p w14:paraId="56E13FFD" w14:textId="77777777" w:rsidR="0074324D" w:rsidRDefault="0074324D">
            <w:pPr>
              <w:pStyle w:val="Style30"/>
              <w:tabs>
                <w:tab w:val="right" w:pos="1589"/>
                <w:tab w:val="right" w:pos="2990"/>
                <w:tab w:val="right" w:pos="4354"/>
                <w:tab w:val="right" w:pos="5534"/>
              </w:tabs>
              <w:spacing w:line="240" w:lineRule="auto"/>
              <w:jc w:val="both"/>
              <w:rPr>
                <w:rFonts w:ascii="Times New Roman" w:hAnsi="Times New Roman" w:cs="Times New Roman"/>
                <w:sz w:val="24"/>
                <w:szCs w:val="24"/>
              </w:rPr>
            </w:pPr>
            <w:r>
              <w:rPr>
                <w:rStyle w:val="CharStyle31"/>
                <w:sz w:val="14"/>
                <w:szCs w:val="14"/>
                <w:lang w:eastAsia="da-DK"/>
              </w:rPr>
              <w:t>Model mean</w:t>
            </w:r>
            <w:r>
              <w:rPr>
                <w:rStyle w:val="CharStyle31"/>
                <w:sz w:val="14"/>
                <w:szCs w:val="14"/>
                <w:lang w:eastAsia="da-DK"/>
              </w:rPr>
              <w:tab/>
              <w:t>9.5</w:t>
            </w:r>
            <w:r>
              <w:rPr>
                <w:rStyle w:val="CharStyle31"/>
                <w:sz w:val="14"/>
                <w:szCs w:val="14"/>
                <w:lang w:eastAsia="da-DK"/>
              </w:rPr>
              <w:tab/>
              <w:t>9.5</w:t>
            </w:r>
            <w:r>
              <w:rPr>
                <w:rStyle w:val="CharStyle31"/>
                <w:sz w:val="14"/>
                <w:szCs w:val="14"/>
                <w:lang w:eastAsia="da-DK"/>
              </w:rPr>
              <w:tab/>
              <w:t>9.6</w:t>
            </w:r>
            <w:r>
              <w:rPr>
                <w:rStyle w:val="CharStyle31"/>
                <w:sz w:val="14"/>
                <w:szCs w:val="14"/>
                <w:lang w:eastAsia="da-DK"/>
              </w:rPr>
              <w:tab/>
              <w:t>8.7</w:t>
            </w:r>
          </w:p>
          <w:p w14:paraId="1A60C014" w14:textId="77777777" w:rsidR="0074324D" w:rsidRDefault="0074324D">
            <w:pPr>
              <w:pStyle w:val="Style30"/>
              <w:tabs>
                <w:tab w:val="right" w:pos="1584"/>
                <w:tab w:val="right" w:pos="2986"/>
                <w:tab w:val="right" w:pos="4349"/>
                <w:tab w:val="right" w:pos="5530"/>
              </w:tabs>
              <w:spacing w:line="240" w:lineRule="auto"/>
              <w:jc w:val="both"/>
              <w:rPr>
                <w:rFonts w:ascii="Times New Roman" w:hAnsi="Times New Roman" w:cs="Times New Roman"/>
                <w:sz w:val="24"/>
                <w:szCs w:val="24"/>
              </w:rPr>
            </w:pPr>
            <w:r>
              <w:rPr>
                <w:rStyle w:val="CharStyle31"/>
                <w:sz w:val="14"/>
                <w:szCs w:val="14"/>
                <w:lang w:eastAsia="da-DK"/>
              </w:rPr>
              <w:t>Bias</w:t>
            </w:r>
            <w:r>
              <w:rPr>
                <w:rStyle w:val="CharStyle31"/>
                <w:sz w:val="14"/>
                <w:szCs w:val="14"/>
                <w:lang w:eastAsia="da-DK"/>
              </w:rPr>
              <w:tab/>
              <w:t>0.01</w:t>
            </w:r>
            <w:r>
              <w:rPr>
                <w:rStyle w:val="CharStyle31"/>
                <w:sz w:val="14"/>
                <w:szCs w:val="14"/>
                <w:lang w:eastAsia="da-DK"/>
              </w:rPr>
              <w:tab/>
              <w:t>0.044</w:t>
            </w:r>
            <w:r>
              <w:rPr>
                <w:rStyle w:val="CharStyle31"/>
                <w:sz w:val="14"/>
                <w:szCs w:val="14"/>
                <w:lang w:eastAsia="da-DK"/>
              </w:rPr>
              <w:tab/>
              <w:t>-0</w:t>
            </w:r>
            <w:r>
              <w:rPr>
                <w:rStyle w:val="CharStyle31"/>
                <w:sz w:val="13"/>
                <w:szCs w:val="13"/>
                <w:lang w:eastAsia="da-DK"/>
              </w:rPr>
              <w:t>.</w:t>
            </w:r>
            <w:r>
              <w:rPr>
                <w:rStyle w:val="CharStyle31"/>
                <w:sz w:val="14"/>
                <w:szCs w:val="14"/>
                <w:lang w:eastAsia="da-DK"/>
              </w:rPr>
              <w:t>075</w:t>
            </w:r>
            <w:r>
              <w:rPr>
                <w:rStyle w:val="CharStyle31"/>
                <w:sz w:val="14"/>
                <w:szCs w:val="14"/>
                <w:lang w:eastAsia="da-DK"/>
              </w:rPr>
              <w:tab/>
              <w:t>-0</w:t>
            </w:r>
            <w:r>
              <w:rPr>
                <w:rStyle w:val="CharStyle31"/>
                <w:sz w:val="13"/>
                <w:szCs w:val="13"/>
                <w:lang w:eastAsia="da-DK"/>
              </w:rPr>
              <w:t>.</w:t>
            </w:r>
            <w:r>
              <w:rPr>
                <w:rStyle w:val="CharStyle31"/>
                <w:sz w:val="14"/>
                <w:szCs w:val="14"/>
                <w:lang w:eastAsia="da-DK"/>
              </w:rPr>
              <w:t>068</w:t>
            </w:r>
          </w:p>
          <w:p w14:paraId="0CB579B7" w14:textId="77777777" w:rsidR="0074324D" w:rsidRDefault="0074324D">
            <w:pPr>
              <w:pStyle w:val="Style30"/>
              <w:tabs>
                <w:tab w:val="right" w:pos="1584"/>
                <w:tab w:val="right" w:pos="2986"/>
                <w:tab w:val="right" w:pos="4349"/>
                <w:tab w:val="right" w:pos="5525"/>
              </w:tabs>
              <w:spacing w:line="240" w:lineRule="auto"/>
              <w:jc w:val="both"/>
              <w:rPr>
                <w:rFonts w:ascii="Times New Roman" w:hAnsi="Times New Roman" w:cs="Times New Roman"/>
                <w:sz w:val="24"/>
                <w:szCs w:val="24"/>
              </w:rPr>
            </w:pPr>
            <w:r>
              <w:rPr>
                <w:rStyle w:val="CharStyle31"/>
                <w:sz w:val="14"/>
                <w:szCs w:val="14"/>
                <w:lang w:eastAsia="da-DK"/>
              </w:rPr>
              <w:t>RMSE</w:t>
            </w:r>
            <w:r>
              <w:rPr>
                <w:rStyle w:val="CharStyle31"/>
                <w:sz w:val="14"/>
                <w:szCs w:val="14"/>
                <w:lang w:eastAsia="da-DK"/>
              </w:rPr>
              <w:tab/>
              <w:t>0.47</w:t>
            </w:r>
            <w:r>
              <w:rPr>
                <w:rStyle w:val="CharStyle31"/>
                <w:sz w:val="14"/>
                <w:szCs w:val="14"/>
                <w:lang w:eastAsia="da-DK"/>
              </w:rPr>
              <w:tab/>
              <w:t>0.44</w:t>
            </w:r>
            <w:r>
              <w:rPr>
                <w:rStyle w:val="CharStyle31"/>
                <w:sz w:val="14"/>
                <w:szCs w:val="14"/>
                <w:lang w:eastAsia="da-DK"/>
              </w:rPr>
              <w:tab/>
              <w:t>0.45</w:t>
            </w:r>
            <w:r>
              <w:rPr>
                <w:rStyle w:val="CharStyle31"/>
                <w:sz w:val="14"/>
                <w:szCs w:val="14"/>
                <w:lang w:eastAsia="da-DK"/>
              </w:rPr>
              <w:tab/>
              <w:t>0.51</w:t>
            </w:r>
          </w:p>
          <w:p w14:paraId="290B08AB" w14:textId="77777777" w:rsidR="0074324D" w:rsidRDefault="0074324D">
            <w:pPr>
              <w:pStyle w:val="Style30"/>
              <w:tabs>
                <w:tab w:val="right" w:pos="1589"/>
                <w:tab w:val="right" w:pos="2990"/>
                <w:tab w:val="right" w:pos="4354"/>
                <w:tab w:val="right" w:pos="5539"/>
              </w:tabs>
              <w:spacing w:line="240" w:lineRule="auto"/>
              <w:jc w:val="both"/>
              <w:rPr>
                <w:rFonts w:ascii="Times New Roman" w:hAnsi="Times New Roman" w:cs="Times New Roman"/>
                <w:sz w:val="24"/>
                <w:szCs w:val="24"/>
              </w:rPr>
            </w:pPr>
            <w:r>
              <w:rPr>
                <w:rStyle w:val="CharStyle31"/>
                <w:sz w:val="14"/>
                <w:szCs w:val="14"/>
                <w:lang w:eastAsia="da-DK"/>
              </w:rPr>
              <w:t>WSS</w:t>
            </w:r>
            <w:r>
              <w:rPr>
                <w:rStyle w:val="CharStyle31"/>
                <w:sz w:val="14"/>
                <w:szCs w:val="14"/>
                <w:lang w:eastAsia="da-DK"/>
              </w:rPr>
              <w:tab/>
              <w:t>0.967</w:t>
            </w:r>
            <w:r>
              <w:rPr>
                <w:rStyle w:val="CharStyle31"/>
                <w:sz w:val="14"/>
                <w:szCs w:val="14"/>
                <w:lang w:eastAsia="da-DK"/>
              </w:rPr>
              <w:tab/>
              <w:t>0.966</w:t>
            </w:r>
            <w:r>
              <w:rPr>
                <w:rStyle w:val="CharStyle31"/>
                <w:sz w:val="14"/>
                <w:szCs w:val="14"/>
                <w:lang w:eastAsia="da-DK"/>
              </w:rPr>
              <w:tab/>
              <w:t>0.961</w:t>
            </w:r>
            <w:r>
              <w:rPr>
                <w:rStyle w:val="CharStyle31"/>
                <w:sz w:val="14"/>
                <w:szCs w:val="14"/>
                <w:lang w:eastAsia="da-DK"/>
              </w:rPr>
              <w:tab/>
              <w:t>0.966</w:t>
            </w:r>
          </w:p>
        </w:tc>
      </w:tr>
      <w:tr w:rsidR="00000000" w14:paraId="73A7C3F0" w14:textId="77777777">
        <w:tblPrEx>
          <w:tblCellMar>
            <w:top w:w="0" w:type="dxa"/>
            <w:left w:w="0" w:type="dxa"/>
            <w:bottom w:w="0" w:type="dxa"/>
            <w:right w:w="0" w:type="dxa"/>
          </w:tblCellMar>
        </w:tblPrEx>
        <w:trPr>
          <w:trHeight w:hRule="exact" w:val="1138"/>
          <w:jc w:val="center"/>
        </w:trPr>
        <w:tc>
          <w:tcPr>
            <w:tcW w:w="1416" w:type="dxa"/>
            <w:tcBorders>
              <w:top w:val="single" w:sz="4" w:space="0" w:color="auto"/>
              <w:left w:val="nil"/>
              <w:bottom w:val="single" w:sz="4" w:space="0" w:color="auto"/>
              <w:right w:val="nil"/>
            </w:tcBorders>
          </w:tcPr>
          <w:p w14:paraId="04B00C2C" w14:textId="77777777" w:rsidR="0074324D" w:rsidRDefault="0074324D">
            <w:pPr>
              <w:pStyle w:val="Style30"/>
              <w:spacing w:line="240" w:lineRule="auto"/>
              <w:jc w:val="center"/>
              <w:rPr>
                <w:rFonts w:ascii="Times New Roman" w:hAnsi="Times New Roman" w:cs="Times New Roman"/>
                <w:sz w:val="24"/>
                <w:szCs w:val="24"/>
              </w:rPr>
            </w:pPr>
            <w:r>
              <w:rPr>
                <w:rStyle w:val="CharStyle31"/>
                <w:sz w:val="14"/>
                <w:szCs w:val="14"/>
                <w:lang w:eastAsia="da-DK"/>
              </w:rPr>
              <w:t>Salinity (gkg</w:t>
            </w:r>
            <w:r>
              <w:rPr>
                <w:rStyle w:val="CharStyle31"/>
                <w:sz w:val="12"/>
                <w:szCs w:val="12"/>
                <w:vertAlign w:val="superscript"/>
                <w:lang w:eastAsia="da-DK"/>
              </w:rPr>
              <w:t>-</w:t>
            </w:r>
            <w:r>
              <w:rPr>
                <w:rStyle w:val="CharStyle31"/>
                <w:sz w:val="14"/>
                <w:szCs w:val="14"/>
                <w:vertAlign w:val="superscript"/>
                <w:lang w:eastAsia="da-DK"/>
              </w:rPr>
              <w:t>1</w:t>
            </w:r>
            <w:r>
              <w:rPr>
                <w:rStyle w:val="CharStyle31"/>
                <w:sz w:val="14"/>
                <w:szCs w:val="14"/>
                <w:lang w:eastAsia="da-DK"/>
              </w:rPr>
              <w:t>)</w:t>
            </w:r>
          </w:p>
        </w:tc>
        <w:tc>
          <w:tcPr>
            <w:tcW w:w="5798" w:type="dxa"/>
            <w:tcBorders>
              <w:top w:val="single" w:sz="4" w:space="0" w:color="auto"/>
              <w:left w:val="nil"/>
              <w:bottom w:val="single" w:sz="4" w:space="0" w:color="auto"/>
              <w:right w:val="nil"/>
            </w:tcBorders>
            <w:vAlign w:val="center"/>
          </w:tcPr>
          <w:p w14:paraId="70CFAB21" w14:textId="77777777" w:rsidR="0074324D" w:rsidRDefault="0074324D">
            <w:pPr>
              <w:pStyle w:val="Style30"/>
              <w:tabs>
                <w:tab w:val="left" w:pos="1046"/>
                <w:tab w:val="left" w:pos="2419"/>
                <w:tab w:val="left" w:pos="3888"/>
                <w:tab w:val="left" w:pos="5098"/>
              </w:tabs>
              <w:spacing w:line="240" w:lineRule="auto"/>
              <w:jc w:val="both"/>
              <w:rPr>
                <w:rFonts w:ascii="Times New Roman" w:hAnsi="Times New Roman" w:cs="Times New Roman"/>
                <w:sz w:val="24"/>
                <w:szCs w:val="24"/>
              </w:rPr>
            </w:pPr>
            <w:r>
              <w:rPr>
                <w:rStyle w:val="CharStyle31"/>
                <w:sz w:val="13"/>
                <w:szCs w:val="13"/>
                <w:lang w:eastAsia="da-DK"/>
              </w:rPr>
              <w:t>N</w:t>
            </w:r>
            <w:r>
              <w:rPr>
                <w:rStyle w:val="CharStyle31"/>
                <w:sz w:val="13"/>
                <w:szCs w:val="13"/>
                <w:lang w:eastAsia="da-DK"/>
              </w:rPr>
              <w:tab/>
            </w:r>
            <w:r>
              <w:rPr>
                <w:rStyle w:val="CharStyle31"/>
                <w:sz w:val="14"/>
                <w:szCs w:val="14"/>
                <w:lang w:eastAsia="da-DK"/>
              </w:rPr>
              <w:t>502 228</w:t>
            </w:r>
            <w:r>
              <w:rPr>
                <w:rStyle w:val="CharStyle31"/>
                <w:sz w:val="14"/>
                <w:szCs w:val="14"/>
                <w:lang w:eastAsia="da-DK"/>
              </w:rPr>
              <w:tab/>
              <w:t>308 314</w:t>
            </w:r>
            <w:r>
              <w:rPr>
                <w:rStyle w:val="CharStyle31"/>
                <w:sz w:val="14"/>
                <w:szCs w:val="14"/>
                <w:lang w:eastAsia="da-DK"/>
              </w:rPr>
              <w:tab/>
              <w:t>56 479</w:t>
            </w:r>
            <w:r>
              <w:rPr>
                <w:rStyle w:val="CharStyle31"/>
                <w:sz w:val="14"/>
                <w:szCs w:val="14"/>
                <w:lang w:eastAsia="da-DK"/>
              </w:rPr>
              <w:tab/>
              <w:t>37 858</w:t>
            </w:r>
          </w:p>
          <w:p w14:paraId="69E50533" w14:textId="77777777" w:rsidR="0074324D" w:rsidRDefault="0074324D">
            <w:pPr>
              <w:pStyle w:val="Style30"/>
              <w:tabs>
                <w:tab w:val="right" w:pos="1622"/>
                <w:tab w:val="right" w:pos="2971"/>
                <w:tab w:val="right" w:pos="4358"/>
                <w:tab w:val="right" w:pos="5539"/>
              </w:tabs>
              <w:spacing w:line="240" w:lineRule="auto"/>
              <w:jc w:val="both"/>
              <w:rPr>
                <w:rFonts w:ascii="Times New Roman" w:hAnsi="Times New Roman" w:cs="Times New Roman"/>
                <w:sz w:val="24"/>
                <w:szCs w:val="24"/>
              </w:rPr>
            </w:pPr>
            <w:r>
              <w:rPr>
                <w:rStyle w:val="CharStyle31"/>
                <w:sz w:val="14"/>
                <w:szCs w:val="14"/>
                <w:lang w:eastAsia="da-DK"/>
              </w:rPr>
              <w:t>Model mean</w:t>
            </w:r>
            <w:r>
              <w:rPr>
                <w:rStyle w:val="CharStyle31"/>
                <w:sz w:val="14"/>
                <w:szCs w:val="14"/>
                <w:lang w:eastAsia="da-DK"/>
              </w:rPr>
              <w:tab/>
              <w:t>31</w:t>
            </w:r>
            <w:r>
              <w:rPr>
                <w:rStyle w:val="CharStyle31"/>
                <w:sz w:val="14"/>
                <w:szCs w:val="14"/>
                <w:lang w:eastAsia="da-DK"/>
              </w:rPr>
              <w:tab/>
              <w:t>30</w:t>
            </w:r>
            <w:r>
              <w:rPr>
                <w:rStyle w:val="CharStyle31"/>
                <w:sz w:val="14"/>
                <w:szCs w:val="14"/>
                <w:lang w:eastAsia="da-DK"/>
              </w:rPr>
              <w:tab/>
              <w:t>30</w:t>
            </w:r>
            <w:r>
              <w:rPr>
                <w:rStyle w:val="CharStyle31"/>
                <w:sz w:val="14"/>
                <w:szCs w:val="14"/>
                <w:lang w:eastAsia="da-DK"/>
              </w:rPr>
              <w:tab/>
              <w:t>32</w:t>
            </w:r>
          </w:p>
          <w:p w14:paraId="12056B3E" w14:textId="77777777" w:rsidR="0074324D" w:rsidRDefault="0074324D">
            <w:pPr>
              <w:pStyle w:val="Style30"/>
              <w:tabs>
                <w:tab w:val="right" w:pos="1618"/>
                <w:tab w:val="right" w:pos="2966"/>
                <w:tab w:val="right" w:pos="4354"/>
                <w:tab w:val="right" w:pos="5534"/>
              </w:tabs>
              <w:spacing w:line="240" w:lineRule="auto"/>
              <w:jc w:val="both"/>
              <w:rPr>
                <w:rFonts w:ascii="Times New Roman" w:hAnsi="Times New Roman" w:cs="Times New Roman"/>
                <w:sz w:val="24"/>
                <w:szCs w:val="24"/>
              </w:rPr>
            </w:pPr>
            <w:r>
              <w:rPr>
                <w:rStyle w:val="CharStyle31"/>
                <w:sz w:val="14"/>
                <w:szCs w:val="14"/>
                <w:lang w:eastAsia="da-DK"/>
              </w:rPr>
              <w:t>Bias</w:t>
            </w:r>
            <w:r>
              <w:rPr>
                <w:rStyle w:val="CharStyle31"/>
                <w:sz w:val="14"/>
                <w:szCs w:val="14"/>
                <w:lang w:eastAsia="da-DK"/>
              </w:rPr>
              <w:tab/>
              <w:t>0.046</w:t>
            </w:r>
            <w:r>
              <w:rPr>
                <w:rStyle w:val="CharStyle31"/>
                <w:sz w:val="14"/>
                <w:szCs w:val="14"/>
                <w:lang w:eastAsia="da-DK"/>
              </w:rPr>
              <w:tab/>
              <w:t>0.067</w:t>
            </w:r>
            <w:r>
              <w:rPr>
                <w:rStyle w:val="CharStyle31"/>
                <w:sz w:val="14"/>
                <w:szCs w:val="14"/>
                <w:lang w:eastAsia="da-DK"/>
              </w:rPr>
              <w:tab/>
              <w:t>0.15</w:t>
            </w:r>
            <w:r>
              <w:rPr>
                <w:rStyle w:val="CharStyle31"/>
                <w:sz w:val="14"/>
                <w:szCs w:val="14"/>
                <w:lang w:eastAsia="da-DK"/>
              </w:rPr>
              <w:tab/>
              <w:t>-0</w:t>
            </w:r>
            <w:r>
              <w:rPr>
                <w:rStyle w:val="CharStyle31"/>
                <w:sz w:val="13"/>
                <w:szCs w:val="13"/>
                <w:lang w:eastAsia="da-DK"/>
              </w:rPr>
              <w:t>.</w:t>
            </w:r>
            <w:r>
              <w:rPr>
                <w:rStyle w:val="CharStyle31"/>
                <w:sz w:val="14"/>
                <w:szCs w:val="14"/>
                <w:lang w:eastAsia="da-DK"/>
              </w:rPr>
              <w:t>066</w:t>
            </w:r>
          </w:p>
          <w:p w14:paraId="74EFEAB5" w14:textId="77777777" w:rsidR="0074324D" w:rsidRDefault="0074324D">
            <w:pPr>
              <w:pStyle w:val="Style30"/>
              <w:tabs>
                <w:tab w:val="right" w:pos="1618"/>
                <w:tab w:val="right" w:pos="2966"/>
                <w:tab w:val="right" w:pos="4354"/>
                <w:tab w:val="right" w:pos="5534"/>
              </w:tabs>
              <w:spacing w:line="240" w:lineRule="auto"/>
              <w:jc w:val="both"/>
              <w:rPr>
                <w:rFonts w:ascii="Times New Roman" w:hAnsi="Times New Roman" w:cs="Times New Roman"/>
                <w:sz w:val="24"/>
                <w:szCs w:val="24"/>
              </w:rPr>
            </w:pPr>
            <w:r>
              <w:rPr>
                <w:rStyle w:val="CharStyle31"/>
                <w:sz w:val="14"/>
                <w:szCs w:val="14"/>
                <w:lang w:eastAsia="da-DK"/>
              </w:rPr>
              <w:t>RMSE</w:t>
            </w:r>
            <w:r>
              <w:rPr>
                <w:rStyle w:val="CharStyle31"/>
                <w:sz w:val="14"/>
                <w:szCs w:val="14"/>
                <w:lang w:eastAsia="da-DK"/>
              </w:rPr>
              <w:tab/>
              <w:t>0.47</w:t>
            </w:r>
            <w:r>
              <w:rPr>
                <w:rStyle w:val="CharStyle31"/>
                <w:sz w:val="14"/>
                <w:szCs w:val="14"/>
                <w:lang w:eastAsia="da-DK"/>
              </w:rPr>
              <w:tab/>
              <w:t>0.48</w:t>
            </w:r>
            <w:r>
              <w:rPr>
                <w:rStyle w:val="CharStyle31"/>
                <w:sz w:val="14"/>
                <w:szCs w:val="14"/>
                <w:lang w:eastAsia="da-DK"/>
              </w:rPr>
              <w:tab/>
              <w:t>0.32</w:t>
            </w:r>
            <w:r>
              <w:rPr>
                <w:rStyle w:val="CharStyle31"/>
                <w:sz w:val="14"/>
                <w:szCs w:val="14"/>
                <w:lang w:eastAsia="da-DK"/>
              </w:rPr>
              <w:tab/>
              <w:t>0.42</w:t>
            </w:r>
          </w:p>
          <w:p w14:paraId="330C2302" w14:textId="77777777" w:rsidR="0074324D" w:rsidRDefault="0074324D">
            <w:pPr>
              <w:pStyle w:val="Style30"/>
              <w:tabs>
                <w:tab w:val="right" w:pos="1622"/>
                <w:tab w:val="right" w:pos="2971"/>
                <w:tab w:val="right" w:pos="4358"/>
                <w:tab w:val="right" w:pos="5530"/>
              </w:tabs>
              <w:spacing w:line="240" w:lineRule="auto"/>
              <w:jc w:val="both"/>
              <w:rPr>
                <w:rFonts w:ascii="Times New Roman" w:hAnsi="Times New Roman" w:cs="Times New Roman"/>
                <w:sz w:val="24"/>
                <w:szCs w:val="24"/>
              </w:rPr>
            </w:pPr>
            <w:r>
              <w:rPr>
                <w:rStyle w:val="CharStyle31"/>
                <w:sz w:val="14"/>
                <w:szCs w:val="14"/>
                <w:lang w:eastAsia="da-DK"/>
              </w:rPr>
              <w:t>WSS</w:t>
            </w:r>
            <w:r>
              <w:rPr>
                <w:rStyle w:val="CharStyle31"/>
                <w:sz w:val="14"/>
                <w:szCs w:val="14"/>
                <w:lang w:eastAsia="da-DK"/>
              </w:rPr>
              <w:tab/>
              <w:t>0.967</w:t>
            </w:r>
            <w:r>
              <w:rPr>
                <w:rStyle w:val="CharStyle31"/>
                <w:sz w:val="14"/>
                <w:szCs w:val="14"/>
                <w:lang w:eastAsia="da-DK"/>
              </w:rPr>
              <w:tab/>
              <w:t>0.960</w:t>
            </w:r>
            <w:r>
              <w:rPr>
                <w:rStyle w:val="CharStyle31"/>
                <w:sz w:val="14"/>
                <w:szCs w:val="14"/>
                <w:lang w:eastAsia="da-DK"/>
              </w:rPr>
              <w:tab/>
              <w:t>0.970</w:t>
            </w:r>
            <w:r>
              <w:rPr>
                <w:rStyle w:val="CharStyle31"/>
                <w:sz w:val="14"/>
                <w:szCs w:val="14"/>
                <w:lang w:eastAsia="da-DK"/>
              </w:rPr>
              <w:tab/>
              <w:t>0.971</w:t>
            </w:r>
          </w:p>
        </w:tc>
      </w:tr>
    </w:tbl>
    <w:p w14:paraId="0614C195" w14:textId="77777777" w:rsidR="0074324D" w:rsidRDefault="0074324D">
      <w:pPr>
        <w:spacing w:after="539" w:line="1" w:lineRule="exact"/>
        <w:rPr>
          <w:color w:val="auto"/>
          <w:lang w:eastAsia="en-GB"/>
        </w:rPr>
      </w:pPr>
    </w:p>
    <w:p w14:paraId="65531A1D" w14:textId="77777777" w:rsidR="0074324D" w:rsidRDefault="0074324D">
      <w:pPr>
        <w:pStyle w:val="Style28"/>
        <w:jc w:val="both"/>
        <w:rPr>
          <w:rFonts w:ascii="Times New Roman" w:hAnsi="Times New Roman" w:cs="Times New Roman"/>
          <w:sz w:val="24"/>
          <w:szCs w:val="24"/>
        </w:rPr>
      </w:pPr>
      <w:bookmarkStart w:id="28" w:name="bookmark54"/>
      <w:r>
        <w:rPr>
          <w:rStyle w:val="CharStyle29"/>
          <w:lang w:eastAsia="da-DK"/>
        </w:rPr>
        <w:t>Table A2. Summary statistics corresponding to the model–data comparis</w:t>
      </w:r>
      <w:r>
        <w:rPr>
          <w:rStyle w:val="CharStyle29"/>
          <w:lang w:eastAsia="da-DK"/>
        </w:rPr>
        <w:t>on of biological variables shown in Fig. A2. Chlorophyll data are log-10 transformed. Model bias is low compared to model means and RMSE, and model bias and skill score do not vary significantly between biological clusters.</w:t>
      </w:r>
      <w:bookmarkEnd w:id="28"/>
    </w:p>
    <w:tbl>
      <w:tblPr>
        <w:tblW w:w="0" w:type="auto"/>
        <w:jc w:val="center"/>
        <w:tblLayout w:type="fixed"/>
        <w:tblCellMar>
          <w:left w:w="0" w:type="dxa"/>
          <w:right w:w="0" w:type="dxa"/>
        </w:tblCellMar>
        <w:tblLook w:val="0000" w:firstRow="0" w:lastRow="0" w:firstColumn="0" w:lastColumn="0" w:noHBand="0" w:noVBand="0"/>
      </w:tblPr>
      <w:tblGrid>
        <w:gridCol w:w="1618"/>
        <w:gridCol w:w="5798"/>
      </w:tblGrid>
      <w:tr w:rsidR="00000000" w14:paraId="676B2E3D" w14:textId="77777777">
        <w:tblPrEx>
          <w:tblCellMar>
            <w:top w:w="0" w:type="dxa"/>
            <w:left w:w="0" w:type="dxa"/>
            <w:bottom w:w="0" w:type="dxa"/>
            <w:right w:w="0" w:type="dxa"/>
          </w:tblCellMar>
        </w:tblPrEx>
        <w:trPr>
          <w:trHeight w:hRule="exact" w:val="254"/>
          <w:jc w:val="center"/>
        </w:trPr>
        <w:tc>
          <w:tcPr>
            <w:tcW w:w="1618" w:type="dxa"/>
            <w:tcBorders>
              <w:top w:val="single" w:sz="4" w:space="0" w:color="auto"/>
              <w:left w:val="nil"/>
              <w:bottom w:val="nil"/>
              <w:right w:val="nil"/>
            </w:tcBorders>
          </w:tcPr>
          <w:p w14:paraId="401DB216" w14:textId="77777777" w:rsidR="0074324D" w:rsidRDefault="0074324D">
            <w:pPr>
              <w:rPr>
                <w:color w:val="auto"/>
                <w:lang w:eastAsia="en-GB"/>
              </w:rPr>
            </w:pPr>
          </w:p>
        </w:tc>
        <w:tc>
          <w:tcPr>
            <w:tcW w:w="5798" w:type="dxa"/>
            <w:tcBorders>
              <w:top w:val="single" w:sz="4" w:space="0" w:color="auto"/>
              <w:left w:val="nil"/>
              <w:bottom w:val="nil"/>
              <w:right w:val="nil"/>
            </w:tcBorders>
          </w:tcPr>
          <w:p w14:paraId="4E45D0E1" w14:textId="77777777" w:rsidR="0074324D" w:rsidRDefault="0074324D">
            <w:pPr>
              <w:pStyle w:val="Style30"/>
              <w:tabs>
                <w:tab w:val="left" w:pos="1046"/>
              </w:tabs>
              <w:spacing w:line="240" w:lineRule="auto"/>
              <w:jc w:val="both"/>
              <w:rPr>
                <w:rFonts w:ascii="Times New Roman" w:hAnsi="Times New Roman" w:cs="Times New Roman"/>
                <w:sz w:val="24"/>
                <w:szCs w:val="24"/>
              </w:rPr>
            </w:pPr>
            <w:r>
              <w:rPr>
                <w:rStyle w:val="CharStyle31"/>
                <w:sz w:val="14"/>
                <w:szCs w:val="14"/>
                <w:lang w:eastAsia="da-DK"/>
              </w:rPr>
              <w:t>Metric</w:t>
            </w:r>
            <w:r>
              <w:rPr>
                <w:rStyle w:val="CharStyle31"/>
                <w:sz w:val="14"/>
                <w:szCs w:val="14"/>
                <w:lang w:eastAsia="da-DK"/>
              </w:rPr>
              <w:tab/>
              <w:t>All data Cluster 3 (CSoG) Cluster 4 (NSoG) Cluster 5 (JdF)</w:t>
            </w:r>
          </w:p>
        </w:tc>
      </w:tr>
      <w:tr w:rsidR="00000000" w14:paraId="706FC2B3" w14:textId="77777777">
        <w:tblPrEx>
          <w:tblCellMar>
            <w:top w:w="0" w:type="dxa"/>
            <w:left w:w="0" w:type="dxa"/>
            <w:bottom w:w="0" w:type="dxa"/>
            <w:right w:w="0" w:type="dxa"/>
          </w:tblCellMar>
        </w:tblPrEx>
        <w:trPr>
          <w:trHeight w:hRule="exact" w:val="1118"/>
          <w:jc w:val="center"/>
        </w:trPr>
        <w:tc>
          <w:tcPr>
            <w:tcW w:w="1618" w:type="dxa"/>
            <w:tcBorders>
              <w:top w:val="single" w:sz="4" w:space="0" w:color="auto"/>
              <w:left w:val="nil"/>
              <w:bottom w:val="nil"/>
              <w:right w:val="nil"/>
            </w:tcBorders>
          </w:tcPr>
          <w:p w14:paraId="15D9C696" w14:textId="77777777" w:rsidR="0074324D" w:rsidRDefault="0074324D">
            <w:pPr>
              <w:pStyle w:val="Style30"/>
              <w:spacing w:line="240" w:lineRule="auto"/>
              <w:rPr>
                <w:rFonts w:ascii="Times New Roman" w:hAnsi="Times New Roman" w:cs="Times New Roman"/>
                <w:sz w:val="24"/>
                <w:szCs w:val="24"/>
              </w:rPr>
            </w:pPr>
            <w:r>
              <w:rPr>
                <w:rStyle w:val="CharStyle31"/>
                <w:sz w:val="14"/>
                <w:szCs w:val="14"/>
                <w:lang w:eastAsia="da-DK"/>
              </w:rPr>
              <w:t>Nitrate</w:t>
            </w:r>
          </w:p>
        </w:tc>
        <w:tc>
          <w:tcPr>
            <w:tcW w:w="5798" w:type="dxa"/>
            <w:tcBorders>
              <w:top w:val="single" w:sz="4" w:space="0" w:color="auto"/>
              <w:left w:val="nil"/>
              <w:bottom w:val="nil"/>
              <w:right w:val="nil"/>
            </w:tcBorders>
            <w:vAlign w:val="center"/>
          </w:tcPr>
          <w:p w14:paraId="5EA41599" w14:textId="77777777" w:rsidR="0074324D" w:rsidRDefault="0074324D">
            <w:pPr>
              <w:pStyle w:val="Style30"/>
              <w:tabs>
                <w:tab w:val="right" w:pos="1598"/>
                <w:tab w:val="right" w:pos="2976"/>
                <w:tab w:val="right" w:pos="4354"/>
                <w:tab w:val="right" w:pos="5525"/>
              </w:tabs>
              <w:spacing w:line="240" w:lineRule="auto"/>
              <w:jc w:val="both"/>
              <w:rPr>
                <w:rFonts w:ascii="Times New Roman" w:hAnsi="Times New Roman" w:cs="Times New Roman"/>
                <w:sz w:val="24"/>
                <w:szCs w:val="24"/>
              </w:rPr>
            </w:pPr>
            <w:r>
              <w:rPr>
                <w:rStyle w:val="CharStyle31"/>
                <w:sz w:val="13"/>
                <w:szCs w:val="13"/>
                <w:lang w:eastAsia="da-DK"/>
              </w:rPr>
              <w:t>N</w:t>
            </w:r>
            <w:r>
              <w:rPr>
                <w:rStyle w:val="CharStyle31"/>
                <w:sz w:val="13"/>
                <w:szCs w:val="13"/>
                <w:lang w:eastAsia="da-DK"/>
              </w:rPr>
              <w:tab/>
            </w:r>
            <w:r>
              <w:rPr>
                <w:rStyle w:val="CharStyle31"/>
                <w:sz w:val="14"/>
                <w:szCs w:val="14"/>
                <w:lang w:eastAsia="da-DK"/>
              </w:rPr>
              <w:t>4732</w:t>
            </w:r>
            <w:r>
              <w:rPr>
                <w:rStyle w:val="CharStyle31"/>
                <w:sz w:val="14"/>
                <w:szCs w:val="14"/>
                <w:lang w:eastAsia="da-DK"/>
              </w:rPr>
              <w:tab/>
              <w:t>2212</w:t>
            </w:r>
            <w:r>
              <w:rPr>
                <w:rStyle w:val="CharStyle31"/>
                <w:sz w:val="14"/>
                <w:szCs w:val="14"/>
                <w:lang w:eastAsia="da-DK"/>
              </w:rPr>
              <w:tab/>
              <w:t>682</w:t>
            </w:r>
            <w:r>
              <w:rPr>
                <w:rStyle w:val="CharStyle31"/>
                <w:sz w:val="14"/>
                <w:szCs w:val="14"/>
                <w:lang w:eastAsia="da-DK"/>
              </w:rPr>
              <w:tab/>
              <w:t>933</w:t>
            </w:r>
          </w:p>
          <w:p w14:paraId="57DD75C2" w14:textId="77777777" w:rsidR="0074324D" w:rsidRDefault="0074324D">
            <w:pPr>
              <w:pStyle w:val="Style30"/>
              <w:tabs>
                <w:tab w:val="right" w:pos="1603"/>
                <w:tab w:val="right" w:pos="2981"/>
                <w:tab w:val="right" w:pos="4358"/>
                <w:tab w:val="right" w:pos="5530"/>
              </w:tabs>
              <w:spacing w:line="240" w:lineRule="auto"/>
              <w:jc w:val="both"/>
              <w:rPr>
                <w:rFonts w:ascii="Times New Roman" w:hAnsi="Times New Roman" w:cs="Times New Roman"/>
                <w:sz w:val="24"/>
                <w:szCs w:val="24"/>
              </w:rPr>
            </w:pPr>
            <w:r>
              <w:rPr>
                <w:rStyle w:val="CharStyle31"/>
                <w:sz w:val="14"/>
                <w:szCs w:val="14"/>
                <w:lang w:eastAsia="da-DK"/>
              </w:rPr>
              <w:t>Model mean</w:t>
            </w:r>
            <w:r>
              <w:rPr>
                <w:rStyle w:val="CharStyle31"/>
                <w:sz w:val="14"/>
                <w:szCs w:val="14"/>
                <w:lang w:eastAsia="da-DK"/>
              </w:rPr>
              <w:tab/>
              <w:t>21</w:t>
            </w:r>
            <w:r>
              <w:rPr>
                <w:rStyle w:val="CharStyle31"/>
                <w:sz w:val="14"/>
                <w:szCs w:val="14"/>
                <w:lang w:eastAsia="da-DK"/>
              </w:rPr>
              <w:tab/>
              <w:t>22</w:t>
            </w:r>
            <w:r>
              <w:rPr>
                <w:rStyle w:val="CharStyle31"/>
                <w:sz w:val="14"/>
                <w:szCs w:val="14"/>
                <w:lang w:eastAsia="da-DK"/>
              </w:rPr>
              <w:tab/>
              <w:t>22</w:t>
            </w:r>
            <w:r>
              <w:rPr>
                <w:rStyle w:val="CharStyle31"/>
                <w:sz w:val="14"/>
                <w:szCs w:val="14"/>
                <w:lang w:eastAsia="da-DK"/>
              </w:rPr>
              <w:tab/>
              <w:t>23</w:t>
            </w:r>
          </w:p>
          <w:p w14:paraId="65FB71E2" w14:textId="77777777" w:rsidR="0074324D" w:rsidRDefault="0074324D">
            <w:pPr>
              <w:pStyle w:val="Style30"/>
              <w:tabs>
                <w:tab w:val="right" w:pos="1603"/>
                <w:tab w:val="right" w:pos="2981"/>
                <w:tab w:val="right" w:pos="4358"/>
                <w:tab w:val="right" w:pos="5539"/>
              </w:tabs>
              <w:spacing w:line="240" w:lineRule="auto"/>
              <w:jc w:val="both"/>
              <w:rPr>
                <w:rFonts w:ascii="Times New Roman" w:hAnsi="Times New Roman" w:cs="Times New Roman"/>
                <w:sz w:val="24"/>
                <w:szCs w:val="24"/>
              </w:rPr>
            </w:pPr>
            <w:r>
              <w:rPr>
                <w:rStyle w:val="CharStyle31"/>
                <w:sz w:val="14"/>
                <w:szCs w:val="14"/>
                <w:lang w:eastAsia="da-DK"/>
              </w:rPr>
              <w:t>Bias</w:t>
            </w:r>
            <w:r>
              <w:rPr>
                <w:rStyle w:val="CharStyle31"/>
                <w:sz w:val="14"/>
                <w:szCs w:val="14"/>
                <w:lang w:eastAsia="da-DK"/>
              </w:rPr>
              <w:tab/>
              <w:t>-2</w:t>
            </w:r>
            <w:r>
              <w:rPr>
                <w:rStyle w:val="CharStyle31"/>
                <w:sz w:val="13"/>
                <w:szCs w:val="13"/>
                <w:lang w:eastAsia="da-DK"/>
              </w:rPr>
              <w:t>.</w:t>
            </w:r>
            <w:r>
              <w:rPr>
                <w:rStyle w:val="CharStyle31"/>
                <w:sz w:val="14"/>
                <w:szCs w:val="14"/>
                <w:lang w:eastAsia="da-DK"/>
              </w:rPr>
              <w:t>0</w:t>
            </w:r>
            <w:r>
              <w:rPr>
                <w:rStyle w:val="CharStyle31"/>
                <w:sz w:val="14"/>
                <w:szCs w:val="14"/>
                <w:lang w:eastAsia="da-DK"/>
              </w:rPr>
              <w:tab/>
              <w:t>-2</w:t>
            </w:r>
            <w:r>
              <w:rPr>
                <w:rStyle w:val="CharStyle31"/>
                <w:sz w:val="13"/>
                <w:szCs w:val="13"/>
                <w:lang w:eastAsia="da-DK"/>
              </w:rPr>
              <w:t>.</w:t>
            </w:r>
            <w:r>
              <w:rPr>
                <w:rStyle w:val="CharStyle31"/>
                <w:sz w:val="14"/>
                <w:szCs w:val="14"/>
                <w:lang w:eastAsia="da-DK"/>
              </w:rPr>
              <w:t>1</w:t>
            </w:r>
            <w:r>
              <w:rPr>
                <w:rStyle w:val="CharStyle31"/>
                <w:sz w:val="14"/>
                <w:szCs w:val="14"/>
                <w:lang w:eastAsia="da-DK"/>
              </w:rPr>
              <w:tab/>
              <w:t>-0</w:t>
            </w:r>
            <w:r>
              <w:rPr>
                <w:rStyle w:val="CharStyle31"/>
                <w:sz w:val="13"/>
                <w:szCs w:val="13"/>
                <w:lang w:eastAsia="da-DK"/>
              </w:rPr>
              <w:t>.</w:t>
            </w:r>
            <w:r>
              <w:rPr>
                <w:rStyle w:val="CharStyle31"/>
                <w:sz w:val="14"/>
                <w:szCs w:val="14"/>
                <w:lang w:eastAsia="da-DK"/>
              </w:rPr>
              <w:t>94</w:t>
            </w:r>
            <w:r>
              <w:rPr>
                <w:rStyle w:val="CharStyle31"/>
                <w:sz w:val="14"/>
                <w:szCs w:val="14"/>
                <w:lang w:eastAsia="da-DK"/>
              </w:rPr>
              <w:tab/>
              <w:t>-2</w:t>
            </w:r>
            <w:r>
              <w:rPr>
                <w:rStyle w:val="CharStyle31"/>
                <w:sz w:val="13"/>
                <w:szCs w:val="13"/>
                <w:lang w:eastAsia="da-DK"/>
              </w:rPr>
              <w:t>.</w:t>
            </w:r>
            <w:r>
              <w:rPr>
                <w:rStyle w:val="CharStyle31"/>
                <w:sz w:val="14"/>
                <w:szCs w:val="14"/>
                <w:lang w:eastAsia="da-DK"/>
              </w:rPr>
              <w:t>4</w:t>
            </w:r>
          </w:p>
          <w:p w14:paraId="7A4CE635" w14:textId="77777777" w:rsidR="0074324D" w:rsidRDefault="0074324D">
            <w:pPr>
              <w:pStyle w:val="Style30"/>
              <w:tabs>
                <w:tab w:val="right" w:pos="1603"/>
                <w:tab w:val="right" w:pos="2981"/>
                <w:tab w:val="right" w:pos="4358"/>
                <w:tab w:val="right" w:pos="5530"/>
              </w:tabs>
              <w:spacing w:line="240" w:lineRule="auto"/>
              <w:jc w:val="both"/>
              <w:rPr>
                <w:rFonts w:ascii="Times New Roman" w:hAnsi="Times New Roman" w:cs="Times New Roman"/>
                <w:sz w:val="24"/>
                <w:szCs w:val="24"/>
              </w:rPr>
            </w:pPr>
            <w:r>
              <w:rPr>
                <w:rStyle w:val="CharStyle31"/>
                <w:sz w:val="14"/>
                <w:szCs w:val="14"/>
                <w:lang w:eastAsia="da-DK"/>
              </w:rPr>
              <w:t>RMSE</w:t>
            </w:r>
            <w:r>
              <w:rPr>
                <w:rStyle w:val="CharStyle31"/>
                <w:sz w:val="14"/>
                <w:szCs w:val="14"/>
                <w:lang w:eastAsia="da-DK"/>
              </w:rPr>
              <w:tab/>
              <w:t>3.9</w:t>
            </w:r>
            <w:r>
              <w:rPr>
                <w:rStyle w:val="CharStyle31"/>
                <w:sz w:val="14"/>
                <w:szCs w:val="14"/>
                <w:lang w:eastAsia="da-DK"/>
              </w:rPr>
              <w:tab/>
              <w:t>3.7</w:t>
            </w:r>
            <w:r>
              <w:rPr>
                <w:rStyle w:val="CharStyle31"/>
                <w:sz w:val="14"/>
                <w:szCs w:val="14"/>
                <w:lang w:eastAsia="da-DK"/>
              </w:rPr>
              <w:tab/>
              <w:t>3.7</w:t>
            </w:r>
            <w:r>
              <w:rPr>
                <w:rStyle w:val="CharStyle31"/>
                <w:sz w:val="14"/>
                <w:szCs w:val="14"/>
                <w:lang w:eastAsia="da-DK"/>
              </w:rPr>
              <w:tab/>
              <w:t>4.3</w:t>
            </w:r>
          </w:p>
          <w:p w14:paraId="732869CD" w14:textId="77777777" w:rsidR="0074324D" w:rsidRDefault="0074324D">
            <w:pPr>
              <w:pStyle w:val="Style30"/>
              <w:tabs>
                <w:tab w:val="right" w:pos="1603"/>
                <w:tab w:val="right" w:pos="2981"/>
                <w:tab w:val="right" w:pos="4358"/>
                <w:tab w:val="right" w:pos="5539"/>
              </w:tabs>
              <w:spacing w:line="240" w:lineRule="auto"/>
              <w:jc w:val="both"/>
              <w:rPr>
                <w:rFonts w:ascii="Times New Roman" w:hAnsi="Times New Roman" w:cs="Times New Roman"/>
                <w:sz w:val="24"/>
                <w:szCs w:val="24"/>
              </w:rPr>
            </w:pPr>
            <w:r>
              <w:rPr>
                <w:rStyle w:val="CharStyle31"/>
                <w:sz w:val="14"/>
                <w:szCs w:val="14"/>
                <w:lang w:eastAsia="da-DK"/>
              </w:rPr>
              <w:t>WSS</w:t>
            </w:r>
            <w:r>
              <w:rPr>
                <w:rStyle w:val="CharStyle31"/>
                <w:sz w:val="14"/>
                <w:szCs w:val="14"/>
                <w:lang w:eastAsia="da-DK"/>
              </w:rPr>
              <w:tab/>
              <w:t>0.94</w:t>
            </w:r>
            <w:r>
              <w:rPr>
                <w:rStyle w:val="CharStyle31"/>
                <w:sz w:val="14"/>
                <w:szCs w:val="14"/>
                <w:lang w:eastAsia="da-DK"/>
              </w:rPr>
              <w:tab/>
              <w:t>0.97</w:t>
            </w:r>
            <w:r>
              <w:rPr>
                <w:rStyle w:val="CharStyle31"/>
                <w:sz w:val="14"/>
                <w:szCs w:val="14"/>
                <w:lang w:eastAsia="da-DK"/>
              </w:rPr>
              <w:tab/>
              <w:t>0.95</w:t>
            </w:r>
            <w:r>
              <w:rPr>
                <w:rStyle w:val="CharStyle31"/>
                <w:sz w:val="14"/>
                <w:szCs w:val="14"/>
                <w:lang w:eastAsia="da-DK"/>
              </w:rPr>
              <w:tab/>
              <w:t>0.90</w:t>
            </w:r>
          </w:p>
        </w:tc>
      </w:tr>
      <w:tr w:rsidR="00000000" w14:paraId="5975966A" w14:textId="77777777">
        <w:tblPrEx>
          <w:tblCellMar>
            <w:top w:w="0" w:type="dxa"/>
            <w:left w:w="0" w:type="dxa"/>
            <w:bottom w:w="0" w:type="dxa"/>
            <w:right w:w="0" w:type="dxa"/>
          </w:tblCellMar>
        </w:tblPrEx>
        <w:trPr>
          <w:trHeight w:hRule="exact" w:val="1118"/>
          <w:jc w:val="center"/>
        </w:trPr>
        <w:tc>
          <w:tcPr>
            <w:tcW w:w="1618" w:type="dxa"/>
            <w:tcBorders>
              <w:top w:val="single" w:sz="4" w:space="0" w:color="auto"/>
              <w:left w:val="nil"/>
              <w:bottom w:val="nil"/>
              <w:right w:val="nil"/>
            </w:tcBorders>
          </w:tcPr>
          <w:p w14:paraId="0A8D3628" w14:textId="77777777" w:rsidR="0074324D" w:rsidRDefault="0074324D">
            <w:pPr>
              <w:pStyle w:val="Style30"/>
              <w:spacing w:line="240" w:lineRule="auto"/>
              <w:rPr>
                <w:rFonts w:ascii="Times New Roman" w:hAnsi="Times New Roman" w:cs="Times New Roman"/>
                <w:sz w:val="24"/>
                <w:szCs w:val="24"/>
              </w:rPr>
            </w:pPr>
            <w:r>
              <w:rPr>
                <w:rStyle w:val="CharStyle31"/>
                <w:sz w:val="14"/>
                <w:szCs w:val="14"/>
                <w:lang w:eastAsia="da-DK"/>
              </w:rPr>
              <w:t>Dissolved silica</w:t>
            </w:r>
          </w:p>
        </w:tc>
        <w:tc>
          <w:tcPr>
            <w:tcW w:w="5798" w:type="dxa"/>
            <w:tcBorders>
              <w:top w:val="single" w:sz="4" w:space="0" w:color="auto"/>
              <w:left w:val="nil"/>
              <w:bottom w:val="nil"/>
              <w:right w:val="nil"/>
            </w:tcBorders>
            <w:vAlign w:val="center"/>
          </w:tcPr>
          <w:p w14:paraId="66634A03" w14:textId="77777777" w:rsidR="0074324D" w:rsidRDefault="0074324D">
            <w:pPr>
              <w:pStyle w:val="Style30"/>
              <w:tabs>
                <w:tab w:val="right" w:pos="1613"/>
                <w:tab w:val="right" w:pos="3000"/>
                <w:tab w:val="right" w:pos="4349"/>
                <w:tab w:val="right" w:pos="5525"/>
              </w:tabs>
              <w:spacing w:line="240" w:lineRule="auto"/>
              <w:jc w:val="both"/>
              <w:rPr>
                <w:rFonts w:ascii="Times New Roman" w:hAnsi="Times New Roman" w:cs="Times New Roman"/>
                <w:sz w:val="24"/>
                <w:szCs w:val="24"/>
              </w:rPr>
            </w:pPr>
            <w:r>
              <w:rPr>
                <w:rStyle w:val="CharStyle31"/>
                <w:sz w:val="13"/>
                <w:szCs w:val="13"/>
                <w:lang w:eastAsia="da-DK"/>
              </w:rPr>
              <w:t>N</w:t>
            </w:r>
            <w:r>
              <w:rPr>
                <w:rStyle w:val="CharStyle31"/>
                <w:sz w:val="13"/>
                <w:szCs w:val="13"/>
                <w:lang w:eastAsia="da-DK"/>
              </w:rPr>
              <w:tab/>
            </w:r>
            <w:r>
              <w:rPr>
                <w:rStyle w:val="CharStyle31"/>
                <w:sz w:val="14"/>
                <w:szCs w:val="14"/>
                <w:lang w:eastAsia="da-DK"/>
              </w:rPr>
              <w:t>4732</w:t>
            </w:r>
            <w:r>
              <w:rPr>
                <w:rStyle w:val="CharStyle31"/>
                <w:sz w:val="14"/>
                <w:szCs w:val="14"/>
                <w:lang w:eastAsia="da-DK"/>
              </w:rPr>
              <w:tab/>
              <w:t>2212</w:t>
            </w:r>
            <w:r>
              <w:rPr>
                <w:rStyle w:val="CharStyle31"/>
                <w:sz w:val="14"/>
                <w:szCs w:val="14"/>
                <w:lang w:eastAsia="da-DK"/>
              </w:rPr>
              <w:tab/>
              <w:t>682</w:t>
            </w:r>
            <w:r>
              <w:rPr>
                <w:rStyle w:val="CharStyle31"/>
                <w:sz w:val="14"/>
                <w:szCs w:val="14"/>
                <w:lang w:eastAsia="da-DK"/>
              </w:rPr>
              <w:tab/>
              <w:t>933</w:t>
            </w:r>
          </w:p>
          <w:p w14:paraId="0A1B38C0" w14:textId="77777777" w:rsidR="0074324D" w:rsidRDefault="0074324D">
            <w:pPr>
              <w:pStyle w:val="Style30"/>
              <w:tabs>
                <w:tab w:val="right" w:pos="1618"/>
                <w:tab w:val="right" w:pos="3005"/>
                <w:tab w:val="right" w:pos="4354"/>
                <w:tab w:val="right" w:pos="5534"/>
              </w:tabs>
              <w:spacing w:line="240" w:lineRule="auto"/>
              <w:jc w:val="both"/>
              <w:rPr>
                <w:rFonts w:ascii="Times New Roman" w:hAnsi="Times New Roman" w:cs="Times New Roman"/>
                <w:sz w:val="24"/>
                <w:szCs w:val="24"/>
              </w:rPr>
            </w:pPr>
            <w:r>
              <w:rPr>
                <w:rStyle w:val="CharStyle31"/>
                <w:sz w:val="14"/>
                <w:szCs w:val="14"/>
                <w:lang w:eastAsia="da-DK"/>
              </w:rPr>
              <w:t>Model mean</w:t>
            </w:r>
            <w:r>
              <w:rPr>
                <w:rStyle w:val="CharStyle31"/>
                <w:sz w:val="14"/>
                <w:szCs w:val="14"/>
                <w:lang w:eastAsia="da-DK"/>
              </w:rPr>
              <w:tab/>
              <w:t>39</w:t>
            </w:r>
            <w:r>
              <w:rPr>
                <w:rStyle w:val="CharStyle31"/>
                <w:sz w:val="14"/>
                <w:szCs w:val="14"/>
                <w:lang w:eastAsia="da-DK"/>
              </w:rPr>
              <w:tab/>
              <w:t>41</w:t>
            </w:r>
            <w:r>
              <w:rPr>
                <w:rStyle w:val="CharStyle31"/>
                <w:sz w:val="14"/>
                <w:szCs w:val="14"/>
                <w:lang w:eastAsia="da-DK"/>
              </w:rPr>
              <w:tab/>
              <w:t>42</w:t>
            </w:r>
            <w:r>
              <w:rPr>
                <w:rStyle w:val="CharStyle31"/>
                <w:sz w:val="14"/>
                <w:szCs w:val="14"/>
                <w:lang w:eastAsia="da-DK"/>
              </w:rPr>
              <w:tab/>
              <w:t>37</w:t>
            </w:r>
          </w:p>
          <w:p w14:paraId="515CC131" w14:textId="77777777" w:rsidR="0074324D" w:rsidRDefault="0074324D">
            <w:pPr>
              <w:pStyle w:val="Style30"/>
              <w:tabs>
                <w:tab w:val="right" w:pos="1618"/>
                <w:tab w:val="right" w:pos="3005"/>
                <w:tab w:val="right" w:pos="4354"/>
                <w:tab w:val="right" w:pos="5539"/>
              </w:tabs>
              <w:spacing w:line="240" w:lineRule="auto"/>
              <w:jc w:val="both"/>
              <w:rPr>
                <w:rFonts w:ascii="Times New Roman" w:hAnsi="Times New Roman" w:cs="Times New Roman"/>
                <w:sz w:val="24"/>
                <w:szCs w:val="24"/>
              </w:rPr>
            </w:pPr>
            <w:r>
              <w:rPr>
                <w:rStyle w:val="CharStyle31"/>
                <w:sz w:val="14"/>
                <w:szCs w:val="14"/>
                <w:lang w:eastAsia="da-DK"/>
              </w:rPr>
              <w:t>Bias</w:t>
            </w:r>
            <w:r>
              <w:rPr>
                <w:rStyle w:val="CharStyle31"/>
                <w:sz w:val="14"/>
                <w:szCs w:val="14"/>
                <w:lang w:eastAsia="da-DK"/>
              </w:rPr>
              <w:tab/>
              <w:t>-6</w:t>
            </w:r>
            <w:r>
              <w:rPr>
                <w:rStyle w:val="CharStyle31"/>
                <w:sz w:val="13"/>
                <w:szCs w:val="13"/>
                <w:lang w:eastAsia="da-DK"/>
              </w:rPr>
              <w:t>.</w:t>
            </w:r>
            <w:r>
              <w:rPr>
                <w:rStyle w:val="CharStyle31"/>
                <w:sz w:val="14"/>
                <w:szCs w:val="14"/>
                <w:lang w:eastAsia="da-DK"/>
              </w:rPr>
              <w:t>2</w:t>
            </w:r>
            <w:r>
              <w:rPr>
                <w:rStyle w:val="CharStyle31"/>
                <w:sz w:val="14"/>
                <w:szCs w:val="14"/>
                <w:lang w:eastAsia="da-DK"/>
              </w:rPr>
              <w:tab/>
              <w:t>-7</w:t>
            </w:r>
            <w:r>
              <w:rPr>
                <w:rStyle w:val="CharStyle31"/>
                <w:sz w:val="13"/>
                <w:szCs w:val="13"/>
                <w:lang w:eastAsia="da-DK"/>
              </w:rPr>
              <w:t>.</w:t>
            </w:r>
            <w:r>
              <w:rPr>
                <w:rStyle w:val="CharStyle31"/>
                <w:sz w:val="14"/>
                <w:szCs w:val="14"/>
                <w:lang w:eastAsia="da-DK"/>
              </w:rPr>
              <w:t>0</w:t>
            </w:r>
            <w:r>
              <w:rPr>
                <w:rStyle w:val="CharStyle31"/>
                <w:sz w:val="14"/>
                <w:szCs w:val="14"/>
                <w:lang w:eastAsia="da-DK"/>
              </w:rPr>
              <w:tab/>
              <w:t>-5</w:t>
            </w:r>
            <w:r>
              <w:rPr>
                <w:rStyle w:val="CharStyle31"/>
                <w:sz w:val="13"/>
                <w:szCs w:val="13"/>
                <w:lang w:eastAsia="da-DK"/>
              </w:rPr>
              <w:t>.</w:t>
            </w:r>
            <w:r>
              <w:rPr>
                <w:rStyle w:val="CharStyle31"/>
                <w:sz w:val="14"/>
                <w:szCs w:val="14"/>
                <w:lang w:eastAsia="da-DK"/>
              </w:rPr>
              <w:t>9</w:t>
            </w:r>
            <w:r>
              <w:rPr>
                <w:rStyle w:val="CharStyle31"/>
                <w:sz w:val="14"/>
                <w:szCs w:val="14"/>
                <w:lang w:eastAsia="da-DK"/>
              </w:rPr>
              <w:tab/>
              <w:t>-4</w:t>
            </w:r>
            <w:r>
              <w:rPr>
                <w:rStyle w:val="CharStyle31"/>
                <w:sz w:val="13"/>
                <w:szCs w:val="13"/>
                <w:lang w:eastAsia="da-DK"/>
              </w:rPr>
              <w:t>.</w:t>
            </w:r>
            <w:r>
              <w:rPr>
                <w:rStyle w:val="CharStyle31"/>
                <w:sz w:val="14"/>
                <w:szCs w:val="14"/>
                <w:lang w:eastAsia="da-DK"/>
              </w:rPr>
              <w:t>2</w:t>
            </w:r>
          </w:p>
          <w:p w14:paraId="6E6C4B6A" w14:textId="77777777" w:rsidR="0074324D" w:rsidRDefault="0074324D">
            <w:pPr>
              <w:pStyle w:val="Style30"/>
              <w:tabs>
                <w:tab w:val="right" w:pos="1618"/>
                <w:tab w:val="right" w:pos="3005"/>
                <w:tab w:val="right" w:pos="4354"/>
                <w:tab w:val="right" w:pos="5534"/>
              </w:tabs>
              <w:spacing w:line="240" w:lineRule="auto"/>
              <w:jc w:val="both"/>
              <w:rPr>
                <w:rFonts w:ascii="Times New Roman" w:hAnsi="Times New Roman" w:cs="Times New Roman"/>
                <w:sz w:val="24"/>
                <w:szCs w:val="24"/>
              </w:rPr>
            </w:pPr>
            <w:r>
              <w:rPr>
                <w:rStyle w:val="CharStyle31"/>
                <w:sz w:val="14"/>
                <w:szCs w:val="14"/>
                <w:lang w:eastAsia="da-DK"/>
              </w:rPr>
              <w:t>RMSE</w:t>
            </w:r>
            <w:r>
              <w:rPr>
                <w:rStyle w:val="CharStyle31"/>
                <w:sz w:val="14"/>
                <w:szCs w:val="14"/>
                <w:lang w:eastAsia="da-DK"/>
              </w:rPr>
              <w:tab/>
              <w:t>9.7</w:t>
            </w:r>
            <w:r>
              <w:rPr>
                <w:rStyle w:val="CharStyle31"/>
                <w:sz w:val="14"/>
                <w:szCs w:val="14"/>
                <w:lang w:eastAsia="da-DK"/>
              </w:rPr>
              <w:tab/>
              <w:t>9.7</w:t>
            </w:r>
            <w:r>
              <w:rPr>
                <w:rStyle w:val="CharStyle31"/>
                <w:sz w:val="14"/>
                <w:szCs w:val="14"/>
                <w:lang w:eastAsia="da-DK"/>
              </w:rPr>
              <w:tab/>
              <w:t>9.1</w:t>
            </w:r>
            <w:r>
              <w:rPr>
                <w:rStyle w:val="CharStyle31"/>
                <w:sz w:val="14"/>
                <w:szCs w:val="14"/>
                <w:lang w:eastAsia="da-DK"/>
              </w:rPr>
              <w:tab/>
              <w:t>8.57</w:t>
            </w:r>
          </w:p>
          <w:p w14:paraId="4B9620D0" w14:textId="77777777" w:rsidR="0074324D" w:rsidRDefault="0074324D">
            <w:pPr>
              <w:pStyle w:val="Style30"/>
              <w:tabs>
                <w:tab w:val="right" w:pos="1618"/>
                <w:tab w:val="right" w:pos="3005"/>
                <w:tab w:val="right" w:pos="4354"/>
                <w:tab w:val="right" w:pos="5539"/>
              </w:tabs>
              <w:spacing w:line="240" w:lineRule="auto"/>
              <w:jc w:val="both"/>
              <w:rPr>
                <w:rFonts w:ascii="Times New Roman" w:hAnsi="Times New Roman" w:cs="Times New Roman"/>
                <w:sz w:val="24"/>
                <w:szCs w:val="24"/>
              </w:rPr>
            </w:pPr>
            <w:r>
              <w:rPr>
                <w:rStyle w:val="CharStyle31"/>
                <w:sz w:val="14"/>
                <w:szCs w:val="14"/>
                <w:lang w:eastAsia="da-DK"/>
              </w:rPr>
              <w:t>WSS</w:t>
            </w:r>
            <w:r>
              <w:rPr>
                <w:rStyle w:val="CharStyle31"/>
                <w:sz w:val="14"/>
                <w:szCs w:val="14"/>
                <w:lang w:eastAsia="da-DK"/>
              </w:rPr>
              <w:tab/>
              <w:t>0.865</w:t>
            </w:r>
            <w:r>
              <w:rPr>
                <w:rStyle w:val="CharStyle31"/>
                <w:sz w:val="14"/>
                <w:szCs w:val="14"/>
                <w:lang w:eastAsia="da-DK"/>
              </w:rPr>
              <w:tab/>
              <w:t>0.866</w:t>
            </w:r>
            <w:r>
              <w:rPr>
                <w:rStyle w:val="CharStyle31"/>
                <w:sz w:val="14"/>
                <w:szCs w:val="14"/>
                <w:lang w:eastAsia="da-DK"/>
              </w:rPr>
              <w:tab/>
              <w:t>0.913</w:t>
            </w:r>
            <w:r>
              <w:rPr>
                <w:rStyle w:val="CharStyle31"/>
                <w:sz w:val="14"/>
                <w:szCs w:val="14"/>
                <w:lang w:eastAsia="da-DK"/>
              </w:rPr>
              <w:tab/>
              <w:t>0.786</w:t>
            </w:r>
          </w:p>
        </w:tc>
      </w:tr>
      <w:tr w:rsidR="00000000" w14:paraId="0CE26F3D" w14:textId="77777777">
        <w:tblPrEx>
          <w:tblCellMar>
            <w:top w:w="0" w:type="dxa"/>
            <w:left w:w="0" w:type="dxa"/>
            <w:bottom w:w="0" w:type="dxa"/>
            <w:right w:w="0" w:type="dxa"/>
          </w:tblCellMar>
        </w:tblPrEx>
        <w:trPr>
          <w:trHeight w:hRule="exact" w:val="1128"/>
          <w:jc w:val="center"/>
        </w:trPr>
        <w:tc>
          <w:tcPr>
            <w:tcW w:w="1618" w:type="dxa"/>
            <w:tcBorders>
              <w:top w:val="single" w:sz="4" w:space="0" w:color="auto"/>
              <w:left w:val="nil"/>
              <w:bottom w:val="single" w:sz="4" w:space="0" w:color="auto"/>
              <w:right w:val="nil"/>
            </w:tcBorders>
          </w:tcPr>
          <w:p w14:paraId="0F184BF5" w14:textId="77777777" w:rsidR="0074324D" w:rsidRDefault="0074324D">
            <w:pPr>
              <w:pStyle w:val="Style30"/>
              <w:spacing w:line="240" w:lineRule="auto"/>
              <w:rPr>
                <w:rFonts w:ascii="Times New Roman" w:hAnsi="Times New Roman" w:cs="Times New Roman"/>
                <w:sz w:val="24"/>
                <w:szCs w:val="24"/>
              </w:rPr>
            </w:pPr>
            <w:r>
              <w:rPr>
                <w:rStyle w:val="CharStyle31"/>
                <w:sz w:val="14"/>
                <w:szCs w:val="14"/>
                <w:lang w:eastAsia="da-DK"/>
              </w:rPr>
              <w:t>Chlorophyll (log-10)</w:t>
            </w:r>
          </w:p>
        </w:tc>
        <w:tc>
          <w:tcPr>
            <w:tcW w:w="5798" w:type="dxa"/>
            <w:tcBorders>
              <w:top w:val="single" w:sz="4" w:space="0" w:color="auto"/>
              <w:left w:val="nil"/>
              <w:bottom w:val="single" w:sz="4" w:space="0" w:color="auto"/>
              <w:right w:val="nil"/>
            </w:tcBorders>
            <w:vAlign w:val="center"/>
          </w:tcPr>
          <w:p w14:paraId="3226BB9D" w14:textId="77777777" w:rsidR="0074324D" w:rsidRDefault="0074324D">
            <w:pPr>
              <w:pStyle w:val="Style30"/>
              <w:tabs>
                <w:tab w:val="right" w:pos="1618"/>
                <w:tab w:val="right" w:pos="2971"/>
                <w:tab w:val="right" w:pos="4363"/>
                <w:tab w:val="right" w:pos="5534"/>
              </w:tabs>
              <w:spacing w:line="240" w:lineRule="auto"/>
              <w:jc w:val="both"/>
              <w:rPr>
                <w:rFonts w:ascii="Times New Roman" w:hAnsi="Times New Roman" w:cs="Times New Roman"/>
                <w:sz w:val="24"/>
                <w:szCs w:val="24"/>
              </w:rPr>
            </w:pPr>
            <w:r>
              <w:rPr>
                <w:rStyle w:val="CharStyle31"/>
                <w:sz w:val="13"/>
                <w:szCs w:val="13"/>
                <w:lang w:eastAsia="da-DK"/>
              </w:rPr>
              <w:t>N</w:t>
            </w:r>
            <w:r>
              <w:rPr>
                <w:rStyle w:val="CharStyle31"/>
                <w:sz w:val="13"/>
                <w:szCs w:val="13"/>
                <w:lang w:eastAsia="da-DK"/>
              </w:rPr>
              <w:tab/>
            </w:r>
            <w:r>
              <w:rPr>
                <w:rStyle w:val="CharStyle31"/>
                <w:sz w:val="14"/>
                <w:szCs w:val="14"/>
                <w:lang w:eastAsia="da-DK"/>
              </w:rPr>
              <w:t>950</w:t>
            </w:r>
            <w:r>
              <w:rPr>
                <w:rStyle w:val="CharStyle31"/>
                <w:sz w:val="14"/>
                <w:szCs w:val="14"/>
                <w:lang w:eastAsia="da-DK"/>
              </w:rPr>
              <w:tab/>
              <w:t>475</w:t>
            </w:r>
            <w:r>
              <w:rPr>
                <w:rStyle w:val="CharStyle31"/>
                <w:sz w:val="14"/>
                <w:szCs w:val="14"/>
                <w:lang w:eastAsia="da-DK"/>
              </w:rPr>
              <w:tab/>
              <w:t>133</w:t>
            </w:r>
            <w:r>
              <w:rPr>
                <w:rStyle w:val="CharStyle31"/>
                <w:sz w:val="14"/>
                <w:szCs w:val="14"/>
                <w:lang w:eastAsia="da-DK"/>
              </w:rPr>
              <w:tab/>
              <w:t>222</w:t>
            </w:r>
          </w:p>
          <w:p w14:paraId="12F84610" w14:textId="77777777" w:rsidR="0074324D" w:rsidRDefault="0074324D">
            <w:pPr>
              <w:pStyle w:val="Style30"/>
              <w:tabs>
                <w:tab w:val="left" w:pos="1162"/>
                <w:tab w:val="right" w:pos="2976"/>
                <w:tab w:val="right" w:pos="4368"/>
                <w:tab w:val="right" w:pos="5534"/>
              </w:tabs>
              <w:spacing w:line="240" w:lineRule="auto"/>
              <w:jc w:val="both"/>
              <w:rPr>
                <w:rFonts w:ascii="Times New Roman" w:hAnsi="Times New Roman" w:cs="Times New Roman"/>
                <w:sz w:val="24"/>
                <w:szCs w:val="24"/>
              </w:rPr>
            </w:pPr>
            <w:r>
              <w:rPr>
                <w:rStyle w:val="CharStyle31"/>
                <w:sz w:val="14"/>
                <w:szCs w:val="14"/>
                <w:lang w:eastAsia="da-DK"/>
              </w:rPr>
              <w:t>Model mean</w:t>
            </w:r>
            <w:r>
              <w:rPr>
                <w:rStyle w:val="CharStyle31"/>
                <w:sz w:val="14"/>
                <w:szCs w:val="14"/>
                <w:lang w:eastAsia="da-DK"/>
              </w:rPr>
              <w:tab/>
              <w:t>-0</w:t>
            </w:r>
            <w:r>
              <w:rPr>
                <w:rStyle w:val="CharStyle31"/>
                <w:sz w:val="13"/>
                <w:szCs w:val="13"/>
                <w:lang w:eastAsia="da-DK"/>
              </w:rPr>
              <w:t>.</w:t>
            </w:r>
            <w:r>
              <w:rPr>
                <w:rStyle w:val="CharStyle31"/>
                <w:sz w:val="14"/>
                <w:szCs w:val="14"/>
                <w:lang w:eastAsia="da-DK"/>
              </w:rPr>
              <w:t>58</w:t>
            </w:r>
            <w:r>
              <w:rPr>
                <w:rStyle w:val="CharStyle31"/>
                <w:sz w:val="14"/>
                <w:szCs w:val="14"/>
                <w:lang w:eastAsia="da-DK"/>
              </w:rPr>
              <w:tab/>
              <w:t>-0</w:t>
            </w:r>
            <w:r>
              <w:rPr>
                <w:rStyle w:val="CharStyle31"/>
                <w:sz w:val="13"/>
                <w:szCs w:val="13"/>
                <w:lang w:eastAsia="da-DK"/>
              </w:rPr>
              <w:t>.</w:t>
            </w:r>
            <w:r>
              <w:rPr>
                <w:rStyle w:val="CharStyle31"/>
                <w:sz w:val="14"/>
                <w:szCs w:val="14"/>
                <w:lang w:eastAsia="da-DK"/>
              </w:rPr>
              <w:t>69</w:t>
            </w:r>
            <w:r>
              <w:rPr>
                <w:rStyle w:val="CharStyle31"/>
                <w:sz w:val="14"/>
                <w:szCs w:val="14"/>
                <w:lang w:eastAsia="da-DK"/>
              </w:rPr>
              <w:tab/>
              <w:t>-0</w:t>
            </w:r>
            <w:r>
              <w:rPr>
                <w:rStyle w:val="CharStyle31"/>
                <w:sz w:val="13"/>
                <w:szCs w:val="13"/>
                <w:lang w:eastAsia="da-DK"/>
              </w:rPr>
              <w:t>.</w:t>
            </w:r>
            <w:r>
              <w:rPr>
                <w:rStyle w:val="CharStyle31"/>
                <w:sz w:val="14"/>
                <w:szCs w:val="14"/>
                <w:lang w:eastAsia="da-DK"/>
              </w:rPr>
              <w:t>71</w:t>
            </w:r>
            <w:r>
              <w:rPr>
                <w:rStyle w:val="CharStyle31"/>
                <w:sz w:val="14"/>
                <w:szCs w:val="14"/>
                <w:lang w:eastAsia="da-DK"/>
              </w:rPr>
              <w:tab/>
              <w:t>-0</w:t>
            </w:r>
            <w:r>
              <w:rPr>
                <w:rStyle w:val="CharStyle31"/>
                <w:sz w:val="13"/>
                <w:szCs w:val="13"/>
                <w:lang w:eastAsia="da-DK"/>
              </w:rPr>
              <w:t>.</w:t>
            </w:r>
            <w:r>
              <w:rPr>
                <w:rStyle w:val="CharStyle31"/>
                <w:sz w:val="14"/>
                <w:szCs w:val="14"/>
                <w:lang w:eastAsia="da-DK"/>
              </w:rPr>
              <w:t>55</w:t>
            </w:r>
          </w:p>
          <w:p w14:paraId="59A486FD" w14:textId="77777777" w:rsidR="0074324D" w:rsidRDefault="0074324D">
            <w:pPr>
              <w:pStyle w:val="Style30"/>
              <w:tabs>
                <w:tab w:val="right" w:pos="1622"/>
                <w:tab w:val="right" w:pos="2976"/>
                <w:tab w:val="right" w:pos="4368"/>
                <w:tab w:val="right" w:pos="5534"/>
              </w:tabs>
              <w:spacing w:line="240" w:lineRule="auto"/>
              <w:jc w:val="both"/>
              <w:rPr>
                <w:rFonts w:ascii="Times New Roman" w:hAnsi="Times New Roman" w:cs="Times New Roman"/>
                <w:sz w:val="24"/>
                <w:szCs w:val="24"/>
              </w:rPr>
            </w:pPr>
            <w:r>
              <w:rPr>
                <w:rStyle w:val="CharStyle31"/>
                <w:sz w:val="14"/>
                <w:szCs w:val="14"/>
                <w:lang w:eastAsia="da-DK"/>
              </w:rPr>
              <w:t>Bias</w:t>
            </w:r>
            <w:r>
              <w:rPr>
                <w:rStyle w:val="CharStyle31"/>
                <w:sz w:val="14"/>
                <w:szCs w:val="14"/>
                <w:lang w:eastAsia="da-DK"/>
              </w:rPr>
              <w:tab/>
              <w:t>-0</w:t>
            </w:r>
            <w:r>
              <w:rPr>
                <w:rStyle w:val="CharStyle31"/>
                <w:sz w:val="13"/>
                <w:szCs w:val="13"/>
                <w:lang w:eastAsia="da-DK"/>
              </w:rPr>
              <w:t>.</w:t>
            </w:r>
            <w:r>
              <w:rPr>
                <w:rStyle w:val="CharStyle31"/>
                <w:sz w:val="14"/>
                <w:szCs w:val="14"/>
                <w:lang w:eastAsia="da-DK"/>
              </w:rPr>
              <w:t>23</w:t>
            </w:r>
            <w:r>
              <w:rPr>
                <w:rStyle w:val="CharStyle31"/>
                <w:sz w:val="14"/>
                <w:szCs w:val="14"/>
                <w:lang w:eastAsia="da-DK"/>
              </w:rPr>
              <w:tab/>
              <w:t>-0</w:t>
            </w:r>
            <w:r>
              <w:rPr>
                <w:rStyle w:val="CharStyle31"/>
                <w:sz w:val="13"/>
                <w:szCs w:val="13"/>
                <w:lang w:eastAsia="da-DK"/>
              </w:rPr>
              <w:t>.</w:t>
            </w:r>
            <w:r>
              <w:rPr>
                <w:rStyle w:val="CharStyle31"/>
                <w:sz w:val="14"/>
                <w:szCs w:val="14"/>
                <w:lang w:eastAsia="da-DK"/>
              </w:rPr>
              <w:t>19</w:t>
            </w:r>
            <w:r>
              <w:rPr>
                <w:rStyle w:val="CharStyle31"/>
                <w:sz w:val="14"/>
                <w:szCs w:val="14"/>
                <w:lang w:eastAsia="da-DK"/>
              </w:rPr>
              <w:tab/>
              <w:t>-0</w:t>
            </w:r>
            <w:r>
              <w:rPr>
                <w:rStyle w:val="CharStyle31"/>
                <w:sz w:val="13"/>
                <w:szCs w:val="13"/>
                <w:lang w:eastAsia="da-DK"/>
              </w:rPr>
              <w:t>.</w:t>
            </w:r>
            <w:r>
              <w:rPr>
                <w:rStyle w:val="CharStyle31"/>
                <w:sz w:val="14"/>
                <w:szCs w:val="14"/>
                <w:lang w:eastAsia="da-DK"/>
              </w:rPr>
              <w:t>17</w:t>
            </w:r>
            <w:r>
              <w:rPr>
                <w:rStyle w:val="CharStyle31"/>
                <w:sz w:val="14"/>
                <w:szCs w:val="14"/>
                <w:lang w:eastAsia="da-DK"/>
              </w:rPr>
              <w:tab/>
              <w:t>-0</w:t>
            </w:r>
            <w:r>
              <w:rPr>
                <w:rStyle w:val="CharStyle31"/>
                <w:sz w:val="13"/>
                <w:szCs w:val="13"/>
                <w:lang w:eastAsia="da-DK"/>
              </w:rPr>
              <w:t>.</w:t>
            </w:r>
            <w:r>
              <w:rPr>
                <w:rStyle w:val="CharStyle31"/>
                <w:sz w:val="14"/>
                <w:szCs w:val="14"/>
                <w:lang w:eastAsia="da-DK"/>
              </w:rPr>
              <w:t>28</w:t>
            </w:r>
          </w:p>
          <w:p w14:paraId="17DB7413" w14:textId="77777777" w:rsidR="0074324D" w:rsidRDefault="0074324D">
            <w:pPr>
              <w:pStyle w:val="Style30"/>
              <w:tabs>
                <w:tab w:val="right" w:pos="1622"/>
                <w:tab w:val="right" w:pos="2976"/>
                <w:tab w:val="right" w:pos="4368"/>
                <w:tab w:val="right" w:pos="5530"/>
              </w:tabs>
              <w:spacing w:line="240" w:lineRule="auto"/>
              <w:jc w:val="both"/>
              <w:rPr>
                <w:rFonts w:ascii="Times New Roman" w:hAnsi="Times New Roman" w:cs="Times New Roman"/>
                <w:sz w:val="24"/>
                <w:szCs w:val="24"/>
              </w:rPr>
            </w:pPr>
            <w:r>
              <w:rPr>
                <w:rStyle w:val="CharStyle31"/>
                <w:sz w:val="14"/>
                <w:szCs w:val="14"/>
                <w:lang w:eastAsia="da-DK"/>
              </w:rPr>
              <w:t>RMSE</w:t>
            </w:r>
            <w:r>
              <w:rPr>
                <w:rStyle w:val="CharStyle31"/>
                <w:sz w:val="14"/>
                <w:szCs w:val="14"/>
                <w:lang w:eastAsia="da-DK"/>
              </w:rPr>
              <w:tab/>
              <w:t>0.48</w:t>
            </w:r>
            <w:r>
              <w:rPr>
                <w:rStyle w:val="CharStyle31"/>
                <w:sz w:val="14"/>
                <w:szCs w:val="14"/>
                <w:lang w:eastAsia="da-DK"/>
              </w:rPr>
              <w:tab/>
              <w:t>0.42</w:t>
            </w:r>
            <w:r>
              <w:rPr>
                <w:rStyle w:val="CharStyle31"/>
                <w:sz w:val="14"/>
                <w:szCs w:val="14"/>
                <w:lang w:eastAsia="da-DK"/>
              </w:rPr>
              <w:tab/>
              <w:t>0.43</w:t>
            </w:r>
            <w:r>
              <w:rPr>
                <w:rStyle w:val="CharStyle31"/>
                <w:sz w:val="14"/>
                <w:szCs w:val="14"/>
                <w:lang w:eastAsia="da-DK"/>
              </w:rPr>
              <w:tab/>
              <w:t>0.53</w:t>
            </w:r>
          </w:p>
          <w:p w14:paraId="5900C069" w14:textId="77777777" w:rsidR="0074324D" w:rsidRDefault="0074324D">
            <w:pPr>
              <w:pStyle w:val="Style30"/>
              <w:tabs>
                <w:tab w:val="right" w:pos="1622"/>
                <w:tab w:val="right" w:pos="2976"/>
                <w:tab w:val="right" w:pos="4368"/>
                <w:tab w:val="right" w:pos="5534"/>
              </w:tabs>
              <w:spacing w:line="240" w:lineRule="auto"/>
              <w:jc w:val="both"/>
              <w:rPr>
                <w:rFonts w:ascii="Times New Roman" w:hAnsi="Times New Roman" w:cs="Times New Roman"/>
                <w:sz w:val="24"/>
                <w:szCs w:val="24"/>
              </w:rPr>
            </w:pPr>
            <w:r>
              <w:rPr>
                <w:rStyle w:val="CharStyle31"/>
                <w:sz w:val="14"/>
                <w:szCs w:val="14"/>
                <w:lang w:eastAsia="da-DK"/>
              </w:rPr>
              <w:t>WSS</w:t>
            </w:r>
            <w:r>
              <w:rPr>
                <w:rStyle w:val="CharStyle31"/>
                <w:sz w:val="14"/>
                <w:szCs w:val="14"/>
                <w:lang w:eastAsia="da-DK"/>
              </w:rPr>
              <w:tab/>
              <w:t>0.712</w:t>
            </w:r>
            <w:r>
              <w:rPr>
                <w:rStyle w:val="CharStyle31"/>
                <w:sz w:val="14"/>
                <w:szCs w:val="14"/>
                <w:lang w:eastAsia="da-DK"/>
              </w:rPr>
              <w:tab/>
              <w:t>0.786</w:t>
            </w:r>
            <w:r>
              <w:rPr>
                <w:rStyle w:val="CharStyle31"/>
                <w:sz w:val="14"/>
                <w:szCs w:val="14"/>
                <w:lang w:eastAsia="da-DK"/>
              </w:rPr>
              <w:tab/>
              <w:t>0.757</w:t>
            </w:r>
            <w:r>
              <w:rPr>
                <w:rStyle w:val="CharStyle31"/>
                <w:sz w:val="14"/>
                <w:szCs w:val="14"/>
                <w:lang w:eastAsia="da-DK"/>
              </w:rPr>
              <w:tab/>
              <w:t>0.599</w:t>
            </w:r>
          </w:p>
        </w:tc>
      </w:tr>
    </w:tbl>
    <w:p w14:paraId="65D22AA2" w14:textId="77777777" w:rsidR="0074324D" w:rsidRDefault="0074324D">
      <w:pPr>
        <w:pStyle w:val="Style28"/>
        <w:jc w:val="both"/>
        <w:rPr>
          <w:rFonts w:ascii="Times New Roman" w:hAnsi="Times New Roman" w:cs="Times New Roman"/>
          <w:sz w:val="24"/>
          <w:szCs w:val="24"/>
        </w:rPr>
        <w:sectPr w:rsidR="00000000">
          <w:pgSz w:w="11909" w:h="16834"/>
          <w:pgMar w:top="1841" w:right="916" w:bottom="2158" w:left="905" w:header="0" w:footer="3" w:gutter="0"/>
          <w:cols w:space="720"/>
          <w:noEndnote/>
          <w:docGrid w:linePitch="360"/>
        </w:sectPr>
      </w:pPr>
    </w:p>
    <w:p w14:paraId="4ABA80E3" w14:textId="77777777" w:rsidR="0074324D" w:rsidRDefault="0074324D">
      <w:pPr>
        <w:spacing w:before="13" w:after="13" w:line="240" w:lineRule="exact"/>
        <w:rPr>
          <w:color w:val="auto"/>
          <w:lang w:eastAsia="en-GB"/>
        </w:rPr>
      </w:pPr>
    </w:p>
    <w:p w14:paraId="6FEF5DDA" w14:textId="77777777" w:rsidR="0074324D" w:rsidRDefault="0074324D">
      <w:pPr>
        <w:spacing w:line="1" w:lineRule="exact"/>
        <w:rPr>
          <w:color w:val="auto"/>
          <w:lang w:eastAsia="en-GB"/>
        </w:rPr>
        <w:sectPr w:rsidR="00000000">
          <w:type w:val="continuous"/>
          <w:pgSz w:w="11909" w:h="16834"/>
          <w:pgMar w:top="1841" w:right="0" w:bottom="1841" w:left="0" w:header="0" w:footer="3" w:gutter="0"/>
          <w:cols w:space="720"/>
          <w:noEndnote/>
          <w:docGrid w:linePitch="360"/>
        </w:sectPr>
      </w:pPr>
    </w:p>
    <w:p w14:paraId="4CF068C9" w14:textId="77777777" w:rsidR="0074324D" w:rsidRDefault="0074324D">
      <w:pPr>
        <w:pStyle w:val="Style13"/>
        <w:keepNext/>
        <w:keepLines/>
        <w:spacing w:line="295" w:lineRule="auto"/>
        <w:jc w:val="both"/>
        <w:rPr>
          <w:rFonts w:ascii="Times New Roman" w:hAnsi="Times New Roman" w:cs="Times New Roman"/>
          <w:sz w:val="24"/>
          <w:szCs w:val="24"/>
        </w:rPr>
      </w:pPr>
      <w:bookmarkStart w:id="29" w:name="bookmark55"/>
      <w:r>
        <w:rPr>
          <w:rStyle w:val="CharStyle14"/>
          <w:lang w:eastAsia="da-DK"/>
        </w:rPr>
        <w:t>Appendix B: Changes to biophysical model since first publication</w:t>
      </w:r>
      <w:bookmarkEnd w:id="29"/>
    </w:p>
    <w:p w14:paraId="3DF0B2C6" w14:textId="77777777" w:rsidR="0074324D" w:rsidRDefault="0074324D">
      <w:pPr>
        <w:pStyle w:val="Style2"/>
        <w:jc w:val="both"/>
        <w:rPr>
          <w:rFonts w:ascii="Times New Roman" w:hAnsi="Times New Roman" w:cs="Times New Roman"/>
          <w:sz w:val="24"/>
          <w:szCs w:val="24"/>
        </w:rPr>
      </w:pPr>
      <w:r>
        <w:rPr>
          <w:rStyle w:val="CharStyle3"/>
          <w:lang w:eastAsia="da-DK"/>
        </w:rPr>
        <w:t>Several adjustments to the biological model have been made from the simulation described in</w:t>
      </w:r>
      <w:hyperlink w:anchor="bookmark109" w:tooltip="Current Document" w:history="1">
        <w:r>
          <w:rPr>
            <w:rStyle w:val="CharStyle3"/>
            <w:lang w:eastAsia="da-DK"/>
          </w:rPr>
          <w:t xml:space="preserve"> Olson et al. (2020)</w:t>
        </w:r>
      </w:hyperlink>
      <w:r>
        <w:rPr>
          <w:rStyle w:val="CharStyle3"/>
          <w:lang w:eastAsia="da-DK"/>
        </w:rPr>
        <w:t xml:space="preserve"> for the present run. The most significant concerns the silicon cycle. The rate of silica dissolution was adjusted from 3</w:t>
      </w:r>
      <w:r>
        <w:rPr>
          <w:rStyle w:val="CharStyle3"/>
          <w:sz w:val="16"/>
          <w:szCs w:val="16"/>
          <w:lang w:eastAsia="da-DK"/>
        </w:rPr>
        <w:t>.</w:t>
      </w:r>
      <w:r>
        <w:rPr>
          <w:rStyle w:val="CharStyle3"/>
          <w:lang w:eastAsia="da-DK"/>
        </w:rPr>
        <w:t>089 × 10</w:t>
      </w:r>
      <w:r>
        <w:rPr>
          <w:rStyle w:val="CharStyle3"/>
          <w:sz w:val="13"/>
          <w:szCs w:val="13"/>
          <w:vertAlign w:val="superscript"/>
          <w:lang w:eastAsia="da-DK"/>
        </w:rPr>
        <w:t>-</w:t>
      </w:r>
      <w:r>
        <w:rPr>
          <w:rStyle w:val="CharStyle3"/>
          <w:vertAlign w:val="superscript"/>
          <w:lang w:eastAsia="da-DK"/>
        </w:rPr>
        <w:t xml:space="preserve">6 </w:t>
      </w:r>
      <w:r>
        <w:rPr>
          <w:rStyle w:val="CharStyle3"/>
          <w:lang w:eastAsia="da-DK"/>
        </w:rPr>
        <w:t>to 1</w:t>
      </w:r>
      <w:r>
        <w:rPr>
          <w:rStyle w:val="CharStyle3"/>
          <w:sz w:val="16"/>
          <w:szCs w:val="16"/>
          <w:lang w:eastAsia="da-DK"/>
        </w:rPr>
        <w:t>.</w:t>
      </w:r>
      <w:r>
        <w:rPr>
          <w:rStyle w:val="CharStyle3"/>
          <w:lang w:eastAsia="da-DK"/>
        </w:rPr>
        <w:t>221 × 10</w:t>
      </w:r>
      <w:r>
        <w:rPr>
          <w:rStyle w:val="CharStyle3"/>
          <w:sz w:val="13"/>
          <w:szCs w:val="13"/>
          <w:vertAlign w:val="superscript"/>
          <w:lang w:eastAsia="da-DK"/>
        </w:rPr>
        <w:t>-</w:t>
      </w:r>
      <w:r>
        <w:rPr>
          <w:rStyle w:val="CharStyle3"/>
          <w:vertAlign w:val="superscript"/>
          <w:lang w:eastAsia="da-DK"/>
        </w:rPr>
        <w:t>6</w:t>
      </w:r>
      <w:r>
        <w:rPr>
          <w:rStyle w:val="CharStyle3"/>
          <w:lang w:eastAsia="da-DK"/>
        </w:rPr>
        <w:t xml:space="preserve"> s</w:t>
      </w:r>
      <w:r>
        <w:rPr>
          <w:rStyle w:val="CharStyle3"/>
          <w:sz w:val="13"/>
          <w:szCs w:val="13"/>
          <w:vertAlign w:val="superscript"/>
          <w:lang w:eastAsia="da-DK"/>
        </w:rPr>
        <w:t>-</w:t>
      </w:r>
      <w:r>
        <w:rPr>
          <w:rStyle w:val="CharStyle3"/>
          <w:vertAlign w:val="superscript"/>
          <w:lang w:eastAsia="da-DK"/>
        </w:rPr>
        <w:t>1</w:t>
      </w:r>
      <w:r>
        <w:rPr>
          <w:rStyle w:val="CharStyle3"/>
          <w:lang w:eastAsia="da-DK"/>
        </w:rPr>
        <w:t>, and a bottom flux of silicon of 6</w:t>
      </w:r>
      <w:r>
        <w:rPr>
          <w:rStyle w:val="CharStyle3"/>
          <w:sz w:val="16"/>
          <w:szCs w:val="16"/>
          <w:lang w:eastAsia="da-DK"/>
        </w:rPr>
        <w:t>.</w:t>
      </w:r>
      <w:r>
        <w:rPr>
          <w:rStyle w:val="CharStyle3"/>
          <w:lang w:eastAsia="da-DK"/>
        </w:rPr>
        <w:t>66 × 10</w:t>
      </w:r>
      <w:r>
        <w:rPr>
          <w:rStyle w:val="CharStyle3"/>
          <w:sz w:val="13"/>
          <w:szCs w:val="13"/>
          <w:vertAlign w:val="superscript"/>
          <w:lang w:eastAsia="da-DK"/>
        </w:rPr>
        <w:t>-</w:t>
      </w:r>
      <w:r>
        <w:rPr>
          <w:rStyle w:val="CharStyle3"/>
          <w:vertAlign w:val="superscript"/>
          <w:lang w:eastAsia="da-DK"/>
        </w:rPr>
        <w:t>5</w:t>
      </w:r>
      <w:r>
        <w:rPr>
          <w:rStyle w:val="CharStyle3"/>
          <w:lang w:eastAsia="da-DK"/>
        </w:rPr>
        <w:t xml:space="preserve"> mmol m</w:t>
      </w:r>
      <w:r>
        <w:rPr>
          <w:rStyle w:val="CharStyle3"/>
          <w:sz w:val="13"/>
          <w:szCs w:val="13"/>
          <w:vertAlign w:val="superscript"/>
          <w:lang w:eastAsia="da-DK"/>
        </w:rPr>
        <w:t>-</w:t>
      </w:r>
      <w:r>
        <w:rPr>
          <w:rStyle w:val="CharStyle3"/>
          <w:vertAlign w:val="superscript"/>
          <w:lang w:eastAsia="da-DK"/>
        </w:rPr>
        <w:t>2</w:t>
      </w:r>
      <w:r>
        <w:rPr>
          <w:rStyle w:val="CharStyle3"/>
          <w:lang w:eastAsia="da-DK"/>
        </w:rPr>
        <w:t>s</w:t>
      </w:r>
      <w:r>
        <w:rPr>
          <w:rStyle w:val="CharStyle3"/>
          <w:sz w:val="13"/>
          <w:szCs w:val="13"/>
          <w:vertAlign w:val="superscript"/>
          <w:lang w:eastAsia="da-DK"/>
        </w:rPr>
        <w:t>-</w:t>
      </w:r>
      <w:r>
        <w:rPr>
          <w:rStyle w:val="CharStyle3"/>
          <w:vertAlign w:val="superscript"/>
          <w:lang w:eastAsia="da-DK"/>
        </w:rPr>
        <w:t>1</w:t>
      </w:r>
      <w:r>
        <w:rPr>
          <w:rStyle w:val="CharStyle3"/>
          <w:lang w:eastAsia="da-DK"/>
        </w:rPr>
        <w:t xml:space="preserve"> was added across the land–ocean inter</w:t>
      </w:r>
      <w:r>
        <w:rPr>
          <w:rStyle w:val="CharStyle3"/>
          <w:lang w:eastAsia="da-DK"/>
        </w:rPr>
        <w:softHyphen/>
        <w:t>face below 250 m. The sinking rate of biogenic silicon was increased from 1</w:t>
      </w:r>
      <w:r>
        <w:rPr>
          <w:rStyle w:val="CharStyle3"/>
          <w:sz w:val="16"/>
          <w:szCs w:val="16"/>
          <w:lang w:eastAsia="da-DK"/>
        </w:rPr>
        <w:t>.</w:t>
      </w:r>
      <w:r>
        <w:rPr>
          <w:rStyle w:val="CharStyle3"/>
          <w:lang w:eastAsia="da-DK"/>
        </w:rPr>
        <w:t>44 × 10</w:t>
      </w:r>
      <w:r>
        <w:rPr>
          <w:rStyle w:val="CharStyle3"/>
          <w:sz w:val="13"/>
          <w:szCs w:val="13"/>
          <w:vertAlign w:val="superscript"/>
          <w:lang w:eastAsia="da-DK"/>
        </w:rPr>
        <w:t>-</w:t>
      </w:r>
      <w:r>
        <w:rPr>
          <w:rStyle w:val="CharStyle3"/>
          <w:vertAlign w:val="superscript"/>
          <w:lang w:eastAsia="da-DK"/>
        </w:rPr>
        <w:t>4</w:t>
      </w:r>
      <w:r>
        <w:rPr>
          <w:rStyle w:val="CharStyle3"/>
          <w:lang w:eastAsia="da-DK"/>
        </w:rPr>
        <w:t xml:space="preserve"> to 3</w:t>
      </w:r>
      <w:r>
        <w:rPr>
          <w:rStyle w:val="CharStyle3"/>
          <w:sz w:val="16"/>
          <w:szCs w:val="16"/>
          <w:lang w:eastAsia="da-DK"/>
        </w:rPr>
        <w:t>.</w:t>
      </w:r>
      <w:r>
        <w:rPr>
          <w:rStyle w:val="CharStyle3"/>
          <w:lang w:eastAsia="da-DK"/>
        </w:rPr>
        <w:t>108 × 10</w:t>
      </w:r>
      <w:r>
        <w:rPr>
          <w:rStyle w:val="CharStyle3"/>
          <w:sz w:val="13"/>
          <w:szCs w:val="13"/>
          <w:vertAlign w:val="superscript"/>
          <w:lang w:eastAsia="da-DK"/>
        </w:rPr>
        <w:t>-</w:t>
      </w:r>
      <w:r>
        <w:rPr>
          <w:rStyle w:val="CharStyle3"/>
          <w:vertAlign w:val="superscript"/>
          <w:lang w:eastAsia="da-DK"/>
        </w:rPr>
        <w:t>4</w:t>
      </w:r>
      <w:r>
        <w:rPr>
          <w:rStyle w:val="CharStyle3"/>
          <w:lang w:eastAsia="da-DK"/>
        </w:rPr>
        <w:t xml:space="preserve"> ms</w:t>
      </w:r>
      <w:r>
        <w:rPr>
          <w:rStyle w:val="CharStyle3"/>
          <w:sz w:val="13"/>
          <w:szCs w:val="13"/>
          <w:vertAlign w:val="superscript"/>
          <w:lang w:eastAsia="da-DK"/>
        </w:rPr>
        <w:t>-</w:t>
      </w:r>
      <w:r>
        <w:rPr>
          <w:rStyle w:val="CharStyle3"/>
          <w:vertAlign w:val="superscript"/>
          <w:lang w:eastAsia="da-DK"/>
        </w:rPr>
        <w:t>1</w:t>
      </w:r>
      <w:r>
        <w:rPr>
          <w:rStyle w:val="CharStyle3"/>
          <w:lang w:eastAsia="da-DK"/>
        </w:rPr>
        <w:t xml:space="preserve">. The </w:t>
      </w:r>
      <w:r>
        <w:rPr>
          <w:rStyle w:val="CharStyle3"/>
          <w:lang w:val="en-US" w:eastAsia="en-US"/>
        </w:rPr>
        <w:t>bot</w:t>
      </w:r>
      <w:r>
        <w:rPr>
          <w:rStyle w:val="CharStyle3"/>
          <w:lang w:val="en-US" w:eastAsia="en-US"/>
        </w:rPr>
        <w:softHyphen/>
        <w:t>tom</w:t>
      </w:r>
      <w:r>
        <w:rPr>
          <w:rStyle w:val="CharStyle3"/>
          <w:lang w:eastAsia="da-DK"/>
        </w:rPr>
        <w:t xml:space="preserve"> reflection coefficient for biogenic silicon was increased from 0.8 to 0.92, and the reflection coefficient for diatoms was changed from 0.8 to 0. Additionally, the ratio of di</w:t>
      </w:r>
      <w:r>
        <w:rPr>
          <w:rStyle w:val="CharStyle3"/>
          <w:lang w:eastAsia="da-DK"/>
        </w:rPr>
        <w:softHyphen/>
        <w:t>atom silicon to nitrogen content was increased from 1.5 to 1.8 µmol Si : µmol N.</w:t>
      </w:r>
    </w:p>
    <w:p w14:paraId="560721E8" w14:textId="77777777" w:rsidR="0074324D" w:rsidRDefault="0074324D">
      <w:pPr>
        <w:pStyle w:val="Style2"/>
        <w:ind w:firstLine="220"/>
        <w:jc w:val="both"/>
        <w:rPr>
          <w:rFonts w:ascii="Times New Roman" w:hAnsi="Times New Roman" w:cs="Times New Roman"/>
          <w:sz w:val="24"/>
          <w:szCs w:val="24"/>
        </w:rPr>
      </w:pPr>
      <w:r>
        <w:rPr>
          <w:rStyle w:val="CharStyle3"/>
          <w:lang w:eastAsia="da-DK"/>
        </w:rPr>
        <w:t>Diatom growth parameters were adjusted slightly, with an increase in the optimal light level fro</w:t>
      </w:r>
      <w:r>
        <w:rPr>
          <w:rStyle w:val="CharStyle3"/>
          <w:lang w:eastAsia="da-DK"/>
        </w:rPr>
        <w:t>m 42 to 45 W m</w:t>
      </w:r>
      <w:r>
        <w:rPr>
          <w:rStyle w:val="CharStyle3"/>
          <w:sz w:val="13"/>
          <w:szCs w:val="13"/>
          <w:vertAlign w:val="superscript"/>
          <w:lang w:eastAsia="da-DK"/>
        </w:rPr>
        <w:t>-</w:t>
      </w:r>
      <w:r>
        <w:rPr>
          <w:rStyle w:val="CharStyle3"/>
          <w:vertAlign w:val="superscript"/>
          <w:lang w:eastAsia="da-DK"/>
        </w:rPr>
        <w:t>2</w:t>
      </w:r>
      <w:r>
        <w:rPr>
          <w:rStyle w:val="CharStyle3"/>
          <w:lang w:eastAsia="da-DK"/>
        </w:rPr>
        <w:t>, an increase in the dissolved silica half-saturation constant from 1.2 to 2.2 µM Si, and a 1 % decrease in maximum growth rate. The flagellate half-saturation constant for ammonium increased from 0.1 to 0.2 µMN.</w:t>
      </w:r>
    </w:p>
    <w:p w14:paraId="6AACA229" w14:textId="77777777" w:rsidR="0074324D" w:rsidRDefault="0074324D">
      <w:pPr>
        <w:pStyle w:val="Style2"/>
        <w:ind w:firstLine="220"/>
        <w:jc w:val="both"/>
        <w:rPr>
          <w:rFonts w:ascii="Times New Roman" w:hAnsi="Times New Roman" w:cs="Times New Roman"/>
          <w:sz w:val="24"/>
          <w:szCs w:val="24"/>
        </w:rPr>
        <w:sectPr w:rsidR="00000000">
          <w:type w:val="continuous"/>
          <w:pgSz w:w="11909" w:h="16834"/>
          <w:pgMar w:top="1841" w:right="915" w:bottom="1841" w:left="905" w:header="0" w:footer="3" w:gutter="0"/>
          <w:cols w:num="2" w:space="336"/>
          <w:noEndnote/>
          <w:docGrid w:linePitch="360"/>
        </w:sectPr>
      </w:pPr>
      <w:r>
        <w:rPr>
          <w:rStyle w:val="CharStyle3"/>
          <w:lang w:eastAsia="da-DK"/>
        </w:rPr>
        <w:t xml:space="preserve">Several small adjustments were made to grazing rates, prey preferences, and predation threshold, primarily to </w:t>
      </w:r>
      <w:r>
        <w:rPr>
          <w:rStyle w:val="CharStyle3"/>
          <w:lang w:val="en-US" w:eastAsia="en-US"/>
        </w:rPr>
        <w:t>de</w:t>
      </w:r>
      <w:r>
        <w:rPr>
          <w:rStyle w:val="CharStyle3"/>
          <w:lang w:val="en-US" w:eastAsia="en-US"/>
        </w:rPr>
        <w:softHyphen/>
        <w:t>crease</w:t>
      </w:r>
      <w:r>
        <w:rPr>
          <w:rStyle w:val="CharStyle3"/>
          <w:lang w:eastAsia="da-DK"/>
        </w:rPr>
        <w:t xml:space="preserve"> the minimum standing stock of phytoplankton and increase grazing by microzooplankton relative to </w:t>
      </w:r>
      <w:r>
        <w:rPr>
          <w:rStyle w:val="CharStyle3"/>
          <w:lang w:val="en-US" w:eastAsia="en-US"/>
        </w:rPr>
        <w:t>meso</w:t>
      </w:r>
      <w:r>
        <w:rPr>
          <w:rStyle w:val="CharStyle3"/>
          <w:lang w:val="en-US" w:eastAsia="en-US"/>
        </w:rPr>
        <w:softHyphen/>
        <w:t>zooplankton.</w:t>
      </w:r>
      <w:r>
        <w:rPr>
          <w:rStyle w:val="CharStyle3"/>
          <w:lang w:eastAsia="da-DK"/>
        </w:rPr>
        <w:t xml:space="preserve"> Additionally, the seasonally varying </w:t>
      </w:r>
      <w:r>
        <w:rPr>
          <w:rStyle w:val="CharStyle3"/>
          <w:lang w:val="en-US" w:eastAsia="en-US"/>
        </w:rPr>
        <w:t>mesozoo</w:t>
      </w:r>
      <w:r>
        <w:rPr>
          <w:rStyle w:val="CharStyle3"/>
          <w:lang w:val="en-US" w:eastAsia="en-US"/>
        </w:rPr>
        <w:softHyphen/>
        <w:t>plankton</w:t>
      </w:r>
      <w:r>
        <w:rPr>
          <w:rStyle w:val="CharStyle3"/>
          <w:lang w:eastAsia="da-DK"/>
        </w:rPr>
        <w:t xml:space="preserve"> maximum grazing level was adjusted slightly, </w:t>
      </w:r>
      <w:r>
        <w:rPr>
          <w:rStyle w:val="CharStyle3"/>
          <w:lang w:val="en-US" w:eastAsia="en-US"/>
        </w:rPr>
        <w:t>de</w:t>
      </w:r>
      <w:r>
        <w:rPr>
          <w:rStyle w:val="CharStyle3"/>
          <w:lang w:val="en-US" w:eastAsia="en-US"/>
        </w:rPr>
        <w:softHyphen/>
        <w:t>creasing</w:t>
      </w:r>
      <w:r>
        <w:rPr>
          <w:rStyle w:val="CharStyle3"/>
          <w:lang w:eastAsia="da-DK"/>
        </w:rPr>
        <w:t xml:space="preserve"> winter and midsummer grazing rates and bringing the cycle forward by approximately 5 d. The western </w:t>
      </w:r>
      <w:r>
        <w:rPr>
          <w:rStyle w:val="CharStyle3"/>
          <w:lang w:val="en-US" w:eastAsia="en-US"/>
        </w:rPr>
        <w:t>bound</w:t>
      </w:r>
      <w:r>
        <w:rPr>
          <w:rStyle w:val="CharStyle3"/>
          <w:lang w:val="en-US" w:eastAsia="en-US"/>
        </w:rPr>
        <w:softHyphen/>
        <w:t>ary</w:t>
      </w:r>
      <w:r>
        <w:rPr>
          <w:rStyle w:val="CharStyle3"/>
          <w:lang w:eastAsia="da-DK"/>
        </w:rPr>
        <w:t xml:space="preserve"> and riverine nutrient concentrations have been updated. The namelists specifying these small adjustments are </w:t>
      </w:r>
      <w:r>
        <w:rPr>
          <w:rStyle w:val="CharStyle3"/>
          <w:lang w:val="en-US" w:eastAsia="en-US"/>
        </w:rPr>
        <w:t>avail</w:t>
      </w:r>
      <w:r>
        <w:rPr>
          <w:rStyle w:val="CharStyle3"/>
          <w:lang w:val="en-US" w:eastAsia="en-US"/>
        </w:rPr>
        <w:softHyphen/>
        <w:t>able</w:t>
      </w:r>
      <w:r>
        <w:rPr>
          <w:rStyle w:val="CharStyle3"/>
          <w:lang w:eastAsia="da-DK"/>
        </w:rPr>
        <w:t xml:space="preserve"> from the paper’s associated GitHub repository.</w:t>
      </w:r>
    </w:p>
    <w:p w14:paraId="7BD5F9C6" w14:textId="77777777" w:rsidR="0074324D" w:rsidRDefault="0074324D">
      <w:pPr>
        <w:spacing w:line="139" w:lineRule="exact"/>
        <w:rPr>
          <w:color w:val="auto"/>
          <w:lang w:eastAsia="en-GB"/>
        </w:rPr>
      </w:pPr>
    </w:p>
    <w:p w14:paraId="5ADC1CEF" w14:textId="77777777" w:rsidR="0074324D" w:rsidRDefault="0074324D">
      <w:pPr>
        <w:spacing w:line="1" w:lineRule="exact"/>
        <w:rPr>
          <w:color w:val="auto"/>
          <w:lang w:eastAsia="en-GB"/>
        </w:rPr>
        <w:sectPr w:rsidR="00000000">
          <w:pgSz w:w="11909" w:h="16834"/>
          <w:pgMar w:top="1634" w:right="943" w:bottom="1548" w:left="905" w:header="0" w:footer="3" w:gutter="0"/>
          <w:cols w:space="720"/>
          <w:noEndnote/>
          <w:docGrid w:linePitch="360"/>
        </w:sectPr>
      </w:pPr>
    </w:p>
    <w:p w14:paraId="494EEE57" w14:textId="77777777" w:rsidR="0074324D" w:rsidRDefault="0074324D">
      <w:pPr>
        <w:pStyle w:val="Style13"/>
        <w:keepNext/>
        <w:keepLines/>
        <w:framePr w:w="2856" w:h="278" w:wrap="none" w:vAnchor="text" w:hAnchor="margin" w:x="2" w:y="21"/>
        <w:spacing w:after="0" w:line="240" w:lineRule="auto"/>
        <w:rPr>
          <w:rFonts w:ascii="Times New Roman" w:hAnsi="Times New Roman" w:cs="Times New Roman"/>
          <w:sz w:val="24"/>
          <w:szCs w:val="24"/>
        </w:rPr>
      </w:pPr>
      <w:bookmarkStart w:id="30" w:name="bookmark58"/>
      <w:bookmarkStart w:id="31" w:name="bookmark57"/>
      <w:r>
        <w:rPr>
          <w:rStyle w:val="CharStyle14"/>
          <w:lang w:eastAsia="da-DK"/>
        </w:rPr>
        <w:t>Appendix C: Companion figures</w:t>
      </w:r>
      <w:bookmarkEnd w:id="30"/>
      <w:bookmarkEnd w:id="31"/>
    </w:p>
    <w:p w14:paraId="741A608F" w14:textId="77777777" w:rsidR="0074324D" w:rsidRDefault="0074324D">
      <w:pPr>
        <w:pStyle w:val="Style7"/>
        <w:framePr w:w="9744" w:h="250" w:wrap="none" w:vAnchor="text" w:hAnchor="margin" w:x="6" w:y="8382"/>
        <w:spacing w:line="240" w:lineRule="auto"/>
        <w:rPr>
          <w:rFonts w:ascii="Times New Roman" w:hAnsi="Times New Roman" w:cs="Times New Roman"/>
          <w:sz w:val="24"/>
          <w:szCs w:val="24"/>
        </w:rPr>
      </w:pPr>
      <w:r>
        <w:rPr>
          <w:rStyle w:val="CharStyle8"/>
          <w:lang w:eastAsia="da-DK"/>
        </w:rPr>
        <w:t>Figure C1. One example clustering output by Ward’s method for the annual halocline depth signal in the year 2015 (see Sect. 2.2–2.3).</w:t>
      </w:r>
    </w:p>
    <w:p w14:paraId="32F74FCD" w14:textId="6139C0AD" w:rsidR="0074324D" w:rsidRDefault="0074324D">
      <w:pPr>
        <w:spacing w:line="360" w:lineRule="exact"/>
        <w:rPr>
          <w:color w:val="auto"/>
          <w:lang w:eastAsia="en-GB"/>
        </w:rPr>
      </w:pPr>
      <w:r>
        <w:rPr>
          <w:noProof/>
        </w:rPr>
        <w:drawing>
          <wp:anchor distT="0" distB="274320" distL="408305" distR="194945" simplePos="0" relativeHeight="251682816" behindDoc="1" locked="0" layoutInCell="1" allowOverlap="1" wp14:anchorId="3D5424A7" wp14:editId="5E57969C">
            <wp:simplePos x="0" y="0"/>
            <wp:positionH relativeFrom="margin">
              <wp:posOffset>411480</wp:posOffset>
            </wp:positionH>
            <wp:positionV relativeFrom="paragraph">
              <wp:posOffset>494030</wp:posOffset>
            </wp:positionV>
            <wp:extent cx="5584190" cy="4712335"/>
            <wp:effectExtent l="0" t="0" r="0"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4190" cy="4712335"/>
                    </a:xfrm>
                    <a:prstGeom prst="rect">
                      <a:avLst/>
                    </a:prstGeom>
                    <a:noFill/>
                  </pic:spPr>
                </pic:pic>
              </a:graphicData>
            </a:graphic>
            <wp14:sizeRelH relativeFrom="page">
              <wp14:pctWidth>0</wp14:pctWidth>
            </wp14:sizeRelH>
            <wp14:sizeRelV relativeFrom="page">
              <wp14:pctHeight>0</wp14:pctHeight>
            </wp14:sizeRelV>
          </wp:anchor>
        </w:drawing>
      </w:r>
    </w:p>
    <w:p w14:paraId="54BD3D12" w14:textId="77777777" w:rsidR="0074324D" w:rsidRDefault="0074324D">
      <w:pPr>
        <w:spacing w:line="360" w:lineRule="exact"/>
        <w:rPr>
          <w:color w:val="auto"/>
          <w:lang w:eastAsia="en-GB"/>
        </w:rPr>
      </w:pPr>
    </w:p>
    <w:p w14:paraId="7ADCADF5" w14:textId="77777777" w:rsidR="0074324D" w:rsidRDefault="0074324D">
      <w:pPr>
        <w:spacing w:line="360" w:lineRule="exact"/>
        <w:rPr>
          <w:color w:val="auto"/>
          <w:lang w:eastAsia="en-GB"/>
        </w:rPr>
      </w:pPr>
    </w:p>
    <w:p w14:paraId="7F0A88B6" w14:textId="77777777" w:rsidR="0074324D" w:rsidRDefault="0074324D">
      <w:pPr>
        <w:spacing w:line="360" w:lineRule="exact"/>
        <w:rPr>
          <w:color w:val="auto"/>
          <w:lang w:eastAsia="en-GB"/>
        </w:rPr>
      </w:pPr>
    </w:p>
    <w:p w14:paraId="522B9FEF" w14:textId="77777777" w:rsidR="0074324D" w:rsidRDefault="0074324D">
      <w:pPr>
        <w:spacing w:line="360" w:lineRule="exact"/>
        <w:rPr>
          <w:color w:val="auto"/>
          <w:lang w:eastAsia="en-GB"/>
        </w:rPr>
      </w:pPr>
    </w:p>
    <w:p w14:paraId="6EA36A5D" w14:textId="77777777" w:rsidR="0074324D" w:rsidRDefault="0074324D">
      <w:pPr>
        <w:spacing w:line="360" w:lineRule="exact"/>
        <w:rPr>
          <w:color w:val="auto"/>
          <w:lang w:eastAsia="en-GB"/>
        </w:rPr>
      </w:pPr>
    </w:p>
    <w:p w14:paraId="0E346A20" w14:textId="77777777" w:rsidR="0074324D" w:rsidRDefault="0074324D">
      <w:pPr>
        <w:spacing w:line="360" w:lineRule="exact"/>
        <w:rPr>
          <w:color w:val="auto"/>
          <w:lang w:eastAsia="en-GB"/>
        </w:rPr>
      </w:pPr>
    </w:p>
    <w:p w14:paraId="0BD7F651" w14:textId="77777777" w:rsidR="0074324D" w:rsidRDefault="0074324D">
      <w:pPr>
        <w:spacing w:line="360" w:lineRule="exact"/>
        <w:rPr>
          <w:color w:val="auto"/>
          <w:lang w:eastAsia="en-GB"/>
        </w:rPr>
      </w:pPr>
    </w:p>
    <w:p w14:paraId="771126BD" w14:textId="77777777" w:rsidR="0074324D" w:rsidRDefault="0074324D">
      <w:pPr>
        <w:spacing w:line="360" w:lineRule="exact"/>
        <w:rPr>
          <w:color w:val="auto"/>
          <w:lang w:eastAsia="en-GB"/>
        </w:rPr>
      </w:pPr>
    </w:p>
    <w:p w14:paraId="68080C08" w14:textId="77777777" w:rsidR="0074324D" w:rsidRDefault="0074324D">
      <w:pPr>
        <w:spacing w:line="360" w:lineRule="exact"/>
        <w:rPr>
          <w:color w:val="auto"/>
          <w:lang w:eastAsia="en-GB"/>
        </w:rPr>
      </w:pPr>
    </w:p>
    <w:p w14:paraId="17C273FD" w14:textId="77777777" w:rsidR="0074324D" w:rsidRDefault="0074324D">
      <w:pPr>
        <w:spacing w:line="360" w:lineRule="exact"/>
        <w:rPr>
          <w:color w:val="auto"/>
          <w:lang w:eastAsia="en-GB"/>
        </w:rPr>
      </w:pPr>
    </w:p>
    <w:p w14:paraId="19E865AA" w14:textId="77777777" w:rsidR="0074324D" w:rsidRDefault="0074324D">
      <w:pPr>
        <w:spacing w:line="360" w:lineRule="exact"/>
        <w:rPr>
          <w:color w:val="auto"/>
          <w:lang w:eastAsia="en-GB"/>
        </w:rPr>
      </w:pPr>
    </w:p>
    <w:p w14:paraId="0390D971" w14:textId="77777777" w:rsidR="0074324D" w:rsidRDefault="0074324D">
      <w:pPr>
        <w:spacing w:line="360" w:lineRule="exact"/>
        <w:rPr>
          <w:color w:val="auto"/>
          <w:lang w:eastAsia="en-GB"/>
        </w:rPr>
      </w:pPr>
    </w:p>
    <w:p w14:paraId="66F27DBE" w14:textId="77777777" w:rsidR="0074324D" w:rsidRDefault="0074324D">
      <w:pPr>
        <w:spacing w:line="360" w:lineRule="exact"/>
        <w:rPr>
          <w:color w:val="auto"/>
          <w:lang w:eastAsia="en-GB"/>
        </w:rPr>
      </w:pPr>
    </w:p>
    <w:p w14:paraId="7FCEDCFA" w14:textId="77777777" w:rsidR="0074324D" w:rsidRDefault="0074324D">
      <w:pPr>
        <w:spacing w:line="360" w:lineRule="exact"/>
        <w:rPr>
          <w:color w:val="auto"/>
          <w:lang w:eastAsia="en-GB"/>
        </w:rPr>
      </w:pPr>
    </w:p>
    <w:p w14:paraId="3E0065CC" w14:textId="77777777" w:rsidR="0074324D" w:rsidRDefault="0074324D">
      <w:pPr>
        <w:spacing w:line="360" w:lineRule="exact"/>
        <w:rPr>
          <w:color w:val="auto"/>
          <w:lang w:eastAsia="en-GB"/>
        </w:rPr>
      </w:pPr>
    </w:p>
    <w:p w14:paraId="304E0A11" w14:textId="77777777" w:rsidR="0074324D" w:rsidRDefault="0074324D">
      <w:pPr>
        <w:spacing w:line="360" w:lineRule="exact"/>
        <w:rPr>
          <w:color w:val="auto"/>
          <w:lang w:eastAsia="en-GB"/>
        </w:rPr>
      </w:pPr>
    </w:p>
    <w:p w14:paraId="3CE5088A" w14:textId="77777777" w:rsidR="0074324D" w:rsidRDefault="0074324D">
      <w:pPr>
        <w:spacing w:line="360" w:lineRule="exact"/>
        <w:rPr>
          <w:color w:val="auto"/>
          <w:lang w:eastAsia="en-GB"/>
        </w:rPr>
      </w:pPr>
    </w:p>
    <w:p w14:paraId="39857238" w14:textId="77777777" w:rsidR="0074324D" w:rsidRDefault="0074324D">
      <w:pPr>
        <w:spacing w:line="360" w:lineRule="exact"/>
        <w:rPr>
          <w:color w:val="auto"/>
          <w:lang w:eastAsia="en-GB"/>
        </w:rPr>
      </w:pPr>
    </w:p>
    <w:p w14:paraId="4F7BB140" w14:textId="77777777" w:rsidR="0074324D" w:rsidRDefault="0074324D">
      <w:pPr>
        <w:spacing w:line="360" w:lineRule="exact"/>
        <w:rPr>
          <w:color w:val="auto"/>
          <w:lang w:eastAsia="en-GB"/>
        </w:rPr>
      </w:pPr>
    </w:p>
    <w:p w14:paraId="574BB519" w14:textId="77777777" w:rsidR="0074324D" w:rsidRDefault="0074324D">
      <w:pPr>
        <w:spacing w:line="360" w:lineRule="exact"/>
        <w:rPr>
          <w:color w:val="auto"/>
          <w:lang w:eastAsia="en-GB"/>
        </w:rPr>
      </w:pPr>
    </w:p>
    <w:p w14:paraId="0E6F598D" w14:textId="77777777" w:rsidR="0074324D" w:rsidRDefault="0074324D">
      <w:pPr>
        <w:spacing w:line="360" w:lineRule="exact"/>
        <w:rPr>
          <w:color w:val="auto"/>
          <w:lang w:eastAsia="en-GB"/>
        </w:rPr>
      </w:pPr>
    </w:p>
    <w:p w14:paraId="60CB250D" w14:textId="77777777" w:rsidR="0074324D" w:rsidRDefault="0074324D">
      <w:pPr>
        <w:spacing w:after="709" w:line="1" w:lineRule="exact"/>
        <w:rPr>
          <w:color w:val="auto"/>
          <w:lang w:eastAsia="en-GB"/>
        </w:rPr>
      </w:pPr>
    </w:p>
    <w:p w14:paraId="6C5951B7" w14:textId="77777777" w:rsidR="0074324D" w:rsidRDefault="0074324D">
      <w:pPr>
        <w:spacing w:line="1" w:lineRule="exact"/>
        <w:rPr>
          <w:color w:val="auto"/>
          <w:lang w:eastAsia="en-GB"/>
        </w:rPr>
        <w:sectPr w:rsidR="00000000">
          <w:type w:val="continuous"/>
          <w:pgSz w:w="11909" w:h="16834"/>
          <w:pgMar w:top="1634" w:right="943" w:bottom="1548" w:left="905" w:header="0" w:footer="3" w:gutter="0"/>
          <w:cols w:space="720"/>
          <w:noEndnote/>
          <w:docGrid w:linePitch="360"/>
        </w:sectPr>
      </w:pPr>
    </w:p>
    <w:p w14:paraId="39A0CC32" w14:textId="597FAF57" w:rsidR="0074324D" w:rsidRDefault="0074324D">
      <w:pPr>
        <w:jc w:val="center"/>
        <w:rPr>
          <w:color w:val="auto"/>
          <w:lang w:eastAsia="en-GB"/>
        </w:rPr>
      </w:pPr>
      <w:r>
        <w:rPr>
          <w:noProof/>
          <w:color w:val="auto"/>
          <w:lang w:eastAsia="en-GB"/>
        </w:rPr>
        <w:lastRenderedPageBreak/>
        <w:drawing>
          <wp:inline distT="0" distB="0" distL="0" distR="0" wp14:anchorId="600EE179" wp14:editId="5BCCC3C8">
            <wp:extent cx="4324350" cy="40862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4350" cy="4086225"/>
                    </a:xfrm>
                    <a:prstGeom prst="rect">
                      <a:avLst/>
                    </a:prstGeom>
                    <a:noFill/>
                    <a:ln>
                      <a:noFill/>
                    </a:ln>
                  </pic:spPr>
                </pic:pic>
              </a:graphicData>
            </a:graphic>
          </wp:inline>
        </w:drawing>
      </w:r>
    </w:p>
    <w:p w14:paraId="68C67799" w14:textId="77777777" w:rsidR="0074324D" w:rsidRDefault="0074324D">
      <w:pPr>
        <w:spacing w:after="179" w:line="1" w:lineRule="exact"/>
        <w:rPr>
          <w:color w:val="auto"/>
          <w:lang w:eastAsia="en-GB"/>
        </w:rPr>
      </w:pPr>
    </w:p>
    <w:p w14:paraId="20E715D4" w14:textId="77777777" w:rsidR="0074324D" w:rsidRDefault="0074324D">
      <w:pPr>
        <w:pStyle w:val="Style26"/>
        <w:spacing w:after="540" w:line="307" w:lineRule="auto"/>
        <w:ind w:left="0" w:firstLine="0"/>
        <w:jc w:val="both"/>
        <w:rPr>
          <w:rFonts w:ascii="Times New Roman" w:hAnsi="Times New Roman" w:cs="Times New Roman"/>
          <w:sz w:val="24"/>
          <w:szCs w:val="24"/>
        </w:rPr>
      </w:pPr>
      <w:bookmarkStart w:id="32" w:name="bookmark60"/>
      <w:r>
        <w:rPr>
          <w:rStyle w:val="CharStyle27"/>
          <w:lang w:eastAsia="da-DK"/>
        </w:rPr>
        <w:t>Figure C2. The interannual cluster commonality metric, measuring interannual cluster persistence for each factor. For any two clusters, cluster commonality varies from 0 (clusters of any size with no stations in common) to 1 (two clusters of equal size with all stations in common) and may be used to compare clusters of unequal sizes.</w:t>
      </w:r>
      <w:bookmarkEnd w:id="32"/>
    </w:p>
    <w:p w14:paraId="5C3D3969" w14:textId="7EDDC090" w:rsidR="0074324D" w:rsidRDefault="0074324D">
      <w:pPr>
        <w:jc w:val="center"/>
        <w:rPr>
          <w:color w:val="auto"/>
          <w:lang w:eastAsia="en-GB"/>
        </w:rPr>
      </w:pPr>
      <w:r>
        <w:rPr>
          <w:noProof/>
          <w:color w:val="auto"/>
          <w:lang w:eastAsia="en-GB"/>
        </w:rPr>
        <w:drawing>
          <wp:inline distT="0" distB="0" distL="0" distR="0" wp14:anchorId="35ECD1C0" wp14:editId="2DCF257C">
            <wp:extent cx="4324350" cy="17716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4350" cy="1771650"/>
                    </a:xfrm>
                    <a:prstGeom prst="rect">
                      <a:avLst/>
                    </a:prstGeom>
                    <a:noFill/>
                    <a:ln>
                      <a:noFill/>
                    </a:ln>
                  </pic:spPr>
                </pic:pic>
              </a:graphicData>
            </a:graphic>
          </wp:inline>
        </w:drawing>
      </w:r>
    </w:p>
    <w:p w14:paraId="33D0515B" w14:textId="77777777" w:rsidR="0074324D" w:rsidRDefault="0074324D">
      <w:pPr>
        <w:spacing w:after="179" w:line="1" w:lineRule="exact"/>
        <w:rPr>
          <w:color w:val="auto"/>
          <w:lang w:eastAsia="en-GB"/>
        </w:rPr>
      </w:pPr>
    </w:p>
    <w:p w14:paraId="59CDCC3A" w14:textId="77777777" w:rsidR="0074324D" w:rsidRDefault="0074324D">
      <w:pPr>
        <w:pStyle w:val="Style26"/>
        <w:spacing w:after="360" w:line="307" w:lineRule="auto"/>
        <w:ind w:left="0" w:firstLine="0"/>
        <w:jc w:val="both"/>
        <w:rPr>
          <w:rFonts w:ascii="Times New Roman" w:hAnsi="Times New Roman" w:cs="Times New Roman"/>
          <w:sz w:val="24"/>
          <w:szCs w:val="24"/>
        </w:rPr>
        <w:sectPr w:rsidR="00000000">
          <w:pgSz w:w="11909" w:h="16834"/>
          <w:pgMar w:top="1884" w:right="915" w:bottom="1884" w:left="905" w:header="0" w:footer="3" w:gutter="0"/>
          <w:cols w:space="720"/>
          <w:noEndnote/>
          <w:docGrid w:linePitch="360"/>
        </w:sectPr>
      </w:pPr>
      <w:r>
        <w:rPr>
          <w:rStyle w:val="CharStyle27"/>
          <w:lang w:eastAsia="da-DK"/>
        </w:rPr>
        <w:t>Figure C3. Fraser river flow at Hope, British Columbia, for the 4 modeled years, as implemented in</w:t>
      </w:r>
      <w:hyperlink w:anchor="bookmark131" w:tooltip="Current Document" w:history="1">
        <w:r>
          <w:rPr>
            <w:rStyle w:val="CharStyle27"/>
            <w:lang w:eastAsia="da-DK"/>
          </w:rPr>
          <w:t xml:space="preserve"> Soontiens and Allen (2017)</w:t>
        </w:r>
      </w:hyperlink>
      <w:r>
        <w:rPr>
          <w:rStyle w:val="CharStyle27"/>
          <w:lang w:eastAsia="da-DK"/>
        </w:rPr>
        <w:t xml:space="preserve">. Data from Environment and Climate Change Canada </w:t>
      </w:r>
      <w:hyperlink r:id="rId42" w:history="1">
        <w:r>
          <w:rPr>
            <w:rStyle w:val="CharStyle27"/>
            <w:lang w:eastAsia="da-DK"/>
          </w:rPr>
          <w:t>(https://wateroffice.ec.gc.ca/report/real_time_e.html?stn=08MF005,</w:t>
        </w:r>
      </w:hyperlink>
      <w:r>
        <w:rPr>
          <w:rStyle w:val="CharStyle27"/>
          <w:lang w:eastAsia="da-DK"/>
        </w:rPr>
        <w:t xml:space="preserve"> last access: June 2021).</w:t>
      </w:r>
    </w:p>
    <w:p w14:paraId="4720A171" w14:textId="44B16438" w:rsidR="0074324D" w:rsidRDefault="0074324D">
      <w:pPr>
        <w:spacing w:line="1" w:lineRule="exact"/>
        <w:rPr>
          <w:color w:val="auto"/>
          <w:lang w:eastAsia="en-GB"/>
        </w:rPr>
      </w:pPr>
      <w:r>
        <w:rPr>
          <w:noProof/>
        </w:rPr>
        <w:lastRenderedPageBreak/>
        <w:drawing>
          <wp:anchor distT="0" distB="50800" distL="0" distR="0" simplePos="0" relativeHeight="251683840" behindDoc="1" locked="0" layoutInCell="1" allowOverlap="1" wp14:anchorId="593770B7" wp14:editId="15A70D2E">
            <wp:simplePos x="0" y="0"/>
            <wp:positionH relativeFrom="margin">
              <wp:posOffset>1490345</wp:posOffset>
            </wp:positionH>
            <wp:positionV relativeFrom="paragraph">
              <wp:posOffset>0</wp:posOffset>
            </wp:positionV>
            <wp:extent cx="3425825" cy="4693920"/>
            <wp:effectExtent l="0" t="0" r="0" b="0"/>
            <wp:wrapTopAndBottom/>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5825" cy="4693920"/>
                    </a:xfrm>
                    <a:prstGeom prst="rect">
                      <a:avLst/>
                    </a:prstGeom>
                    <a:noFill/>
                  </pic:spPr>
                </pic:pic>
              </a:graphicData>
            </a:graphic>
            <wp14:sizeRelH relativeFrom="page">
              <wp14:pctWidth>0</wp14:pctWidth>
            </wp14:sizeRelH>
            <wp14:sizeRelV relativeFrom="page">
              <wp14:pctHeight>0</wp14:pctHeight>
            </wp14:sizeRelV>
          </wp:anchor>
        </w:drawing>
      </w:r>
    </w:p>
    <w:p w14:paraId="49DE33C2" w14:textId="77777777" w:rsidR="0074324D" w:rsidRDefault="0074324D">
      <w:pPr>
        <w:pStyle w:val="Style26"/>
        <w:spacing w:line="300" w:lineRule="auto"/>
        <w:ind w:left="0" w:firstLine="0"/>
        <w:rPr>
          <w:rFonts w:ascii="Times New Roman" w:hAnsi="Times New Roman" w:cs="Times New Roman"/>
          <w:sz w:val="24"/>
          <w:szCs w:val="24"/>
        </w:rPr>
        <w:sectPr w:rsidR="00000000">
          <w:pgSz w:w="11909" w:h="16834"/>
          <w:pgMar w:top="1884" w:right="915" w:bottom="2964" w:left="905" w:header="0" w:footer="3" w:gutter="0"/>
          <w:cols w:space="720"/>
          <w:noEndnote/>
          <w:docGrid w:linePitch="360"/>
        </w:sectPr>
      </w:pPr>
      <w:r>
        <w:rPr>
          <w:rStyle w:val="CharStyle27"/>
          <w:lang w:eastAsia="da-DK"/>
        </w:rPr>
        <w:t>Figure C4. Mean depth profiles of phytoplankton biomass for the three main biological clusters (CSoG, NSoG, and JdF) for all 4 modeled years. Spring is defined as March–May, summer is June–August, autumn is September–November, and winter is December–February.</w:t>
      </w:r>
    </w:p>
    <w:p w14:paraId="6C746CCB" w14:textId="77777777" w:rsidR="0074324D" w:rsidRDefault="0074324D">
      <w:pPr>
        <w:spacing w:line="240" w:lineRule="exact"/>
        <w:rPr>
          <w:color w:val="auto"/>
          <w:lang w:eastAsia="en-GB"/>
        </w:rPr>
      </w:pPr>
    </w:p>
    <w:p w14:paraId="497EA759" w14:textId="77777777" w:rsidR="0074324D" w:rsidRDefault="0074324D">
      <w:pPr>
        <w:spacing w:before="59" w:after="59" w:line="240" w:lineRule="exact"/>
        <w:rPr>
          <w:color w:val="auto"/>
          <w:lang w:eastAsia="en-GB"/>
        </w:rPr>
      </w:pPr>
    </w:p>
    <w:p w14:paraId="1AE6E810" w14:textId="77777777" w:rsidR="0074324D" w:rsidRDefault="0074324D">
      <w:pPr>
        <w:spacing w:line="1" w:lineRule="exact"/>
        <w:rPr>
          <w:color w:val="auto"/>
          <w:lang w:eastAsia="en-GB"/>
        </w:rPr>
        <w:sectPr w:rsidR="00000000">
          <w:type w:val="continuous"/>
          <w:pgSz w:w="11909" w:h="16834"/>
          <w:pgMar w:top="1851" w:right="0" w:bottom="1813" w:left="0" w:header="0" w:footer="3" w:gutter="0"/>
          <w:cols w:space="720"/>
          <w:noEndnote/>
          <w:docGrid w:linePitch="360"/>
        </w:sectPr>
      </w:pPr>
    </w:p>
    <w:p w14:paraId="2761626A" w14:textId="77777777" w:rsidR="0074324D" w:rsidRDefault="0074324D">
      <w:pPr>
        <w:pStyle w:val="Style26"/>
        <w:ind w:left="0" w:firstLine="0"/>
        <w:jc w:val="both"/>
        <w:rPr>
          <w:rFonts w:ascii="Times New Roman" w:hAnsi="Times New Roman" w:cs="Times New Roman"/>
          <w:sz w:val="24"/>
          <w:szCs w:val="24"/>
        </w:rPr>
      </w:pPr>
      <w:r>
        <w:rPr>
          <w:rStyle w:val="CharStyle27"/>
          <w:i/>
          <w:iCs/>
          <w:sz w:val="14"/>
          <w:szCs w:val="14"/>
          <w:lang w:eastAsia="da-DK"/>
        </w:rPr>
        <w:t>Code and data availability.</w:t>
      </w:r>
      <w:r>
        <w:rPr>
          <w:rStyle w:val="CharStyle27"/>
          <w:lang w:eastAsia="da-DK"/>
        </w:rPr>
        <w:t xml:space="preserve"> Model namelists as well as </w:t>
      </w:r>
      <w:r>
        <w:rPr>
          <w:rStyle w:val="CharStyle27"/>
          <w:lang w:val="en-US" w:eastAsia="en-US"/>
        </w:rPr>
        <w:t>post</w:t>
      </w:r>
      <w:r>
        <w:rPr>
          <w:rStyle w:val="CharStyle27"/>
          <w:lang w:val="en-US" w:eastAsia="en-US"/>
        </w:rPr>
        <w:softHyphen/>
        <w:t>processing</w:t>
      </w:r>
      <w:r>
        <w:rPr>
          <w:rStyle w:val="CharStyle27"/>
          <w:lang w:eastAsia="da-DK"/>
        </w:rPr>
        <w:t xml:space="preserve"> and analysis scripts are available from the associated GitHub repository </w:t>
      </w:r>
      <w:hyperlink r:id="rId44" w:history="1">
        <w:r>
          <w:rPr>
            <w:rStyle w:val="CharStyle27"/>
            <w:lang w:eastAsia="da-DK"/>
          </w:rPr>
          <w:t>(https://doi.org/10.5281/zenodo.7144696,</w:t>
        </w:r>
      </w:hyperlink>
      <w:r>
        <w:rPr>
          <w:rStyle w:val="CharStyle27"/>
          <w:lang w:eastAsia="da-DK"/>
        </w:rPr>
        <w:t xml:space="preserve"> </w:t>
      </w:r>
      <w:hyperlink w:anchor="bookmark91" w:tooltip="Current Document" w:history="1">
        <w:r>
          <w:rPr>
            <w:rStyle w:val="CharStyle27"/>
            <w:lang w:eastAsia="da-DK"/>
          </w:rPr>
          <w:t>Jarníková, 2022a)</w:t>
        </w:r>
      </w:hyperlink>
      <w:r>
        <w:rPr>
          <w:rStyle w:val="CharStyle27"/>
          <w:lang w:eastAsia="da-DK"/>
        </w:rPr>
        <w:t xml:space="preserve">. SalishSeaCast results are available from the SalishSeaCast ERDDAP server </w:t>
      </w:r>
      <w:hyperlink r:id="rId45" w:history="1">
        <w:r>
          <w:rPr>
            <w:rStyle w:val="CharStyle27"/>
            <w:lang w:eastAsia="da-DK"/>
          </w:rPr>
          <w:t>(https://salishsea.eos.ubc.ca/</w:t>
        </w:r>
      </w:hyperlink>
      <w:r>
        <w:rPr>
          <w:rStyle w:val="CharStyle27"/>
          <w:lang w:eastAsia="da-DK"/>
        </w:rPr>
        <w:t xml:space="preserve"> </w:t>
      </w:r>
      <w:hyperlink r:id="rId46" w:history="1">
        <w:r>
          <w:rPr>
            <w:rStyle w:val="CharStyle27"/>
            <w:lang w:eastAsia="da-DK"/>
          </w:rPr>
          <w:t>erddap/index.html,</w:t>
        </w:r>
      </w:hyperlink>
      <w:hyperlink w:anchor="bookmark127" w:tooltip="Current Document" w:history="1">
        <w:r>
          <w:rPr>
            <w:rStyle w:val="CharStyle27"/>
            <w:lang w:eastAsia="da-DK"/>
          </w:rPr>
          <w:t xml:space="preserve"> SalishSeaCast Project Contributors, 2022)</w:t>
        </w:r>
      </w:hyperlink>
      <w:r>
        <w:rPr>
          <w:rStyle w:val="CharStyle27"/>
          <w:lang w:eastAsia="da-DK"/>
        </w:rPr>
        <w:t xml:space="preserve">. Observational data used in the model evaluation are </w:t>
      </w:r>
      <w:r>
        <w:rPr>
          <w:rStyle w:val="CharStyle27"/>
          <w:lang w:val="en-US" w:eastAsia="en-US"/>
        </w:rPr>
        <w:t>avail</w:t>
      </w:r>
      <w:r>
        <w:rPr>
          <w:rStyle w:val="CharStyle27"/>
          <w:lang w:val="en-US" w:eastAsia="en-US"/>
        </w:rPr>
        <w:softHyphen/>
        <w:t>able</w:t>
      </w:r>
      <w:r>
        <w:rPr>
          <w:rStyle w:val="CharStyle27"/>
          <w:lang w:eastAsia="da-DK"/>
        </w:rPr>
        <w:t xml:space="preserve"> online from the Department of Fisheries and Oceans Canada (DFO):</w:t>
      </w:r>
      <w:hyperlink r:id="rId47" w:history="1">
        <w:r>
          <w:rPr>
            <w:rStyle w:val="CharStyle27"/>
            <w:lang w:eastAsia="da-DK"/>
          </w:rPr>
          <w:t xml:space="preserve"> https://www.pac.dfo-mpo.gc.ca/science/oceans/</w:t>
        </w:r>
      </w:hyperlink>
      <w:r>
        <w:rPr>
          <w:rStyle w:val="CharStyle27"/>
          <w:lang w:eastAsia="da-DK"/>
        </w:rPr>
        <w:t xml:space="preserve"> </w:t>
      </w:r>
      <w:hyperlink r:id="rId48" w:history="1">
        <w:r>
          <w:rPr>
            <w:rStyle w:val="CharStyle27"/>
            <w:lang w:eastAsia="da-DK"/>
          </w:rPr>
          <w:t xml:space="preserve">data-donnees/index-eng.html </w:t>
        </w:r>
      </w:hyperlink>
      <w:hyperlink w:anchor="bookmark66" w:tooltip="Current Document" w:history="1">
        <w:r>
          <w:rPr>
            <w:rStyle w:val="CharStyle27"/>
            <w:lang w:eastAsia="da-DK"/>
          </w:rPr>
          <w:t>(DFO, 2016)</w:t>
        </w:r>
      </w:hyperlink>
      <w:r>
        <w:rPr>
          <w:rStyle w:val="CharStyle27"/>
          <w:lang w:eastAsia="da-DK"/>
        </w:rPr>
        <w:t xml:space="preserve">. More information about SalishSeaCast can be found on the project web page </w:t>
      </w:r>
      <w:hyperlink r:id="rId49" w:history="1">
        <w:r>
          <w:rPr>
            <w:rStyle w:val="CharStyle27"/>
            <w:lang w:eastAsia="da-DK"/>
          </w:rPr>
          <w:t>(https://salishsea.eos.ubc.ca,</w:t>
        </w:r>
      </w:hyperlink>
      <w:r>
        <w:rPr>
          <w:rStyle w:val="CharStyle27"/>
          <w:lang w:eastAsia="da-DK"/>
        </w:rPr>
        <w:t xml:space="preserve"> last access: 10 May 2022). The model source code is available at</w:t>
      </w:r>
      <w:hyperlink r:id="rId50" w:history="1">
        <w:r>
          <w:rPr>
            <w:rStyle w:val="CharStyle27"/>
            <w:lang w:eastAsia="da-DK"/>
          </w:rPr>
          <w:t xml:space="preserve"> https://doi.org/10.5281/zenodo.7144812,</w:t>
        </w:r>
      </w:hyperlink>
      <w:r>
        <w:rPr>
          <w:rStyle w:val="CharStyle27"/>
          <w:lang w:eastAsia="da-DK"/>
        </w:rPr>
        <w:t xml:space="preserve"> </w:t>
      </w:r>
      <w:hyperlink w:anchor="bookmark93" w:tooltip="Current Document" w:history="1">
        <w:r>
          <w:rPr>
            <w:rStyle w:val="CharStyle27"/>
            <w:lang w:eastAsia="da-DK"/>
          </w:rPr>
          <w:t>(Jarníková, 2022b)</w:t>
        </w:r>
      </w:hyperlink>
      <w:r>
        <w:rPr>
          <w:rStyle w:val="CharStyle27"/>
          <w:lang w:eastAsia="da-DK"/>
        </w:rPr>
        <w:t>.</w:t>
      </w:r>
    </w:p>
    <w:p w14:paraId="5E09439D" w14:textId="77777777" w:rsidR="0074324D" w:rsidRDefault="0074324D">
      <w:pPr>
        <w:pStyle w:val="Style26"/>
        <w:spacing w:after="440" w:line="307" w:lineRule="auto"/>
        <w:ind w:left="0" w:firstLine="0"/>
        <w:jc w:val="both"/>
        <w:rPr>
          <w:rFonts w:ascii="Times New Roman" w:hAnsi="Times New Roman" w:cs="Times New Roman"/>
          <w:sz w:val="24"/>
          <w:szCs w:val="24"/>
        </w:rPr>
      </w:pPr>
      <w:r>
        <w:rPr>
          <w:rStyle w:val="CharStyle27"/>
          <w:i/>
          <w:iCs/>
          <w:sz w:val="14"/>
          <w:szCs w:val="14"/>
          <w:lang w:eastAsia="da-DK"/>
        </w:rPr>
        <w:t>Author contributions.</w:t>
      </w:r>
      <w:r>
        <w:rPr>
          <w:rStyle w:val="CharStyle27"/>
          <w:lang w:eastAsia="da-DK"/>
        </w:rPr>
        <w:t xml:space="preserve"> TJ developed the cluster analysis with </w:t>
      </w:r>
      <w:r>
        <w:rPr>
          <w:rStyle w:val="CharStyle27"/>
          <w:lang w:val="en-US" w:eastAsia="en-US"/>
        </w:rPr>
        <w:t>sig</w:t>
      </w:r>
      <w:r>
        <w:rPr>
          <w:rStyle w:val="CharStyle27"/>
          <w:lang w:val="en-US" w:eastAsia="en-US"/>
        </w:rPr>
        <w:softHyphen/>
        <w:t>nificant</w:t>
      </w:r>
      <w:r>
        <w:rPr>
          <w:rStyle w:val="CharStyle27"/>
          <w:lang w:eastAsia="da-DK"/>
        </w:rPr>
        <w:t xml:space="preserve"> input from SEA and DI. EMO developed and tuned the </w:t>
      </w:r>
      <w:r>
        <w:rPr>
          <w:rStyle w:val="CharStyle27"/>
          <w:lang w:val="en-US" w:eastAsia="en-US"/>
        </w:rPr>
        <w:t>bio</w:t>
      </w:r>
      <w:r>
        <w:rPr>
          <w:rStyle w:val="CharStyle27"/>
          <w:lang w:val="en-US" w:eastAsia="en-US"/>
        </w:rPr>
        <w:softHyphen/>
        <w:t>logical</w:t>
      </w:r>
      <w:r>
        <w:rPr>
          <w:rStyle w:val="CharStyle27"/>
          <w:lang w:eastAsia="da-DK"/>
        </w:rPr>
        <w:t xml:space="preserve"> model and developed the basis for the model evaluation. TJ wrote the paper </w:t>
      </w:r>
      <w:r>
        <w:rPr>
          <w:rStyle w:val="CharStyle27"/>
          <w:lang w:eastAsia="da-DK"/>
        </w:rPr>
        <w:t>with significant scientific input from EMO, SEA, DI, and KDS. TJ is supervised by SEA and DI.</w:t>
      </w:r>
    </w:p>
    <w:p w14:paraId="2473C656" w14:textId="77777777" w:rsidR="0074324D" w:rsidRDefault="0074324D">
      <w:pPr>
        <w:pStyle w:val="Style26"/>
        <w:spacing w:after="440" w:line="307" w:lineRule="auto"/>
        <w:ind w:left="0" w:firstLine="0"/>
        <w:jc w:val="both"/>
        <w:rPr>
          <w:rFonts w:ascii="Times New Roman" w:hAnsi="Times New Roman" w:cs="Times New Roman"/>
          <w:sz w:val="24"/>
          <w:szCs w:val="24"/>
        </w:rPr>
      </w:pPr>
      <w:r>
        <w:rPr>
          <w:rStyle w:val="CharStyle27"/>
          <w:i/>
          <w:iCs/>
          <w:sz w:val="14"/>
          <w:szCs w:val="14"/>
          <w:lang w:eastAsia="da-DK"/>
        </w:rPr>
        <w:t>Competing interests.</w:t>
      </w:r>
      <w:r>
        <w:rPr>
          <w:rStyle w:val="CharStyle27"/>
          <w:lang w:eastAsia="da-DK"/>
        </w:rPr>
        <w:t xml:space="preserve"> The contact author has declared that neither they nor their co-authors have any competing interests.</w:t>
      </w:r>
    </w:p>
    <w:p w14:paraId="088CA517" w14:textId="77777777" w:rsidR="0074324D" w:rsidRDefault="0074324D">
      <w:pPr>
        <w:pStyle w:val="Style26"/>
        <w:spacing w:after="440"/>
        <w:ind w:left="0" w:firstLine="0"/>
        <w:jc w:val="both"/>
        <w:rPr>
          <w:rFonts w:ascii="Times New Roman" w:hAnsi="Times New Roman" w:cs="Times New Roman"/>
          <w:sz w:val="24"/>
          <w:szCs w:val="24"/>
        </w:rPr>
      </w:pPr>
      <w:r>
        <w:rPr>
          <w:rStyle w:val="CharStyle27"/>
          <w:i/>
          <w:iCs/>
          <w:sz w:val="14"/>
          <w:szCs w:val="14"/>
          <w:lang w:eastAsia="da-DK"/>
        </w:rPr>
        <w:t>Disclaimer.</w:t>
      </w:r>
      <w:r>
        <w:rPr>
          <w:rStyle w:val="CharStyle27"/>
          <w:lang w:eastAsia="da-DK"/>
        </w:rPr>
        <w:t xml:space="preserve"> Publisher’s note: Copernicus</w:t>
      </w:r>
      <w:r>
        <w:rPr>
          <w:rStyle w:val="CharStyle27"/>
          <w:lang w:eastAsia="da-DK"/>
        </w:rPr>
        <w:t xml:space="preserve"> Publications remains neutral with regard to jurisdictional claims in published maps and institutional affiliations.</w:t>
      </w:r>
    </w:p>
    <w:p w14:paraId="16A620A6" w14:textId="77777777" w:rsidR="0074324D" w:rsidRDefault="0074324D">
      <w:pPr>
        <w:pStyle w:val="Style26"/>
        <w:spacing w:after="440"/>
        <w:ind w:left="0" w:firstLine="0"/>
        <w:jc w:val="both"/>
        <w:rPr>
          <w:rFonts w:ascii="Times New Roman" w:hAnsi="Times New Roman" w:cs="Times New Roman"/>
          <w:sz w:val="24"/>
          <w:szCs w:val="24"/>
        </w:rPr>
      </w:pPr>
      <w:bookmarkStart w:id="33" w:name="bookmark65"/>
      <w:bookmarkStart w:id="34" w:name="bookmark66"/>
      <w:r>
        <w:rPr>
          <w:rStyle w:val="CharStyle27"/>
          <w:i/>
          <w:iCs/>
          <w:sz w:val="14"/>
          <w:szCs w:val="14"/>
          <w:lang w:eastAsia="da-DK"/>
        </w:rPr>
        <w:t>Acknowledgements.</w:t>
      </w:r>
      <w:r>
        <w:rPr>
          <w:rStyle w:val="CharStyle27"/>
          <w:lang w:eastAsia="da-DK"/>
        </w:rPr>
        <w:t xml:space="preserve"> The SalishSeaCast software environment was developed by Doug Latornell. Tereza Jarníková thanks Valentina Radic for the insightful data science course that inspired the concept of the </w:t>
      </w:r>
      <w:r>
        <w:rPr>
          <w:rStyle w:val="CharStyle27"/>
          <w:lang w:eastAsia="da-DK"/>
        </w:rPr>
        <w:lastRenderedPageBreak/>
        <w:t xml:space="preserve">study, as well as the Mesoscale Ocean and </w:t>
      </w:r>
      <w:r>
        <w:rPr>
          <w:rStyle w:val="CharStyle27"/>
          <w:lang w:val="en-US" w:eastAsia="en-US"/>
        </w:rPr>
        <w:t>At</w:t>
      </w:r>
      <w:r>
        <w:rPr>
          <w:rStyle w:val="CharStyle27"/>
          <w:lang w:val="en-US" w:eastAsia="en-US"/>
        </w:rPr>
        <w:softHyphen/>
        <w:t>mospheric</w:t>
      </w:r>
      <w:r>
        <w:rPr>
          <w:rStyle w:val="CharStyle27"/>
          <w:lang w:eastAsia="da-DK"/>
        </w:rPr>
        <w:t xml:space="preserve"> Dynamics group at the University of British Columbia for the collegial atmosphere and valuable feedback.</w:t>
      </w:r>
      <w:bookmarkEnd w:id="33"/>
      <w:bookmarkEnd w:id="34"/>
    </w:p>
    <w:p w14:paraId="7E3F4A1B" w14:textId="77777777" w:rsidR="0074324D" w:rsidRDefault="0074324D">
      <w:pPr>
        <w:pStyle w:val="Style26"/>
        <w:spacing w:after="440" w:line="307" w:lineRule="auto"/>
        <w:ind w:left="0" w:firstLine="0"/>
        <w:jc w:val="both"/>
        <w:rPr>
          <w:rFonts w:ascii="Times New Roman" w:hAnsi="Times New Roman" w:cs="Times New Roman"/>
          <w:sz w:val="24"/>
          <w:szCs w:val="24"/>
        </w:rPr>
      </w:pPr>
      <w:r>
        <w:rPr>
          <w:rStyle w:val="CharStyle27"/>
          <w:i/>
          <w:iCs/>
          <w:sz w:val="14"/>
          <w:szCs w:val="14"/>
          <w:lang w:eastAsia="da-DK"/>
        </w:rPr>
        <w:t>Financial support.</w:t>
      </w:r>
      <w:r>
        <w:rPr>
          <w:rStyle w:val="CharStyle27"/>
          <w:lang w:eastAsia="da-DK"/>
        </w:rPr>
        <w:t xml:space="preserve"> This work was funded by the Marine </w:t>
      </w:r>
      <w:r>
        <w:rPr>
          <w:rStyle w:val="CharStyle27"/>
          <w:lang w:val="en-US" w:eastAsia="en-US"/>
        </w:rPr>
        <w:t>Environ</w:t>
      </w:r>
      <w:r>
        <w:rPr>
          <w:rStyle w:val="CharStyle27"/>
          <w:lang w:val="en-US" w:eastAsia="en-US"/>
        </w:rPr>
        <w:softHyphen/>
        <w:t>mental</w:t>
      </w:r>
      <w:r>
        <w:rPr>
          <w:rStyle w:val="CharStyle27"/>
          <w:lang w:eastAsia="da-DK"/>
        </w:rPr>
        <w:t xml:space="preserve"> Observation, Prediction and Response (MEOPAR) Netwo</w:t>
      </w:r>
      <w:bookmarkStart w:id="35" w:name="bookmark69"/>
      <w:r>
        <w:rPr>
          <w:rStyle w:val="CharStyle27"/>
          <w:lang w:eastAsia="da-DK"/>
        </w:rPr>
        <w:t>r</w:t>
      </w:r>
      <w:bookmarkEnd w:id="35"/>
      <w:r>
        <w:rPr>
          <w:rStyle w:val="CharStyle27"/>
          <w:lang w:eastAsia="da-DK"/>
        </w:rPr>
        <w:t>k of Canada (grant numbers 1.2, 7.2, and 65.9), as well as by the Natural Sciences and Engineering Research Council of Canada (NSERC) Discovery Grant (grant number RGPIN-2016-03865) a</w:t>
      </w:r>
      <w:bookmarkStart w:id="36" w:name="bookmark70"/>
      <w:r>
        <w:rPr>
          <w:rStyle w:val="CharStyle27"/>
          <w:lang w:eastAsia="da-DK"/>
        </w:rPr>
        <w:t>n</w:t>
      </w:r>
      <w:bookmarkEnd w:id="36"/>
      <w:r>
        <w:rPr>
          <w:rStyle w:val="CharStyle27"/>
          <w:lang w:eastAsia="da-DK"/>
        </w:rPr>
        <w:t>d the Government of Canada’s Aquatic Climate Change Adaptation and Services Program (ACCASP). Computational resources were provided by Compute Canada for hindcast runs (grant numbers FT520, RRG2648, and RRG2969). Tereza Jarníková was partially funded by a personal Four-Year Fellowship through the Universi</w:t>
      </w:r>
      <w:bookmarkStart w:id="37" w:name="bookmark71"/>
      <w:r>
        <w:rPr>
          <w:rStyle w:val="CharStyle27"/>
          <w:lang w:eastAsia="da-DK"/>
        </w:rPr>
        <w:t>t</w:t>
      </w:r>
      <w:bookmarkEnd w:id="37"/>
      <w:r>
        <w:rPr>
          <w:rStyle w:val="CharStyle27"/>
          <w:lang w:eastAsia="da-DK"/>
        </w:rPr>
        <w:t>y of British Columbia.</w:t>
      </w:r>
    </w:p>
    <w:p w14:paraId="5D0AEACA" w14:textId="77777777" w:rsidR="0074324D" w:rsidRDefault="0074324D">
      <w:pPr>
        <w:pStyle w:val="Style26"/>
        <w:spacing w:after="720" w:line="307" w:lineRule="auto"/>
        <w:ind w:left="0" w:firstLine="0"/>
        <w:jc w:val="both"/>
        <w:rPr>
          <w:rFonts w:ascii="Times New Roman" w:hAnsi="Times New Roman" w:cs="Times New Roman"/>
          <w:sz w:val="24"/>
          <w:szCs w:val="24"/>
        </w:rPr>
      </w:pPr>
      <w:bookmarkStart w:id="38" w:name="bookmark72"/>
      <w:bookmarkStart w:id="39" w:name="bookmark73"/>
      <w:r>
        <w:rPr>
          <w:rStyle w:val="CharStyle27"/>
          <w:i/>
          <w:iCs/>
          <w:sz w:val="14"/>
          <w:szCs w:val="14"/>
          <w:lang w:eastAsia="da-DK"/>
        </w:rPr>
        <w:t>Review statement.</w:t>
      </w:r>
      <w:r>
        <w:rPr>
          <w:rStyle w:val="CharStyle27"/>
          <w:lang w:eastAsia="da-DK"/>
        </w:rPr>
        <w:t xml:space="preserve"> This paper was edited by Bernadette Sloyan and reviewed by Jennifer Jackson and one anonymous referee.</w:t>
      </w:r>
      <w:bookmarkEnd w:id="38"/>
      <w:bookmarkEnd w:id="39"/>
    </w:p>
    <w:p w14:paraId="06DE2054" w14:textId="77777777" w:rsidR="0074324D" w:rsidRDefault="0074324D">
      <w:pPr>
        <w:pStyle w:val="Style13"/>
        <w:keepNext/>
        <w:keepLines/>
        <w:spacing w:after="220" w:line="240" w:lineRule="auto"/>
        <w:jc w:val="both"/>
        <w:rPr>
          <w:rFonts w:ascii="Times New Roman" w:hAnsi="Times New Roman" w:cs="Times New Roman"/>
          <w:sz w:val="24"/>
          <w:szCs w:val="24"/>
        </w:rPr>
      </w:pPr>
      <w:bookmarkStart w:id="40" w:name="bookmark75"/>
      <w:r>
        <w:rPr>
          <w:rStyle w:val="CharStyle14"/>
          <w:lang w:eastAsia="da-DK"/>
        </w:rPr>
        <w:t>References</w:t>
      </w:r>
      <w:bookmarkEnd w:id="40"/>
    </w:p>
    <w:p w14:paraId="128ADAEF" w14:textId="77777777" w:rsidR="0074324D" w:rsidRDefault="0074324D">
      <w:pPr>
        <w:pStyle w:val="Style26"/>
        <w:jc w:val="both"/>
        <w:rPr>
          <w:rFonts w:ascii="Times New Roman" w:hAnsi="Times New Roman" w:cs="Times New Roman"/>
          <w:sz w:val="24"/>
          <w:szCs w:val="24"/>
        </w:rPr>
      </w:pPr>
      <w:bookmarkStart w:id="41" w:name="bookmark77"/>
      <w:bookmarkStart w:id="42" w:name="bookmark78"/>
      <w:r>
        <w:rPr>
          <w:rStyle w:val="CharStyle27"/>
          <w:lang w:eastAsia="da-DK"/>
        </w:rPr>
        <w:t xml:space="preserve">Allen, S. and Wolfe, M.: Hindcast of the timing of the spring </w:t>
      </w:r>
      <w:r>
        <w:rPr>
          <w:rStyle w:val="CharStyle27"/>
          <w:lang w:val="en-US" w:eastAsia="en-US"/>
        </w:rPr>
        <w:t>phy</w:t>
      </w:r>
      <w:r>
        <w:rPr>
          <w:rStyle w:val="CharStyle27"/>
          <w:lang w:val="en-US" w:eastAsia="en-US"/>
        </w:rPr>
        <w:softHyphen/>
        <w:t>toplankton</w:t>
      </w:r>
      <w:r>
        <w:rPr>
          <w:rStyle w:val="CharStyle27"/>
          <w:lang w:eastAsia="da-DK"/>
        </w:rPr>
        <w:t xml:space="preserve"> bloom in the Strait of Georgia, 1968–2010, Pro</w:t>
      </w:r>
      <w:bookmarkStart w:id="43" w:name="bookmark79"/>
      <w:r>
        <w:rPr>
          <w:rStyle w:val="CharStyle27"/>
          <w:lang w:eastAsia="da-DK"/>
        </w:rPr>
        <w:t>g</w:t>
      </w:r>
      <w:bookmarkEnd w:id="43"/>
      <w:r>
        <w:rPr>
          <w:rStyle w:val="CharStyle27"/>
          <w:lang w:eastAsia="da-DK"/>
        </w:rPr>
        <w:t>. Oceanogr., 115, 6–13, 2013.</w:t>
      </w:r>
      <w:bookmarkEnd w:id="41"/>
      <w:bookmarkEnd w:id="42"/>
    </w:p>
    <w:p w14:paraId="73FDC0F0" w14:textId="77777777" w:rsidR="0074324D" w:rsidRDefault="0074324D">
      <w:pPr>
        <w:pStyle w:val="Style26"/>
        <w:jc w:val="both"/>
        <w:rPr>
          <w:rFonts w:ascii="Times New Roman" w:hAnsi="Times New Roman" w:cs="Times New Roman"/>
          <w:sz w:val="24"/>
          <w:szCs w:val="24"/>
        </w:rPr>
      </w:pPr>
      <w:bookmarkStart w:id="44" w:name="bookmark80"/>
      <w:r>
        <w:rPr>
          <w:rStyle w:val="CharStyle27"/>
          <w:lang w:eastAsia="da-DK"/>
        </w:rPr>
        <w:t>Anderies, J. M. and Beisner, B. E.: Fluctuating environments and phytoplankton community structure: a stochastic model, Am. Nat., 155, 556–569, 2000.</w:t>
      </w:r>
      <w:bookmarkEnd w:id="44"/>
    </w:p>
    <w:p w14:paraId="68DFA747" w14:textId="77777777" w:rsidR="0074324D" w:rsidRDefault="0074324D">
      <w:pPr>
        <w:pStyle w:val="Style26"/>
        <w:jc w:val="both"/>
        <w:rPr>
          <w:rFonts w:ascii="Times New Roman" w:hAnsi="Times New Roman" w:cs="Times New Roman"/>
          <w:sz w:val="24"/>
          <w:szCs w:val="24"/>
        </w:rPr>
      </w:pPr>
      <w:bookmarkStart w:id="45" w:name="bookmark81"/>
      <w:bookmarkStart w:id="46" w:name="bookmark82"/>
      <w:bookmarkStart w:id="47" w:name="bookmark83"/>
      <w:r>
        <w:rPr>
          <w:rStyle w:val="CharStyle27"/>
          <w:lang w:eastAsia="da-DK"/>
        </w:rPr>
        <w:t xml:space="preserve">Boldt, J. L., Thompson, M., Rooper, C. N., Hay, D. E., Schweigert, J. F., Quinn II, T. J., Cleary, J. S., and Neville, C. M.: Bottom-up and top-down control of small pelagic forage fish: factors </w:t>
      </w:r>
      <w:r>
        <w:rPr>
          <w:rStyle w:val="CharStyle27"/>
          <w:lang w:val="en-US" w:eastAsia="en-US"/>
        </w:rPr>
        <w:t>affect</w:t>
      </w:r>
      <w:r>
        <w:rPr>
          <w:rStyle w:val="CharStyle27"/>
          <w:lang w:val="en-US" w:eastAsia="en-US"/>
        </w:rPr>
        <w:softHyphen/>
        <w:t>ing</w:t>
      </w:r>
      <w:r>
        <w:rPr>
          <w:rStyle w:val="CharStyle27"/>
          <w:lang w:eastAsia="da-DK"/>
        </w:rPr>
        <w:t xml:space="preserve"> age-0 herring in the Strait of Georgia, British Columbia, Mar. Ecol.-Prog. Ser., 617, 53–66, 2019.</w:t>
      </w:r>
      <w:bookmarkEnd w:id="45"/>
      <w:bookmarkEnd w:id="46"/>
      <w:bookmarkEnd w:id="47"/>
    </w:p>
    <w:p w14:paraId="672144CE" w14:textId="77777777" w:rsidR="0074324D" w:rsidRDefault="0074324D">
      <w:pPr>
        <w:pStyle w:val="Style26"/>
        <w:jc w:val="both"/>
        <w:rPr>
          <w:rFonts w:ascii="Times New Roman" w:hAnsi="Times New Roman" w:cs="Times New Roman"/>
          <w:sz w:val="24"/>
          <w:szCs w:val="24"/>
        </w:rPr>
      </w:pPr>
      <w:bookmarkStart w:id="48" w:name="bookmark84"/>
      <w:bookmarkStart w:id="49" w:name="bookmark85"/>
      <w:r>
        <w:rPr>
          <w:rStyle w:val="CharStyle27"/>
          <w:lang w:eastAsia="da-DK"/>
        </w:rPr>
        <w:t>Chandler, P. C., King, S. A., and Perry, R. I. (Eds.): State of the physical, biological and selected fishery resources of Pacific Canadian marine ecosystems in 2016, Department of Fisheries and Oceans, ISBN 978-0-660-09251-5, 2016.</w:t>
      </w:r>
      <w:bookmarkEnd w:id="48"/>
      <w:bookmarkEnd w:id="49"/>
    </w:p>
    <w:p w14:paraId="02596FE7" w14:textId="77777777" w:rsidR="0074324D" w:rsidRDefault="0074324D">
      <w:pPr>
        <w:pStyle w:val="Style26"/>
        <w:jc w:val="both"/>
        <w:rPr>
          <w:rFonts w:ascii="Times New Roman" w:hAnsi="Times New Roman" w:cs="Times New Roman"/>
          <w:sz w:val="24"/>
          <w:szCs w:val="24"/>
        </w:rPr>
      </w:pPr>
      <w:bookmarkStart w:id="50" w:name="bookmark86"/>
      <w:r>
        <w:rPr>
          <w:rStyle w:val="CharStyle27"/>
          <w:lang w:eastAsia="da-DK"/>
        </w:rPr>
        <w:t>Cloern, J. E. and Dufford, R.: Phytoplankton community ecolog</w:t>
      </w:r>
      <w:bookmarkStart w:id="51" w:name="bookmark87"/>
      <w:r>
        <w:rPr>
          <w:rStyle w:val="CharStyle27"/>
          <w:lang w:eastAsia="da-DK"/>
        </w:rPr>
        <w:t>y</w:t>
      </w:r>
      <w:bookmarkEnd w:id="51"/>
      <w:r>
        <w:rPr>
          <w:rStyle w:val="CharStyle27"/>
          <w:lang w:eastAsia="da-DK"/>
        </w:rPr>
        <w:t>: principles applied in San Francisco Bay, Mar. Ecol.-Prog. Ser., 285, 11–28, 2005.</w:t>
      </w:r>
      <w:bookmarkEnd w:id="50"/>
    </w:p>
    <w:p w14:paraId="3C2694F6" w14:textId="77777777" w:rsidR="0074324D" w:rsidRDefault="0074324D">
      <w:pPr>
        <w:pStyle w:val="Style26"/>
        <w:jc w:val="both"/>
        <w:rPr>
          <w:rFonts w:ascii="Times New Roman" w:hAnsi="Times New Roman" w:cs="Times New Roman"/>
          <w:sz w:val="24"/>
          <w:szCs w:val="24"/>
        </w:rPr>
      </w:pPr>
      <w:bookmarkStart w:id="52" w:name="bookmark88"/>
      <w:bookmarkStart w:id="53" w:name="bookmark89"/>
      <w:r>
        <w:rPr>
          <w:rStyle w:val="CharStyle27"/>
          <w:lang w:eastAsia="da-DK"/>
        </w:rPr>
        <w:t>Collins, A. K., Allen, S. E., and Pawlowicz, R.: The role of wind in determining the timing of the spring bloom in the Strait of Georgia, Can. J. Fish. Aquat. Sci., 66, 1597–1616, 2009.</w:t>
      </w:r>
      <w:bookmarkEnd w:id="52"/>
      <w:bookmarkEnd w:id="53"/>
    </w:p>
    <w:p w14:paraId="2F2D6302" w14:textId="77777777" w:rsidR="0074324D" w:rsidRDefault="0074324D">
      <w:pPr>
        <w:pStyle w:val="Style26"/>
        <w:jc w:val="both"/>
        <w:rPr>
          <w:rFonts w:ascii="Times New Roman" w:hAnsi="Times New Roman" w:cs="Times New Roman"/>
          <w:sz w:val="24"/>
          <w:szCs w:val="24"/>
        </w:rPr>
      </w:pPr>
      <w:bookmarkStart w:id="54" w:name="bookmark90"/>
      <w:bookmarkStart w:id="55" w:name="bookmark91"/>
      <w:r>
        <w:rPr>
          <w:rStyle w:val="CharStyle27"/>
          <w:lang w:eastAsia="da-DK"/>
        </w:rPr>
        <w:t>Crean, P.: A Numerical Model of Barotropic Mixed Tides Between Vancouver Island and the Mainland and its Relation to Studies of the Estuarine Circulation, Elsev. Oceanogr. Serie., 23, 283–313, 1978.</w:t>
      </w:r>
      <w:bookmarkEnd w:id="54"/>
      <w:bookmarkEnd w:id="55"/>
    </w:p>
    <w:p w14:paraId="7B3C12B3" w14:textId="77777777" w:rsidR="0074324D" w:rsidRDefault="0074324D">
      <w:pPr>
        <w:pStyle w:val="Style26"/>
        <w:jc w:val="both"/>
        <w:rPr>
          <w:rFonts w:ascii="Times New Roman" w:hAnsi="Times New Roman" w:cs="Times New Roman"/>
          <w:sz w:val="24"/>
          <w:szCs w:val="24"/>
        </w:rPr>
      </w:pPr>
      <w:bookmarkStart w:id="56" w:name="bookmark92"/>
      <w:bookmarkStart w:id="57" w:name="bookmark93"/>
      <w:r>
        <w:rPr>
          <w:rStyle w:val="CharStyle27"/>
          <w:lang w:eastAsia="da-DK"/>
        </w:rPr>
        <w:t>Del Bel Belluz, J., Peña, M. A., Jackson, J. M., and Nemcek, N.: Phytoplankton Composition and Environmental Drivers in the Northern Strait of Georgia (Salish Sea), British Columbia, Canada, Estuar. Coast., 44, 1419–1439, 2021.</w:t>
      </w:r>
      <w:bookmarkEnd w:id="56"/>
      <w:bookmarkEnd w:id="57"/>
    </w:p>
    <w:p w14:paraId="4AA64819" w14:textId="77777777" w:rsidR="0074324D" w:rsidRDefault="0074324D">
      <w:pPr>
        <w:pStyle w:val="Style26"/>
        <w:jc w:val="both"/>
        <w:rPr>
          <w:rFonts w:ascii="Times New Roman" w:hAnsi="Times New Roman" w:cs="Times New Roman"/>
          <w:sz w:val="24"/>
          <w:szCs w:val="24"/>
        </w:rPr>
      </w:pPr>
      <w:bookmarkStart w:id="58" w:name="bookmark94"/>
      <w:r>
        <w:rPr>
          <w:rStyle w:val="CharStyle27"/>
          <w:lang w:eastAsia="da-DK"/>
        </w:rPr>
        <w:t xml:space="preserve">Deppe, R. W., Thomson, J., Polagye, B., and Krembs, C.: Predicting deep water intrusions to Puget Sound, WA (USA), and the sea- </w:t>
      </w:r>
      <w:bookmarkEnd w:id="58"/>
      <w:r>
        <w:rPr>
          <w:rStyle w:val="CharStyle27"/>
          <w:lang w:eastAsia="da-DK"/>
        </w:rPr>
        <w:t>sonal modulation of dissolved oxygen, Estuar. Coast., 41, 114– 127, 2018.</w:t>
      </w:r>
    </w:p>
    <w:p w14:paraId="6828D6A6"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DFO: Institute of Ocean Sciences Data Archive, Ocean Sciences Division, Department of Fisheries and Oceans Canada [data set], </w:t>
      </w:r>
      <w:hyperlink r:id="rId51" w:history="1">
        <w:r>
          <w:rPr>
            <w:rStyle w:val="CharStyle27"/>
            <w:lang w:eastAsia="da-DK"/>
          </w:rPr>
          <w:t>https://www.pac.dfo-mpo.gc.ca/science/oceans/data-donnees/</w:t>
        </w:r>
      </w:hyperlink>
      <w:r>
        <w:rPr>
          <w:rStyle w:val="CharStyle27"/>
          <w:lang w:eastAsia="da-DK"/>
        </w:rPr>
        <w:t xml:space="preserve"> </w:t>
      </w:r>
      <w:hyperlink r:id="rId52" w:history="1">
        <w:r>
          <w:rPr>
            <w:rStyle w:val="CharStyle27"/>
            <w:lang w:eastAsia="da-DK"/>
          </w:rPr>
          <w:t xml:space="preserve">index-eng.html </w:t>
        </w:r>
      </w:hyperlink>
      <w:r>
        <w:rPr>
          <w:rStyle w:val="CharStyle27"/>
          <w:lang w:eastAsia="da-DK"/>
        </w:rPr>
        <w:t>(last acces: 10 February 2020), 2016.</w:t>
      </w:r>
    </w:p>
    <w:p w14:paraId="01BF89E8" w14:textId="77777777" w:rsidR="0074324D" w:rsidRDefault="0074324D">
      <w:pPr>
        <w:pStyle w:val="Style26"/>
        <w:tabs>
          <w:tab w:val="left" w:pos="1167"/>
          <w:tab w:val="left" w:pos="4162"/>
        </w:tabs>
        <w:spacing w:line="307" w:lineRule="auto"/>
        <w:jc w:val="both"/>
        <w:rPr>
          <w:rFonts w:ascii="Times New Roman" w:hAnsi="Times New Roman" w:cs="Times New Roman"/>
          <w:sz w:val="24"/>
          <w:szCs w:val="24"/>
        </w:rPr>
      </w:pPr>
      <w:r>
        <w:rPr>
          <w:rStyle w:val="CharStyle27"/>
          <w:lang w:eastAsia="da-DK"/>
        </w:rPr>
        <w:t xml:space="preserve">Dutkiewicz, S., Follows, M. J., and Bragg, J. G.: </w:t>
      </w:r>
      <w:r>
        <w:rPr>
          <w:rStyle w:val="CharStyle27"/>
          <w:lang w:val="en-US" w:eastAsia="en-US"/>
        </w:rPr>
        <w:t>Mod</w:t>
      </w:r>
      <w:r>
        <w:rPr>
          <w:rStyle w:val="CharStyle27"/>
          <w:lang w:val="en-US" w:eastAsia="en-US"/>
        </w:rPr>
        <w:softHyphen/>
        <w:t>eling</w:t>
      </w:r>
      <w:r>
        <w:rPr>
          <w:rStyle w:val="CharStyle27"/>
          <w:lang w:eastAsia="da-DK"/>
        </w:rPr>
        <w:t xml:space="preserve"> the</w:t>
      </w:r>
      <w:r>
        <w:rPr>
          <w:rStyle w:val="CharStyle27"/>
          <w:lang w:eastAsia="da-DK"/>
        </w:rPr>
        <w:tab/>
        <w:t xml:space="preserve">coupling of ocean ecology and </w:t>
      </w:r>
      <w:r>
        <w:rPr>
          <w:rStyle w:val="CharStyle27"/>
          <w:lang w:val="en-US" w:eastAsia="en-US"/>
        </w:rPr>
        <w:t>biogeo</w:t>
      </w:r>
      <w:r>
        <w:rPr>
          <w:rStyle w:val="CharStyle27"/>
          <w:lang w:val="en-US" w:eastAsia="en-US"/>
        </w:rPr>
        <w:softHyphen/>
        <w:t>chemistry,</w:t>
      </w:r>
      <w:r>
        <w:rPr>
          <w:rStyle w:val="CharStyle27"/>
          <w:lang w:eastAsia="da-DK"/>
        </w:rPr>
        <w:tab/>
        <w:t>Global Biogeochem. Cy., 23,</w:t>
      </w:r>
      <w:r>
        <w:rPr>
          <w:rStyle w:val="CharStyle27"/>
          <w:lang w:eastAsia="da-DK"/>
        </w:rPr>
        <w:tab/>
        <w:t xml:space="preserve">GB4017, </w:t>
      </w:r>
      <w:hyperlink r:id="rId53" w:history="1">
        <w:r>
          <w:rPr>
            <w:rStyle w:val="CharStyle27"/>
            <w:lang w:eastAsia="da-DK"/>
          </w:rPr>
          <w:t>https://doi.org/10.1029/2008GB003405,</w:t>
        </w:r>
      </w:hyperlink>
      <w:r>
        <w:rPr>
          <w:rStyle w:val="CharStyle27"/>
          <w:lang w:eastAsia="da-DK"/>
        </w:rPr>
        <w:t xml:space="preserve"> 2009.</w:t>
      </w:r>
    </w:p>
    <w:p w14:paraId="2C1A3677"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Ebbesmeyer, C. C. and Barnes, C. A.: Control of a fjord basin’s dynamics by tidal mixing in embracing sill zones, Estuar. Coast. Mar. Sci., 11, 311–330, 1980.</w:t>
      </w:r>
    </w:p>
    <w:p w14:paraId="04A83B05"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Evans, W., Pocock, K., Hare, A., Weekes, C., Hales, B., Jackson, J., Gurney-Smith, H., Mathis, J. T., Alin, S. R., and Feely, R. A.: Marine CO</w:t>
      </w:r>
      <w:r>
        <w:rPr>
          <w:rStyle w:val="CharStyle27"/>
          <w:vertAlign w:val="subscript"/>
          <w:lang w:eastAsia="da-DK"/>
        </w:rPr>
        <w:t>2</w:t>
      </w:r>
      <w:r>
        <w:rPr>
          <w:rStyle w:val="CharStyle27"/>
          <w:lang w:eastAsia="da-DK"/>
        </w:rPr>
        <w:t xml:space="preserve"> patterns in the northern Salish Sea, Frontiers in Ma</w:t>
      </w:r>
      <w:r>
        <w:rPr>
          <w:rStyle w:val="CharStyle27"/>
          <w:lang w:eastAsia="da-DK"/>
        </w:rPr>
        <w:softHyphen/>
        <w:t xml:space="preserve">rine Science, 5, 536, </w:t>
      </w:r>
      <w:hyperlink r:id="rId54" w:history="1">
        <w:r>
          <w:rPr>
            <w:rStyle w:val="CharStyle27"/>
            <w:lang w:eastAsia="da-DK"/>
          </w:rPr>
          <w:t>https://doi.org/10.3389/fmars.2018.00536,</w:t>
        </w:r>
      </w:hyperlink>
      <w:r>
        <w:rPr>
          <w:rStyle w:val="CharStyle27"/>
          <w:lang w:eastAsia="da-DK"/>
        </w:rPr>
        <w:t xml:space="preserve"> 2019.</w:t>
      </w:r>
    </w:p>
    <w:p w14:paraId="44ECD362"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Field, C. B., Behrenfeld, M. J., Randerson, J. T., and Falkowski, P.: Primary production of the biosphere: integrating terrestrial and oceanic components, Science, 281, 237–240, 1998.</w:t>
      </w:r>
    </w:p>
    <w:p w14:paraId="4C7622A7"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Fischer, H., List, E., Koh,</w:t>
      </w:r>
      <w:r>
        <w:rPr>
          <w:rStyle w:val="CharStyle27"/>
          <w:lang w:eastAsia="da-DK"/>
        </w:rPr>
        <w:t xml:space="preserve"> R., Imberger, J., and Brooks, N.: Mixing in inland and coastal waters, Academic Press, ISBN 978-0-08</w:t>
      </w:r>
      <w:r>
        <w:rPr>
          <w:rStyle w:val="CharStyle27"/>
          <w:lang w:eastAsia="da-DK"/>
        </w:rPr>
        <w:softHyphen/>
        <w:t>051177-1, 1979.</w:t>
      </w:r>
    </w:p>
    <w:p w14:paraId="6B1C4884"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Follows, M. J., Dutkiewicz, S., Grant, S., and Chisholm, S. W.: Emergent biogeography of microbial communities in a model ocean, Science, 315, 1843–1846, 2007.</w:t>
      </w:r>
    </w:p>
    <w:p w14:paraId="3716E6B7"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Gentemann, C. L., Fewings, M. R., and García-Reyes, M.: </w:t>
      </w:r>
      <w:r>
        <w:rPr>
          <w:rStyle w:val="CharStyle27"/>
          <w:lang w:val="en-US" w:eastAsia="en-US"/>
        </w:rPr>
        <w:t>Satel</w:t>
      </w:r>
      <w:r>
        <w:rPr>
          <w:rStyle w:val="CharStyle27"/>
          <w:lang w:val="en-US" w:eastAsia="en-US"/>
        </w:rPr>
        <w:softHyphen/>
        <w:t>lite</w:t>
      </w:r>
      <w:r>
        <w:rPr>
          <w:rStyle w:val="CharStyle27"/>
          <w:lang w:eastAsia="da-DK"/>
        </w:rPr>
        <w:t xml:space="preserve"> sea surface temperatures along the West Coast of the United States during the 2014–2016 northeast Pacific marine heat wave, Geophys. Res. Lett., 44, 312–319, 2017.</w:t>
      </w:r>
    </w:p>
    <w:p w14:paraId="049DD094"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Giddings, S. N. and MacCready, P.: Reverse Estuarine Circulation Due to Local and Remote Wind Forcing, Enhanced by the </w:t>
      </w:r>
      <w:r>
        <w:rPr>
          <w:rStyle w:val="CharStyle27"/>
          <w:lang w:val="en-US" w:eastAsia="en-US"/>
        </w:rPr>
        <w:t>Pres</w:t>
      </w:r>
      <w:r>
        <w:rPr>
          <w:rStyle w:val="CharStyle27"/>
          <w:lang w:val="en-US" w:eastAsia="en-US"/>
        </w:rPr>
        <w:softHyphen/>
        <w:t>ence</w:t>
      </w:r>
      <w:r>
        <w:rPr>
          <w:rStyle w:val="CharStyle27"/>
          <w:lang w:eastAsia="da-DK"/>
        </w:rPr>
        <w:t xml:space="preserve"> of Along-Coast Estuaries, J. Geophys. Res.-Oceans, 122, 10184–10205, </w:t>
      </w:r>
      <w:hyperlink r:id="rId55" w:history="1">
        <w:r>
          <w:rPr>
            <w:rStyle w:val="CharStyle27"/>
            <w:lang w:eastAsia="da-DK"/>
          </w:rPr>
          <w:t>https://doi.org/10.1002/2016JC012479,</w:t>
        </w:r>
      </w:hyperlink>
      <w:r>
        <w:rPr>
          <w:rStyle w:val="CharStyle27"/>
          <w:lang w:eastAsia="da-DK"/>
        </w:rPr>
        <w:t xml:space="preserve"> 2017.</w:t>
      </w:r>
    </w:p>
    <w:p w14:paraId="355765EE"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Gower, J., King, S., Statham, S., Fox, R., and Young, E.: The Malaspina Dragon: a newly-discovered pattern of the early spring bloom in the Strait of Georgia, British Columbia, Canada, Prog. Oceanogr., 115, 181–188, 2013.</w:t>
      </w:r>
    </w:p>
    <w:p w14:paraId="74EE1CB8"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Grover, J. P.: Resource competition in a variable environment: </w:t>
      </w:r>
      <w:r>
        <w:rPr>
          <w:rStyle w:val="CharStyle27"/>
          <w:lang w:val="en-US" w:eastAsia="en-US"/>
        </w:rPr>
        <w:t>phy</w:t>
      </w:r>
      <w:r>
        <w:rPr>
          <w:rStyle w:val="CharStyle27"/>
          <w:lang w:val="en-US" w:eastAsia="en-US"/>
        </w:rPr>
        <w:softHyphen/>
        <w:t>toplankton</w:t>
      </w:r>
      <w:r>
        <w:rPr>
          <w:rStyle w:val="CharStyle27"/>
          <w:lang w:eastAsia="da-DK"/>
        </w:rPr>
        <w:t xml:space="preserve"> growing according to Monod’s model, Am. Nat., 136, 771–789, 1990.</w:t>
      </w:r>
    </w:p>
    <w:p w14:paraId="6DD0C710"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Grover, J. P., HUDZIAK, J., and Grover, J. D.: Resource </w:t>
      </w:r>
      <w:r>
        <w:rPr>
          <w:rStyle w:val="CharStyle27"/>
          <w:lang w:val="en-US" w:eastAsia="en-US"/>
        </w:rPr>
        <w:t>competi</w:t>
      </w:r>
      <w:r>
        <w:rPr>
          <w:rStyle w:val="CharStyle27"/>
          <w:lang w:val="en-US" w:eastAsia="en-US"/>
        </w:rPr>
        <w:softHyphen/>
        <w:t>tion,</w:t>
      </w:r>
      <w:r>
        <w:rPr>
          <w:rStyle w:val="CharStyle27"/>
          <w:lang w:eastAsia="da-DK"/>
        </w:rPr>
        <w:t xml:space="preserve"> Vol. 19, Springer Science &amp; Business Media, ISBN 978-1</w:t>
      </w:r>
      <w:r>
        <w:rPr>
          <w:rStyle w:val="CharStyle27"/>
          <w:lang w:eastAsia="da-DK"/>
        </w:rPr>
        <w:softHyphen/>
        <w:t>4615-6397-6, 1997.</w:t>
      </w:r>
    </w:p>
    <w:p w14:paraId="7D719357"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Haigh, R. and Taylor, F.: Mosaicism of microplankton communities in the northern Strait of Georgia, British Columbia, Mar. Biol., 110, 301–314, 1991.</w:t>
      </w:r>
    </w:p>
    <w:p w14:paraId="092E6B6B"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Huisman, J., Sharples, J., Stroom, J. M., Visser, P. M., Kardinaal, W. E. A., Verspagen, J. M., and Sommeijer, B.: Changes in tur</w:t>
      </w:r>
      <w:r>
        <w:rPr>
          <w:rStyle w:val="CharStyle27"/>
          <w:lang w:eastAsia="da-DK"/>
        </w:rPr>
        <w:softHyphen/>
        <w:t>bulent mixing shift competition for light between phytoplankton species, Ecology, 85, 2960–2970, 2004.</w:t>
      </w:r>
    </w:p>
    <w:p w14:paraId="54DB9042"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Jarníková, T.: tjarnikova/CLUSTER_OS: Supplementary Code for Jarnikova et al. 2022 (v1.0.0), Zenodo [code], </w:t>
      </w:r>
      <w:hyperlink r:id="rId56" w:history="1">
        <w:r>
          <w:rPr>
            <w:rStyle w:val="CharStyle27"/>
            <w:lang w:eastAsia="da-DK"/>
          </w:rPr>
          <w:t>https://doi.org/10.5281/zenodo.7144696,</w:t>
        </w:r>
      </w:hyperlink>
      <w:r>
        <w:rPr>
          <w:rStyle w:val="CharStyle27"/>
          <w:lang w:eastAsia="da-DK"/>
        </w:rPr>
        <w:t xml:space="preserve"> 2022a.</w:t>
      </w:r>
    </w:p>
    <w:p w14:paraId="063A0A26" w14:textId="77777777" w:rsidR="0074324D" w:rsidRDefault="0074324D">
      <w:pPr>
        <w:pStyle w:val="Style26"/>
        <w:spacing w:line="307" w:lineRule="auto"/>
        <w:jc w:val="both"/>
        <w:rPr>
          <w:rFonts w:ascii="Times New Roman" w:hAnsi="Times New Roman" w:cs="Times New Roman"/>
          <w:sz w:val="24"/>
          <w:szCs w:val="24"/>
        </w:rPr>
      </w:pPr>
      <w:r>
        <w:rPr>
          <w:rStyle w:val="CharStyle27"/>
          <w:lang w:eastAsia="da-DK"/>
        </w:rPr>
        <w:t xml:space="preserve">Jarníková, T.: SalishSeaCast/NEMO-3.6-CLUSTER: Model Source Code for Jarnikova et al. 2022 (v1.0.0), Zenodo [code], </w:t>
      </w:r>
      <w:hyperlink r:id="rId57" w:history="1">
        <w:r>
          <w:rPr>
            <w:rStyle w:val="CharStyle27"/>
            <w:lang w:eastAsia="da-DK"/>
          </w:rPr>
          <w:t>https://doi.org/10.5281/zenodo.7144812,</w:t>
        </w:r>
      </w:hyperlink>
      <w:r>
        <w:rPr>
          <w:rStyle w:val="CharStyle27"/>
          <w:lang w:eastAsia="da-DK"/>
        </w:rPr>
        <w:t xml:space="preserve"> 2022b.</w:t>
      </w:r>
    </w:p>
    <w:p w14:paraId="7BA402EE" w14:textId="77777777" w:rsidR="0074324D" w:rsidRDefault="0074324D">
      <w:pPr>
        <w:pStyle w:val="Style26"/>
        <w:tabs>
          <w:tab w:val="left" w:pos="3542"/>
        </w:tabs>
        <w:jc w:val="both"/>
        <w:rPr>
          <w:rFonts w:ascii="Times New Roman" w:hAnsi="Times New Roman" w:cs="Times New Roman"/>
          <w:sz w:val="24"/>
          <w:szCs w:val="24"/>
        </w:rPr>
      </w:pPr>
      <w:bookmarkStart w:id="59" w:name="bookmark95"/>
      <w:bookmarkStart w:id="60" w:name="bookmark96"/>
      <w:bookmarkStart w:id="61" w:name="bookmark97"/>
      <w:r>
        <w:rPr>
          <w:rStyle w:val="CharStyle27"/>
          <w:lang w:eastAsia="da-DK"/>
        </w:rPr>
        <w:t xml:space="preserve">Keppler, L., Landschützer, P., Gruber, N., Lauvset, S., and Stemmler, I.: Seasonal Carbon Dynamics in the Near-Global Ocean, Global Biogeochem. Cy., 34, </w:t>
      </w:r>
      <w:hyperlink r:id="rId58" w:history="1">
        <w:r>
          <w:rPr>
            <w:rStyle w:val="CharStyle27"/>
            <w:lang w:eastAsia="da-DK"/>
          </w:rPr>
          <w:t>https://doi.org/10.1029/2020GB006571,</w:t>
        </w:r>
      </w:hyperlink>
      <w:r>
        <w:rPr>
          <w:rStyle w:val="CharStyle27"/>
          <w:lang w:eastAsia="da-DK"/>
        </w:rPr>
        <w:tab/>
        <w:t xml:space="preserve">e2020GB006571, </w:t>
      </w:r>
      <w:bookmarkEnd w:id="59"/>
      <w:bookmarkEnd w:id="60"/>
      <w:bookmarkEnd w:id="61"/>
      <w:r>
        <w:rPr>
          <w:rStyle w:val="CharStyle27"/>
          <w:lang w:eastAsia="da-DK"/>
        </w:rPr>
        <w:t>2020.</w:t>
      </w:r>
    </w:p>
    <w:p w14:paraId="5E116E54" w14:textId="77777777" w:rsidR="0074324D" w:rsidRDefault="0074324D">
      <w:pPr>
        <w:pStyle w:val="Style26"/>
        <w:jc w:val="both"/>
        <w:rPr>
          <w:rFonts w:ascii="Times New Roman" w:hAnsi="Times New Roman" w:cs="Times New Roman"/>
          <w:sz w:val="24"/>
          <w:szCs w:val="24"/>
        </w:rPr>
      </w:pPr>
      <w:bookmarkStart w:id="62" w:name="bookmark98"/>
      <w:bookmarkStart w:id="63" w:name="bookmark99"/>
      <w:r>
        <w:rPr>
          <w:rStyle w:val="CharStyle27"/>
          <w:lang w:eastAsia="da-DK"/>
        </w:rPr>
        <w:t>Khangaonkar, T., Long, W.,</w:t>
      </w:r>
      <w:r>
        <w:rPr>
          <w:rStyle w:val="CharStyle27"/>
          <w:lang w:eastAsia="da-DK"/>
        </w:rPr>
        <w:t xml:space="preserve"> and Xu, W.: Assessment of circulation and inter-basin transport in the Salish Sea including Johnstone Strait and Discovery Islands pathways, Ocean Model., 109, 11– 32, 2017.</w:t>
      </w:r>
      <w:bookmarkEnd w:id="62"/>
      <w:bookmarkEnd w:id="63"/>
    </w:p>
    <w:p w14:paraId="5DC26EBF" w14:textId="77777777" w:rsidR="0074324D" w:rsidRDefault="0074324D">
      <w:pPr>
        <w:pStyle w:val="Style26"/>
        <w:jc w:val="both"/>
        <w:rPr>
          <w:rFonts w:ascii="Times New Roman" w:hAnsi="Times New Roman" w:cs="Times New Roman"/>
          <w:sz w:val="24"/>
          <w:szCs w:val="24"/>
        </w:rPr>
      </w:pPr>
      <w:bookmarkStart w:id="64" w:name="bookmark100"/>
      <w:r>
        <w:rPr>
          <w:rStyle w:val="CharStyle27"/>
          <w:lang w:eastAsia="da-DK"/>
        </w:rPr>
        <w:lastRenderedPageBreak/>
        <w:t xml:space="preserve">Landschützer, P., Gruber, N., Bakker, D. C. E., Schuster, U., Nakaoka, S., Payne, M. R., Sasse, T. P., and Zeng, J.: A </w:t>
      </w:r>
      <w:r>
        <w:rPr>
          <w:rStyle w:val="CharStyle27"/>
          <w:lang w:val="en-US" w:eastAsia="en-US"/>
        </w:rPr>
        <w:t>ne</w:t>
      </w:r>
      <w:bookmarkStart w:id="65" w:name="bookmark101"/>
      <w:r>
        <w:rPr>
          <w:rStyle w:val="CharStyle27"/>
          <w:lang w:val="en-US" w:eastAsia="en-US"/>
        </w:rPr>
        <w:t>u</w:t>
      </w:r>
      <w:bookmarkEnd w:id="65"/>
      <w:r>
        <w:rPr>
          <w:rStyle w:val="CharStyle27"/>
          <w:lang w:val="en-US" w:eastAsia="en-US"/>
        </w:rPr>
        <w:softHyphen/>
        <w:t>ral</w:t>
      </w:r>
      <w:r>
        <w:rPr>
          <w:rStyle w:val="CharStyle27"/>
          <w:lang w:eastAsia="da-DK"/>
        </w:rPr>
        <w:t xml:space="preserve"> network-based estimate of the seasonal to inter-annual </w:t>
      </w:r>
      <w:r>
        <w:rPr>
          <w:rStyle w:val="CharStyle27"/>
          <w:lang w:val="en-US" w:eastAsia="en-US"/>
        </w:rPr>
        <w:t>vari</w:t>
      </w:r>
      <w:r>
        <w:rPr>
          <w:rStyle w:val="CharStyle27"/>
          <w:lang w:val="en-US" w:eastAsia="en-US"/>
        </w:rPr>
        <w:softHyphen/>
        <w:t>ability</w:t>
      </w:r>
      <w:r>
        <w:rPr>
          <w:rStyle w:val="CharStyle27"/>
          <w:lang w:eastAsia="da-DK"/>
        </w:rPr>
        <w:t xml:space="preserve"> of the Atlantic Ocean carbon sink, Biogeosciences, 10, 7793–7815, </w:t>
      </w:r>
      <w:hyperlink r:id="rId59" w:history="1">
        <w:r>
          <w:rPr>
            <w:rStyle w:val="CharStyle27"/>
            <w:lang w:eastAsia="da-DK"/>
          </w:rPr>
          <w:t>https://doi.org/10.5194/bg-10-7793-2013,</w:t>
        </w:r>
      </w:hyperlink>
      <w:r>
        <w:rPr>
          <w:rStyle w:val="CharStyle27"/>
          <w:lang w:eastAsia="da-DK"/>
        </w:rPr>
        <w:t xml:space="preserve"> 2013.</w:t>
      </w:r>
      <w:bookmarkEnd w:id="64"/>
    </w:p>
    <w:p w14:paraId="071F7440" w14:textId="77777777" w:rsidR="0074324D" w:rsidRDefault="0074324D">
      <w:pPr>
        <w:pStyle w:val="Style26"/>
        <w:jc w:val="both"/>
        <w:rPr>
          <w:rFonts w:ascii="Times New Roman" w:hAnsi="Times New Roman" w:cs="Times New Roman"/>
          <w:sz w:val="24"/>
          <w:szCs w:val="24"/>
        </w:rPr>
      </w:pPr>
      <w:bookmarkStart w:id="66" w:name="bookmark102"/>
      <w:bookmarkStart w:id="67" w:name="bookmark103"/>
      <w:r>
        <w:rPr>
          <w:rStyle w:val="CharStyle27"/>
          <w:lang w:eastAsia="da-DK"/>
        </w:rPr>
        <w:t>LeBlond, P. H.: The Strait of Georgia: functional anatomy of a coastal sea, Can. J. Fish. Aquat. Sci., 40, 1033–1063, 1983.</w:t>
      </w:r>
      <w:bookmarkEnd w:id="66"/>
      <w:bookmarkEnd w:id="67"/>
    </w:p>
    <w:p w14:paraId="5CBB6D13" w14:textId="77777777" w:rsidR="0074324D" w:rsidRDefault="0074324D">
      <w:pPr>
        <w:pStyle w:val="Style26"/>
        <w:jc w:val="both"/>
        <w:rPr>
          <w:rFonts w:ascii="Times New Roman" w:hAnsi="Times New Roman" w:cs="Times New Roman"/>
          <w:sz w:val="24"/>
          <w:szCs w:val="24"/>
        </w:rPr>
      </w:pPr>
      <w:bookmarkStart w:id="68" w:name="bookmark104"/>
      <w:r>
        <w:rPr>
          <w:rStyle w:val="CharStyle27"/>
          <w:lang w:eastAsia="da-DK"/>
        </w:rPr>
        <w:t xml:space="preserve">Legendre, L.: Hydrodynamic control of marine phytoplankton </w:t>
      </w:r>
      <w:r>
        <w:rPr>
          <w:rStyle w:val="CharStyle27"/>
          <w:lang w:val="en-US" w:eastAsia="en-US"/>
        </w:rPr>
        <w:t>pr</w:t>
      </w:r>
      <w:bookmarkStart w:id="69" w:name="bookmark105"/>
      <w:r>
        <w:rPr>
          <w:rStyle w:val="CharStyle27"/>
          <w:lang w:val="en-US" w:eastAsia="en-US"/>
        </w:rPr>
        <w:t>o</w:t>
      </w:r>
      <w:bookmarkEnd w:id="69"/>
      <w:r>
        <w:rPr>
          <w:rStyle w:val="CharStyle27"/>
          <w:lang w:val="en-US" w:eastAsia="en-US"/>
        </w:rPr>
        <w:softHyphen/>
        <w:t>duction:</w:t>
      </w:r>
      <w:r>
        <w:rPr>
          <w:rStyle w:val="CharStyle27"/>
          <w:lang w:eastAsia="da-DK"/>
        </w:rPr>
        <w:t xml:space="preserve"> the paradox of stability, Elsev. Oceanogr. Serie., 32, 191–207, 1981.</w:t>
      </w:r>
      <w:bookmarkEnd w:id="68"/>
    </w:p>
    <w:p w14:paraId="1D546A17" w14:textId="77777777" w:rsidR="0074324D" w:rsidRDefault="0074324D">
      <w:pPr>
        <w:pStyle w:val="Style26"/>
        <w:jc w:val="both"/>
        <w:rPr>
          <w:rFonts w:ascii="Times New Roman" w:hAnsi="Times New Roman" w:cs="Times New Roman"/>
          <w:sz w:val="24"/>
          <w:szCs w:val="24"/>
        </w:rPr>
      </w:pPr>
      <w:bookmarkStart w:id="70" w:name="bookmark106"/>
      <w:r>
        <w:rPr>
          <w:rStyle w:val="CharStyle27"/>
          <w:lang w:eastAsia="da-DK"/>
        </w:rPr>
        <w:t>Liu, J.: Evaluation of a NEMO model of the Strait of Georgia and insights into mixing and transport of the Fraser River plume, Master’s thesis, University of British Columbia, Vancouver, British Columbia,</w:t>
      </w:r>
      <w:hyperlink r:id="rId60" w:history="1">
        <w:r>
          <w:rPr>
            <w:rStyle w:val="CharStyle27"/>
            <w:lang w:eastAsia="da-DK"/>
          </w:rPr>
          <w:t xml:space="preserve"> https://open.library.ubc.ca/cIRcle/collections/</w:t>
        </w:r>
      </w:hyperlink>
      <w:r>
        <w:rPr>
          <w:rStyle w:val="CharStyle27"/>
          <w:lang w:eastAsia="da-DK"/>
        </w:rPr>
        <w:t xml:space="preserve"> </w:t>
      </w:r>
      <w:hyperlink r:id="rId61" w:history="1">
        <w:r>
          <w:rPr>
            <w:rStyle w:val="CharStyle27"/>
            <w:lang w:eastAsia="da-DK"/>
          </w:rPr>
          <w:t xml:space="preserve">ubctheses/24/items/1.0343600 </w:t>
        </w:r>
      </w:hyperlink>
      <w:r>
        <w:rPr>
          <w:rStyle w:val="CharStyle27"/>
          <w:lang w:eastAsia="da-DK"/>
        </w:rPr>
        <w:t>(last access: 20 April 2022</w:t>
      </w:r>
      <w:bookmarkStart w:id="71" w:name="bookmark107"/>
      <w:r>
        <w:rPr>
          <w:rStyle w:val="CharStyle27"/>
          <w:lang w:eastAsia="da-DK"/>
        </w:rPr>
        <w:t>)</w:t>
      </w:r>
      <w:bookmarkEnd w:id="71"/>
      <w:r>
        <w:rPr>
          <w:rStyle w:val="CharStyle27"/>
          <w:lang w:eastAsia="da-DK"/>
        </w:rPr>
        <w:t>, 2014.</w:t>
      </w:r>
      <w:bookmarkEnd w:id="70"/>
    </w:p>
    <w:p w14:paraId="4A76B551" w14:textId="77777777" w:rsidR="0074324D" w:rsidRDefault="0074324D">
      <w:pPr>
        <w:pStyle w:val="Style26"/>
        <w:jc w:val="both"/>
        <w:rPr>
          <w:rFonts w:ascii="Times New Roman" w:hAnsi="Times New Roman" w:cs="Times New Roman"/>
          <w:sz w:val="24"/>
          <w:szCs w:val="24"/>
        </w:rPr>
      </w:pPr>
      <w:bookmarkStart w:id="72" w:name="bookmark108"/>
      <w:r>
        <w:rPr>
          <w:rStyle w:val="CharStyle27"/>
          <w:lang w:eastAsia="da-DK"/>
        </w:rPr>
        <w:t>Longhurst, A., Sathyendranath, S., Platt, T., and Caverhill, C.: An estimate of global primary production in the ocean from satellite radiometer data, J. Plankton Res., 17, 1245–1271, 1995.</w:t>
      </w:r>
      <w:bookmarkEnd w:id="72"/>
    </w:p>
    <w:p w14:paraId="4716D0C6" w14:textId="77777777" w:rsidR="0074324D" w:rsidRDefault="0074324D">
      <w:pPr>
        <w:pStyle w:val="Style26"/>
        <w:jc w:val="both"/>
        <w:rPr>
          <w:rFonts w:ascii="Times New Roman" w:hAnsi="Times New Roman" w:cs="Times New Roman"/>
          <w:sz w:val="24"/>
          <w:szCs w:val="24"/>
        </w:rPr>
      </w:pPr>
      <w:bookmarkStart w:id="73" w:name="bookmark109"/>
      <w:bookmarkStart w:id="74" w:name="bookmark110"/>
      <w:r>
        <w:rPr>
          <w:rStyle w:val="CharStyle27"/>
          <w:lang w:eastAsia="da-DK"/>
        </w:rPr>
        <w:t>MacCready, P., McCabe, R. M., Siedlecki, S. A., Lorenz, M., Giddings, S. N., Bos, J., Albertson, S., Banas, N., and Gar</w:t>
      </w:r>
      <w:r>
        <w:rPr>
          <w:rStyle w:val="CharStyle27"/>
          <w:lang w:eastAsia="da-DK"/>
        </w:rPr>
        <w:softHyphen/>
        <w:t xml:space="preserve">nier, S.: Estuarine circulation, mixing, and residence times in the Salish Sea, J. Geophys. Res.-Oceans, 126, e2020JC016738, </w:t>
      </w:r>
      <w:hyperlink r:id="rId62" w:history="1">
        <w:r>
          <w:rPr>
            <w:rStyle w:val="CharStyle27"/>
            <w:lang w:eastAsia="da-DK"/>
          </w:rPr>
          <w:t>https://doi.org/10.1029/2020JC016738,</w:t>
        </w:r>
      </w:hyperlink>
      <w:r>
        <w:rPr>
          <w:rStyle w:val="CharStyle27"/>
          <w:lang w:eastAsia="da-DK"/>
        </w:rPr>
        <w:t xml:space="preserve"> 2021.</w:t>
      </w:r>
      <w:bookmarkEnd w:id="73"/>
      <w:bookmarkEnd w:id="74"/>
    </w:p>
    <w:p w14:paraId="5154086E" w14:textId="77777777" w:rsidR="0074324D" w:rsidRDefault="0074324D">
      <w:pPr>
        <w:pStyle w:val="Style26"/>
        <w:jc w:val="both"/>
        <w:rPr>
          <w:rFonts w:ascii="Times New Roman" w:hAnsi="Times New Roman" w:cs="Times New Roman"/>
          <w:sz w:val="24"/>
          <w:szCs w:val="24"/>
        </w:rPr>
      </w:pPr>
      <w:bookmarkStart w:id="75" w:name="bookmark111"/>
      <w:bookmarkStart w:id="76" w:name="bookmark112"/>
      <w:bookmarkStart w:id="77" w:name="bookmark113"/>
      <w:r>
        <w:rPr>
          <w:rStyle w:val="CharStyle27"/>
          <w:lang w:eastAsia="da-DK"/>
        </w:rPr>
        <w:t>Mackas, D. L. and Harrison, P. J.: Nitrogenous nutrient sources and sinks in the Juan de Fuca Strait/Strait of Georgia/Puget Sound estuarine system: assessing the poten</w:t>
      </w:r>
      <w:r>
        <w:rPr>
          <w:rStyle w:val="CharStyle27"/>
          <w:lang w:eastAsia="da-DK"/>
        </w:rPr>
        <w:softHyphen/>
        <w:t xml:space="preserve">tial for eutrophication, Estuar. Coast. Shelf S., 44, 1–21, </w:t>
      </w:r>
      <w:hyperlink r:id="rId63" w:history="1">
        <w:r>
          <w:rPr>
            <w:rStyle w:val="CharStyle27"/>
            <w:lang w:eastAsia="da-DK"/>
          </w:rPr>
          <w:t>https://doi.org/10.1006/ecss.1996.0110,</w:t>
        </w:r>
      </w:hyperlink>
      <w:r>
        <w:rPr>
          <w:rStyle w:val="CharStyle27"/>
          <w:lang w:eastAsia="da-DK"/>
        </w:rPr>
        <w:t xml:space="preserve"> 1997.</w:t>
      </w:r>
      <w:bookmarkEnd w:id="75"/>
      <w:bookmarkEnd w:id="76"/>
      <w:bookmarkEnd w:id="77"/>
    </w:p>
    <w:p w14:paraId="1FD44F43" w14:textId="77777777" w:rsidR="0074324D" w:rsidRDefault="0074324D">
      <w:pPr>
        <w:pStyle w:val="Style26"/>
        <w:jc w:val="both"/>
        <w:rPr>
          <w:rFonts w:ascii="Times New Roman" w:hAnsi="Times New Roman" w:cs="Times New Roman"/>
          <w:sz w:val="24"/>
          <w:szCs w:val="24"/>
        </w:rPr>
      </w:pPr>
      <w:bookmarkStart w:id="78" w:name="bookmark114"/>
      <w:r>
        <w:rPr>
          <w:rStyle w:val="CharStyle27"/>
          <w:lang w:eastAsia="da-DK"/>
        </w:rPr>
        <w:t>Madec, G., Bourdallé-Badie, R., Bouttier, P.-A., et al.: NEMO ocean engine. In Notes du Pôle de modélis</w:t>
      </w:r>
      <w:bookmarkStart w:id="79" w:name="bookmark115"/>
      <w:r>
        <w:rPr>
          <w:rStyle w:val="CharStyle27"/>
          <w:lang w:eastAsia="da-DK"/>
        </w:rPr>
        <w:t>a</w:t>
      </w:r>
      <w:bookmarkEnd w:id="79"/>
      <w:r>
        <w:rPr>
          <w:rStyle w:val="CharStyle27"/>
          <w:lang w:eastAsia="da-DK"/>
        </w:rPr>
        <w:t xml:space="preserve">- tion de l’Institut Pierre-Simon Laplace (IPSL) (v3.6- patch, Number 27), Zenodo [software documentation], </w:t>
      </w:r>
      <w:hyperlink r:id="rId64" w:history="1">
        <w:r>
          <w:rPr>
            <w:rStyle w:val="CharStyle27"/>
            <w:lang w:eastAsia="da-DK"/>
          </w:rPr>
          <w:t>https://doi.org/10.5281/zenodo.3248739,</w:t>
        </w:r>
      </w:hyperlink>
      <w:r>
        <w:rPr>
          <w:rStyle w:val="CharStyle27"/>
          <w:lang w:eastAsia="da-DK"/>
        </w:rPr>
        <w:t xml:space="preserve"> 2017.</w:t>
      </w:r>
      <w:bookmarkEnd w:id="78"/>
    </w:p>
    <w:p w14:paraId="2EF17503" w14:textId="77777777" w:rsidR="0074324D" w:rsidRDefault="0074324D">
      <w:pPr>
        <w:pStyle w:val="Style26"/>
        <w:jc w:val="both"/>
        <w:rPr>
          <w:rFonts w:ascii="Times New Roman" w:hAnsi="Times New Roman" w:cs="Times New Roman"/>
          <w:sz w:val="24"/>
          <w:szCs w:val="24"/>
        </w:rPr>
      </w:pPr>
      <w:bookmarkStart w:id="80" w:name="bookmark116"/>
      <w:bookmarkStart w:id="81" w:name="bookmark117"/>
      <w:r>
        <w:rPr>
          <w:rStyle w:val="CharStyle27"/>
          <w:lang w:eastAsia="da-DK"/>
        </w:rPr>
        <w:t>Mahara, N., Pakhomov, E., Dosser, H., and Hunt, B.: How zoo</w:t>
      </w:r>
      <w:r>
        <w:rPr>
          <w:rStyle w:val="CharStyle27"/>
          <w:lang w:eastAsia="da-DK"/>
        </w:rPr>
        <w:softHyphen/>
        <w:t xml:space="preserve">plankton communities are shaped in a complex and dynamic coastal system with strong tidal influence, Estuar. Coast. Shelf S., 249, 107103, </w:t>
      </w:r>
      <w:hyperlink r:id="rId65" w:history="1">
        <w:r>
          <w:rPr>
            <w:rStyle w:val="CharStyle27"/>
            <w:lang w:eastAsia="da-DK"/>
          </w:rPr>
          <w:t>https://doi.org/10.1016/j.ecss.2020.107103,</w:t>
        </w:r>
      </w:hyperlink>
      <w:r>
        <w:rPr>
          <w:rStyle w:val="CharStyle27"/>
          <w:lang w:eastAsia="da-DK"/>
        </w:rPr>
        <w:t xml:space="preserve"> 2021.</w:t>
      </w:r>
      <w:bookmarkEnd w:id="80"/>
      <w:bookmarkEnd w:id="81"/>
    </w:p>
    <w:p w14:paraId="0022CC5C" w14:textId="77777777" w:rsidR="0074324D" w:rsidRDefault="0074324D">
      <w:pPr>
        <w:pStyle w:val="Style26"/>
        <w:jc w:val="both"/>
        <w:rPr>
          <w:rFonts w:ascii="Times New Roman" w:hAnsi="Times New Roman" w:cs="Times New Roman"/>
          <w:sz w:val="24"/>
          <w:szCs w:val="24"/>
        </w:rPr>
      </w:pPr>
      <w:bookmarkStart w:id="82" w:name="bookmark118"/>
      <w:bookmarkStart w:id="83" w:name="bookmark119"/>
      <w:r>
        <w:rPr>
          <w:rStyle w:val="CharStyle27"/>
          <w:lang w:eastAsia="da-DK"/>
        </w:rPr>
        <w:t>Malick, M. J., Cox, S. P., Mueter, F. J., and Peterman, R. M.: Linking phytoplankton phenology to salmon productivity along a north–south gradient in the Northeast Pacific Ocean, Can. J. Fish. Aquat. Sci., 72, 697–708, 2015.</w:t>
      </w:r>
      <w:bookmarkEnd w:id="82"/>
      <w:bookmarkEnd w:id="83"/>
    </w:p>
    <w:p w14:paraId="520697D9" w14:textId="77777777" w:rsidR="0074324D" w:rsidRDefault="0074324D">
      <w:pPr>
        <w:pStyle w:val="Style26"/>
        <w:jc w:val="both"/>
        <w:rPr>
          <w:rFonts w:ascii="Times New Roman" w:hAnsi="Times New Roman" w:cs="Times New Roman"/>
          <w:sz w:val="24"/>
          <w:szCs w:val="24"/>
        </w:rPr>
      </w:pPr>
      <w:bookmarkStart w:id="84" w:name="bookmark120"/>
      <w:r>
        <w:rPr>
          <w:rStyle w:val="CharStyle27"/>
          <w:lang w:eastAsia="da-DK"/>
        </w:rPr>
        <w:t>Mangiameli, P., Chen, S. K., and West, D.: A comparison of SOM neural network and hierarchical clustering methods, Eur. J. Oper. Res., 93, 402–417, 1996.</w:t>
      </w:r>
      <w:bookmarkEnd w:id="84"/>
    </w:p>
    <w:p w14:paraId="61FC4309" w14:textId="77777777" w:rsidR="0074324D" w:rsidRDefault="0074324D">
      <w:pPr>
        <w:pStyle w:val="Style26"/>
        <w:jc w:val="both"/>
        <w:rPr>
          <w:rFonts w:ascii="Times New Roman" w:hAnsi="Times New Roman" w:cs="Times New Roman"/>
          <w:sz w:val="24"/>
          <w:szCs w:val="24"/>
        </w:rPr>
      </w:pPr>
      <w:bookmarkStart w:id="85" w:name="bookmark121"/>
      <w:r>
        <w:rPr>
          <w:rStyle w:val="CharStyle27"/>
          <w:lang w:eastAsia="da-DK"/>
        </w:rPr>
        <w:t>Masson, D.: Deep water renewal in the Strait of Georgia, Estu</w:t>
      </w:r>
      <w:bookmarkStart w:id="86" w:name="bookmark122"/>
      <w:r>
        <w:rPr>
          <w:rStyle w:val="CharStyle27"/>
          <w:lang w:eastAsia="da-DK"/>
        </w:rPr>
        <w:t>a</w:t>
      </w:r>
      <w:bookmarkEnd w:id="86"/>
      <w:r>
        <w:rPr>
          <w:rStyle w:val="CharStyle27"/>
          <w:lang w:eastAsia="da-DK"/>
        </w:rPr>
        <w:t>r. Coast. Shelf S., 54, 115–126, 2002.</w:t>
      </w:r>
      <w:bookmarkEnd w:id="85"/>
    </w:p>
    <w:p w14:paraId="25A4AB61" w14:textId="77777777" w:rsidR="0074324D" w:rsidRDefault="0074324D">
      <w:pPr>
        <w:pStyle w:val="Style26"/>
        <w:jc w:val="both"/>
        <w:rPr>
          <w:rFonts w:ascii="Times New Roman" w:hAnsi="Times New Roman" w:cs="Times New Roman"/>
          <w:sz w:val="24"/>
          <w:szCs w:val="24"/>
        </w:rPr>
      </w:pPr>
      <w:bookmarkStart w:id="87" w:name="bookmark123"/>
      <w:r>
        <w:rPr>
          <w:rStyle w:val="CharStyle27"/>
          <w:lang w:eastAsia="da-DK"/>
        </w:rPr>
        <w:t>Masson, D. and Peña, A.: Chlorophyll distribution in a temperate estuary: The Strait of Georgia and Juan de Fuca Strait, Estuar. Coast. Shelf S., 82, 19–28, 2009.</w:t>
      </w:r>
      <w:bookmarkEnd w:id="87"/>
    </w:p>
    <w:p w14:paraId="394F6C6C" w14:textId="77777777" w:rsidR="0074324D" w:rsidRDefault="0074324D">
      <w:pPr>
        <w:pStyle w:val="Style26"/>
        <w:jc w:val="both"/>
        <w:rPr>
          <w:rFonts w:ascii="Times New Roman" w:hAnsi="Times New Roman" w:cs="Times New Roman"/>
          <w:sz w:val="24"/>
          <w:szCs w:val="24"/>
        </w:rPr>
      </w:pPr>
      <w:r>
        <w:rPr>
          <w:rStyle w:val="CharStyle27"/>
          <w:lang w:eastAsia="da-DK"/>
        </w:rPr>
        <w:t>Maulik, U. and Bandyopadhyay, S.: Performance evaluation of some clustering algorithms and validity indices, IEEE T. Pattern Anal., 24, 1650–1654, 2002.</w:t>
      </w:r>
    </w:p>
    <w:p w14:paraId="36FF5050" w14:textId="77777777" w:rsidR="0074324D" w:rsidRDefault="0074324D">
      <w:pPr>
        <w:pStyle w:val="Style26"/>
        <w:jc w:val="both"/>
        <w:rPr>
          <w:rFonts w:ascii="Times New Roman" w:hAnsi="Times New Roman" w:cs="Times New Roman"/>
          <w:sz w:val="24"/>
          <w:szCs w:val="24"/>
        </w:rPr>
      </w:pPr>
      <w:r>
        <w:rPr>
          <w:rStyle w:val="CharStyle27"/>
          <w:lang w:eastAsia="da-DK"/>
        </w:rPr>
        <w:t>Milbrandt, J. A., Bélair, S., Faucher, M., Vallé</w:t>
      </w:r>
      <w:r>
        <w:rPr>
          <w:rStyle w:val="CharStyle27"/>
          <w:lang w:eastAsia="da-DK"/>
        </w:rPr>
        <w:t xml:space="preserve">e, M., Carrera, M. L., and Glazer, A.: The pan-Canadian high resolution (2.5 km) </w:t>
      </w:r>
      <w:r>
        <w:rPr>
          <w:rStyle w:val="CharStyle27"/>
          <w:lang w:val="en-US" w:eastAsia="en-US"/>
        </w:rPr>
        <w:t>de</w:t>
      </w:r>
      <w:r>
        <w:rPr>
          <w:rStyle w:val="CharStyle27"/>
          <w:lang w:val="en-US" w:eastAsia="en-US"/>
        </w:rPr>
        <w:softHyphen/>
        <w:t>terministic</w:t>
      </w:r>
      <w:r>
        <w:rPr>
          <w:rStyle w:val="CharStyle27"/>
          <w:lang w:eastAsia="da-DK"/>
        </w:rPr>
        <w:t xml:space="preserve"> prediction system, Weather Forecast., 31, 1791–1816, </w:t>
      </w:r>
      <w:hyperlink r:id="rId66" w:history="1">
        <w:r>
          <w:rPr>
            <w:rStyle w:val="CharStyle27"/>
            <w:lang w:eastAsia="da-DK"/>
          </w:rPr>
          <w:t>https://doi.org/10.1175/WAF-D-16-0035.1,</w:t>
        </w:r>
      </w:hyperlink>
      <w:r>
        <w:rPr>
          <w:rStyle w:val="CharStyle27"/>
          <w:lang w:eastAsia="da-DK"/>
        </w:rPr>
        <w:t xml:space="preserve"> 2016.</w:t>
      </w:r>
    </w:p>
    <w:p w14:paraId="7BB8E82C" w14:textId="77777777" w:rsidR="0074324D" w:rsidRDefault="0074324D">
      <w:pPr>
        <w:pStyle w:val="Style26"/>
        <w:jc w:val="both"/>
        <w:rPr>
          <w:rFonts w:ascii="Times New Roman" w:hAnsi="Times New Roman" w:cs="Times New Roman"/>
          <w:sz w:val="24"/>
          <w:szCs w:val="24"/>
        </w:rPr>
      </w:pPr>
      <w:r>
        <w:rPr>
          <w:rStyle w:val="CharStyle27"/>
          <w:lang w:eastAsia="da-DK"/>
        </w:rPr>
        <w:t>Moore, S. K., Mantua, N. J., Newton, J. A., Kawase, M., Warner, M. J., and Kellogg, J. P.: A descriptive analysis of temporal and spatial patterns of variability in Puget Sound oceanographic properties, Estuar. Coast. Shelf S., 80, 545–554, 2008.</w:t>
      </w:r>
    </w:p>
    <w:p w14:paraId="7FAFDB63"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Moore-Maley, B. and Allen, S. E.: Wind-driven upwelling and </w:t>
      </w:r>
      <w:r>
        <w:rPr>
          <w:rStyle w:val="CharStyle27"/>
          <w:lang w:val="en-US" w:eastAsia="en-US"/>
        </w:rPr>
        <w:t>sur</w:t>
      </w:r>
      <w:r>
        <w:rPr>
          <w:rStyle w:val="CharStyle27"/>
          <w:lang w:val="en-US" w:eastAsia="en-US"/>
        </w:rPr>
        <w:softHyphen/>
        <w:t>face</w:t>
      </w:r>
      <w:r>
        <w:rPr>
          <w:rStyle w:val="CharStyle27"/>
          <w:lang w:eastAsia="da-DK"/>
        </w:rPr>
        <w:t xml:space="preserve"> nutrient delivery in a semi-enclosed coastal sea, Ocean Sci., 18, 143–167, </w:t>
      </w:r>
      <w:hyperlink r:id="rId67" w:history="1">
        <w:r>
          <w:rPr>
            <w:rStyle w:val="CharStyle27"/>
            <w:lang w:eastAsia="da-DK"/>
          </w:rPr>
          <w:t>https://doi.org/10.5194/os-18-143-2022,</w:t>
        </w:r>
      </w:hyperlink>
      <w:r>
        <w:rPr>
          <w:rStyle w:val="CharStyle27"/>
          <w:lang w:eastAsia="da-DK"/>
        </w:rPr>
        <w:t xml:space="preserve"> 2022.</w:t>
      </w:r>
    </w:p>
    <w:p w14:paraId="18806B77"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Morrison, J., Foreman, M., and Masson, D.: A method for </w:t>
      </w:r>
      <w:r>
        <w:rPr>
          <w:rStyle w:val="CharStyle27"/>
          <w:lang w:val="en-US" w:eastAsia="en-US"/>
        </w:rPr>
        <w:t>esti</w:t>
      </w:r>
      <w:r>
        <w:rPr>
          <w:rStyle w:val="CharStyle27"/>
          <w:lang w:val="en-US" w:eastAsia="en-US"/>
        </w:rPr>
        <w:softHyphen/>
        <w:t>mating</w:t>
      </w:r>
      <w:r>
        <w:rPr>
          <w:rStyle w:val="CharStyle27"/>
          <w:lang w:eastAsia="da-DK"/>
        </w:rPr>
        <w:t xml:space="preserve"> monthly freshwater discharge affecting British Columbia coastal waters, Atmosphere-Ocean, 50, 1–8, 2012.</w:t>
      </w:r>
    </w:p>
    <w:p w14:paraId="11A76982"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Nemcek, N., Hennekes, M., and Perry, I.: Seasonal dynamics of the phytoplankton community in the Salish Sea from HPLC, in: State of the Physical, Biological and Selected Fishery Resources of Pacific Canadian Marine Ecosystems in 2019, edited by: Boldt, J. L., Javorski, A., and Chandler, P. C., chap. 39, 169–173, </w:t>
      </w:r>
      <w:r>
        <w:rPr>
          <w:rStyle w:val="CharStyle27"/>
          <w:lang w:val="en-US" w:eastAsia="en-US"/>
        </w:rPr>
        <w:t>Cana</w:t>
      </w:r>
      <w:r>
        <w:rPr>
          <w:rStyle w:val="CharStyle27"/>
          <w:lang w:val="en-US" w:eastAsia="en-US"/>
        </w:rPr>
        <w:softHyphen/>
        <w:t>dian</w:t>
      </w:r>
      <w:r>
        <w:rPr>
          <w:rStyle w:val="CharStyle27"/>
          <w:lang w:eastAsia="da-DK"/>
        </w:rPr>
        <w:t xml:space="preserve"> Technical Report of Fisheries and Aquatic Sciences 3377, ISBN 978-0-660-34961-9, 2020.</w:t>
      </w:r>
    </w:p>
    <w:p w14:paraId="5E875952" w14:textId="77777777" w:rsidR="0074324D" w:rsidRDefault="0074324D">
      <w:pPr>
        <w:pStyle w:val="Style26"/>
        <w:jc w:val="both"/>
        <w:rPr>
          <w:rFonts w:ascii="Times New Roman" w:hAnsi="Times New Roman" w:cs="Times New Roman"/>
          <w:sz w:val="24"/>
          <w:szCs w:val="24"/>
        </w:rPr>
      </w:pPr>
      <w:r>
        <w:rPr>
          <w:rStyle w:val="CharStyle27"/>
          <w:lang w:eastAsia="da-DK"/>
        </w:rPr>
        <w:t>Ocean Sciences Division (Department of Fisheries and Oceans Canada): Institute of Ocean Sciences Data Archive,</w:t>
      </w:r>
      <w:hyperlink r:id="rId68" w:history="1">
        <w:r>
          <w:rPr>
            <w:rStyle w:val="CharStyle27"/>
            <w:lang w:eastAsia="da-DK"/>
          </w:rPr>
          <w:t xml:space="preserve"> http://www.</w:t>
        </w:r>
      </w:hyperlink>
      <w:r>
        <w:rPr>
          <w:rStyle w:val="CharStyle27"/>
          <w:lang w:eastAsia="da-DK"/>
        </w:rPr>
        <w:t xml:space="preserve"> </w:t>
      </w:r>
      <w:hyperlink r:id="rId69" w:history="1">
        <w:r>
          <w:rPr>
            <w:rStyle w:val="CharStyle27"/>
            <w:lang w:eastAsia="da-DK"/>
          </w:rPr>
          <w:t>pac.dfo-mpo.gc.ca/science/oceans/data-donnees/index-eng.html</w:t>
        </w:r>
      </w:hyperlink>
      <w:r>
        <w:rPr>
          <w:rStyle w:val="CharStyle27"/>
          <w:lang w:eastAsia="da-DK"/>
        </w:rPr>
        <w:t xml:space="preserve"> (last access: 10 April 2022), 2020.</w:t>
      </w:r>
    </w:p>
    <w:p w14:paraId="097A885E"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Olson, E. M., Allen, S. E., Do, V., Dunphy, M., and Ian- son, D.: Assessment of Nutrient Supply by a Tidal Jet in the Northern Strait of Georgia Based on a </w:t>
      </w:r>
      <w:r>
        <w:rPr>
          <w:rStyle w:val="CharStyle27"/>
          <w:lang w:val="en-US" w:eastAsia="en-US"/>
        </w:rPr>
        <w:t>Biogeochemi</w:t>
      </w:r>
      <w:r>
        <w:rPr>
          <w:rStyle w:val="CharStyle27"/>
          <w:lang w:val="en-US" w:eastAsia="en-US"/>
        </w:rPr>
        <w:softHyphen/>
        <w:t>cal</w:t>
      </w:r>
      <w:r>
        <w:rPr>
          <w:rStyle w:val="CharStyle27"/>
          <w:lang w:eastAsia="da-DK"/>
        </w:rPr>
        <w:t xml:space="preserve"> Model, J. Geophys. Res.-Oceans, 125, e2019JC015766, </w:t>
      </w:r>
      <w:hyperlink r:id="rId70" w:history="1">
        <w:r>
          <w:rPr>
            <w:rStyle w:val="CharStyle27"/>
            <w:lang w:eastAsia="da-DK"/>
          </w:rPr>
          <w:t>https://doi.org/10.1029/2019JC015766,</w:t>
        </w:r>
      </w:hyperlink>
      <w:r>
        <w:rPr>
          <w:rStyle w:val="CharStyle27"/>
          <w:lang w:eastAsia="da-DK"/>
        </w:rPr>
        <w:t xml:space="preserve"> 2020.</w:t>
      </w:r>
    </w:p>
    <w:p w14:paraId="3CCE2F01"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Parsons, T., Stronach, J., Borstad, G., Louttit, G., and Perry, R.: </w:t>
      </w:r>
      <w:r>
        <w:rPr>
          <w:rStyle w:val="CharStyle27"/>
          <w:lang w:val="en-US" w:eastAsia="en-US"/>
        </w:rPr>
        <w:t>Bi</w:t>
      </w:r>
      <w:r>
        <w:rPr>
          <w:rStyle w:val="CharStyle27"/>
          <w:lang w:val="en-US" w:eastAsia="en-US"/>
        </w:rPr>
        <w:softHyphen/>
        <w:t>ological</w:t>
      </w:r>
      <w:r>
        <w:rPr>
          <w:rStyle w:val="CharStyle27"/>
          <w:lang w:eastAsia="da-DK"/>
        </w:rPr>
        <w:t xml:space="preserve"> fronts in the Strait of Georgia, British Columbia, and their relation to recent measurements of primary productivity, Mar. Ecol.-Prog. Ser., 6, 237–242, 1981.</w:t>
      </w:r>
    </w:p>
    <w:p w14:paraId="4CEDFD53" w14:textId="77777777" w:rsidR="0074324D" w:rsidRDefault="0074324D">
      <w:pPr>
        <w:pStyle w:val="Style26"/>
        <w:jc w:val="both"/>
        <w:rPr>
          <w:rFonts w:ascii="Times New Roman" w:hAnsi="Times New Roman" w:cs="Times New Roman"/>
          <w:sz w:val="24"/>
          <w:szCs w:val="24"/>
        </w:rPr>
      </w:pPr>
      <w:r>
        <w:rPr>
          <w:rStyle w:val="CharStyle27"/>
          <w:lang w:eastAsia="da-DK"/>
        </w:rPr>
        <w:t>Pawlowicz, R., Riche, O., and Halverson, M.: The circulation and residence time of the Strait of Georgia using a simple mixing-box approach, Atmosphere-Ocean, 45, 173–193, 2007.</w:t>
      </w:r>
    </w:p>
    <w:p w14:paraId="611C2953" w14:textId="77777777" w:rsidR="0074324D" w:rsidRDefault="0074324D">
      <w:pPr>
        <w:pStyle w:val="Style26"/>
        <w:jc w:val="both"/>
        <w:rPr>
          <w:rFonts w:ascii="Times New Roman" w:hAnsi="Times New Roman" w:cs="Times New Roman"/>
          <w:sz w:val="24"/>
          <w:szCs w:val="24"/>
        </w:rPr>
      </w:pPr>
      <w:r>
        <w:rPr>
          <w:rStyle w:val="CharStyle27"/>
          <w:lang w:eastAsia="da-DK"/>
        </w:rPr>
        <w:t>Pawlowicz, R., Suzuki, T., Chappell, R., Ta, A., and Esenkulova, S.: Atlas of oceanographic conditions in the Strait of Georgia (2015– 2019) based on the Pacific Salmon Foundation’s Citizen Science Dataset, Canadian Technical Report of Fisheries and Aquatic Sciences, 3374, ISBN 9780660349367, 2020.</w:t>
      </w:r>
    </w:p>
    <w:p w14:paraId="106A3CA2"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Peña, M. A., Masson, D., and Callendar, W.: Annual plankton </w:t>
      </w:r>
      <w:r>
        <w:rPr>
          <w:rStyle w:val="CharStyle27"/>
          <w:lang w:val="en-US" w:eastAsia="en-US"/>
        </w:rPr>
        <w:t>dy</w:t>
      </w:r>
      <w:r>
        <w:rPr>
          <w:rStyle w:val="CharStyle27"/>
          <w:lang w:val="en-US" w:eastAsia="en-US"/>
        </w:rPr>
        <w:softHyphen/>
        <w:t>namics</w:t>
      </w:r>
      <w:r>
        <w:rPr>
          <w:rStyle w:val="CharStyle27"/>
          <w:lang w:eastAsia="da-DK"/>
        </w:rPr>
        <w:t xml:space="preserve"> in a coupled physical–biological model of the Strait of Georgia, British Columbia, Prog. Oceanogr., 146, 58–74, 2016.</w:t>
      </w:r>
    </w:p>
    <w:p w14:paraId="56A4C068" w14:textId="77777777" w:rsidR="0074324D" w:rsidRDefault="0074324D">
      <w:pPr>
        <w:pStyle w:val="Style26"/>
        <w:jc w:val="both"/>
        <w:rPr>
          <w:rFonts w:ascii="Times New Roman" w:hAnsi="Times New Roman" w:cs="Times New Roman"/>
          <w:sz w:val="24"/>
          <w:szCs w:val="24"/>
        </w:rPr>
      </w:pPr>
      <w:r>
        <w:rPr>
          <w:rStyle w:val="CharStyle27"/>
          <w:lang w:eastAsia="da-DK"/>
        </w:rPr>
        <w:t>Pike, R. G., Redding, T., Moore, R., Winkler, R., and Bladon, K. (Eds.): Compendium of forest hydrology and geomorphology in British Columbia, Land Management Handbook-Ministry of Forests and Range, in: For. Sci. Prog., Victoria, BC and FOR- REX Forum for Research and Extension in Natural Resources, Kamloops, BC Land Manag. Handb, Vol. 66, ISBN 978-0-7726</w:t>
      </w:r>
      <w:r>
        <w:rPr>
          <w:rStyle w:val="CharStyle27"/>
          <w:lang w:eastAsia="da-DK"/>
        </w:rPr>
        <w:softHyphen/>
        <w:t>6332-0, 2010.</w:t>
      </w:r>
    </w:p>
    <w:p w14:paraId="09764068" w14:textId="77777777" w:rsidR="0074324D" w:rsidRDefault="0074324D">
      <w:pPr>
        <w:pStyle w:val="Style26"/>
        <w:jc w:val="both"/>
        <w:rPr>
          <w:rFonts w:ascii="Times New Roman" w:hAnsi="Times New Roman" w:cs="Times New Roman"/>
          <w:sz w:val="24"/>
          <w:szCs w:val="24"/>
        </w:rPr>
      </w:pPr>
      <w:r>
        <w:rPr>
          <w:rStyle w:val="CharStyle27"/>
          <w:lang w:eastAsia="da-DK"/>
        </w:rPr>
        <w:t>Preikshot, D., Beamish, R. J., and Neville, C. M.: A dynamic model describing ecosystem-level changes in the Strait of Georgia from 1960 to 2010, Prog. Oceanogr., 115, 28–40, 2013.</w:t>
      </w:r>
    </w:p>
    <w:p w14:paraId="18919B78" w14:textId="77777777" w:rsidR="0074324D" w:rsidRDefault="0074324D">
      <w:pPr>
        <w:pStyle w:val="Style26"/>
        <w:jc w:val="both"/>
        <w:rPr>
          <w:rFonts w:ascii="Times New Roman" w:hAnsi="Times New Roman" w:cs="Times New Roman"/>
          <w:sz w:val="24"/>
          <w:szCs w:val="24"/>
        </w:rPr>
      </w:pPr>
      <w:bookmarkStart w:id="88" w:name="bookmark124"/>
      <w:bookmarkStart w:id="89" w:name="bookmark125"/>
      <w:r>
        <w:rPr>
          <w:rStyle w:val="CharStyle27"/>
          <w:lang w:eastAsia="da-DK"/>
        </w:rPr>
        <w:t>Richardson, A. J.: In hot water: zooplankton and climate change, ICES J. Mar. Sci., 65, 279–295, 2008.</w:t>
      </w:r>
      <w:bookmarkEnd w:id="88"/>
      <w:bookmarkEnd w:id="89"/>
    </w:p>
    <w:p w14:paraId="2505FB39" w14:textId="77777777" w:rsidR="0074324D" w:rsidRDefault="0074324D">
      <w:pPr>
        <w:pStyle w:val="Style26"/>
        <w:jc w:val="both"/>
        <w:rPr>
          <w:rFonts w:ascii="Times New Roman" w:hAnsi="Times New Roman" w:cs="Times New Roman"/>
          <w:sz w:val="24"/>
          <w:szCs w:val="24"/>
        </w:rPr>
      </w:pPr>
      <w:bookmarkStart w:id="90" w:name="bookmark126"/>
      <w:bookmarkStart w:id="91" w:name="bookmark127"/>
      <w:r>
        <w:rPr>
          <w:rStyle w:val="CharStyle27"/>
          <w:lang w:eastAsia="da-DK"/>
        </w:rPr>
        <w:t xml:space="preserve">SalishSeaCast Project Contributors: griddap, SalishSeaCast </w:t>
      </w:r>
      <w:r>
        <w:rPr>
          <w:rStyle w:val="CharStyle27"/>
          <w:lang w:val="en-US" w:eastAsia="en-US"/>
        </w:rPr>
        <w:t>ERD</w:t>
      </w:r>
      <w:r>
        <w:rPr>
          <w:rStyle w:val="CharStyle27"/>
          <w:lang w:val="en-US" w:eastAsia="en-US"/>
        </w:rPr>
        <w:softHyphen/>
        <w:t>DAP</w:t>
      </w:r>
      <w:r>
        <w:rPr>
          <w:rStyle w:val="CharStyle27"/>
          <w:lang w:eastAsia="da-DK"/>
        </w:rPr>
        <w:t xml:space="preserve"> server [data set],</w:t>
      </w:r>
      <w:hyperlink r:id="rId71" w:history="1">
        <w:r>
          <w:rPr>
            <w:rStyle w:val="CharStyle27"/>
            <w:lang w:eastAsia="da-DK"/>
          </w:rPr>
          <w:t xml:space="preserve"> https://salishsea.eos.ubc.ca/erddap/index.</w:t>
        </w:r>
      </w:hyperlink>
      <w:r>
        <w:rPr>
          <w:rStyle w:val="CharStyle27"/>
          <w:lang w:eastAsia="da-DK"/>
        </w:rPr>
        <w:t xml:space="preserve"> </w:t>
      </w:r>
      <w:hyperlink r:id="rId72" w:history="1">
        <w:r>
          <w:rPr>
            <w:rStyle w:val="CharStyle27"/>
            <w:lang w:eastAsia="da-DK"/>
          </w:rPr>
          <w:t>html,</w:t>
        </w:r>
      </w:hyperlink>
      <w:r>
        <w:rPr>
          <w:rStyle w:val="CharStyle27"/>
          <w:lang w:eastAsia="da-DK"/>
        </w:rPr>
        <w:t xml:space="preserve"> last access: 4 October 2022.</w:t>
      </w:r>
      <w:bookmarkEnd w:id="90"/>
      <w:bookmarkEnd w:id="91"/>
    </w:p>
    <w:p w14:paraId="71838F1F" w14:textId="77777777" w:rsidR="0074324D" w:rsidRDefault="0074324D">
      <w:pPr>
        <w:pStyle w:val="Style26"/>
        <w:jc w:val="both"/>
        <w:rPr>
          <w:rFonts w:ascii="Times New Roman" w:hAnsi="Times New Roman" w:cs="Times New Roman"/>
          <w:sz w:val="24"/>
          <w:szCs w:val="24"/>
        </w:rPr>
      </w:pPr>
      <w:bookmarkStart w:id="92" w:name="bookmark128"/>
      <w:bookmarkStart w:id="93" w:name="bookmark129"/>
      <w:r>
        <w:rPr>
          <w:rStyle w:val="CharStyle27"/>
          <w:lang w:eastAsia="da-DK"/>
        </w:rPr>
        <w:t xml:space="preserve">Sonnewald, M., Dutkiewicz, S., Hill, C., and Forget, G.: </w:t>
      </w:r>
      <w:r>
        <w:rPr>
          <w:rStyle w:val="CharStyle27"/>
          <w:lang w:val="en-US" w:eastAsia="en-US"/>
        </w:rPr>
        <w:t>Elu</w:t>
      </w:r>
      <w:r>
        <w:rPr>
          <w:rStyle w:val="CharStyle27"/>
          <w:lang w:val="en-US" w:eastAsia="en-US"/>
        </w:rPr>
        <w:softHyphen/>
        <w:t>cidating</w:t>
      </w:r>
      <w:r>
        <w:rPr>
          <w:rStyle w:val="CharStyle27"/>
          <w:lang w:eastAsia="da-DK"/>
        </w:rPr>
        <w:t xml:space="preserve"> ecological complexity: Unsupervised learning deter</w:t>
      </w:r>
      <w:r>
        <w:rPr>
          <w:rStyle w:val="CharStyle27"/>
          <w:lang w:eastAsia="da-DK"/>
        </w:rPr>
        <w:softHyphen/>
        <w:t>mines global marine eco-provinces, Sci. Adv., 6, eaay474</w:t>
      </w:r>
      <w:bookmarkStart w:id="94" w:name="bookmark130"/>
      <w:r>
        <w:rPr>
          <w:rStyle w:val="CharStyle27"/>
          <w:lang w:eastAsia="da-DK"/>
        </w:rPr>
        <w:t>0</w:t>
      </w:r>
      <w:bookmarkEnd w:id="94"/>
      <w:r>
        <w:rPr>
          <w:rStyle w:val="CharStyle27"/>
          <w:lang w:eastAsia="da-DK"/>
        </w:rPr>
        <w:t xml:space="preserve">, </w:t>
      </w:r>
      <w:hyperlink r:id="rId73" w:history="1">
        <w:r>
          <w:rPr>
            <w:rStyle w:val="CharStyle27"/>
            <w:lang w:eastAsia="da-DK"/>
          </w:rPr>
          <w:t>https://doi.org/10.1126/sciadv.aay4740,</w:t>
        </w:r>
      </w:hyperlink>
      <w:r>
        <w:rPr>
          <w:rStyle w:val="CharStyle27"/>
          <w:lang w:eastAsia="da-DK"/>
        </w:rPr>
        <w:t xml:space="preserve"> 2020.</w:t>
      </w:r>
      <w:bookmarkEnd w:id="92"/>
      <w:bookmarkEnd w:id="93"/>
    </w:p>
    <w:p w14:paraId="5F169B29" w14:textId="77777777" w:rsidR="0074324D" w:rsidRDefault="0074324D">
      <w:pPr>
        <w:pStyle w:val="Style26"/>
        <w:jc w:val="both"/>
        <w:rPr>
          <w:rFonts w:ascii="Times New Roman" w:hAnsi="Times New Roman" w:cs="Times New Roman"/>
          <w:sz w:val="24"/>
          <w:szCs w:val="24"/>
        </w:rPr>
      </w:pPr>
      <w:bookmarkStart w:id="95" w:name="bookmark131"/>
      <w:bookmarkStart w:id="96" w:name="bookmark132"/>
      <w:r>
        <w:rPr>
          <w:rStyle w:val="CharStyle27"/>
          <w:lang w:eastAsia="da-DK"/>
        </w:rPr>
        <w:t>Soontiens, N. and Allen, S. E.: Modelling sensitivities to mixing and advection in a sill-basin estuarine system, Ocean Model., 112, 17–32, 2017.</w:t>
      </w:r>
      <w:bookmarkEnd w:id="95"/>
      <w:bookmarkEnd w:id="96"/>
    </w:p>
    <w:p w14:paraId="014B5A53" w14:textId="77777777" w:rsidR="0074324D" w:rsidRDefault="0074324D">
      <w:pPr>
        <w:pStyle w:val="Style26"/>
        <w:jc w:val="both"/>
        <w:rPr>
          <w:rFonts w:ascii="Times New Roman" w:hAnsi="Times New Roman" w:cs="Times New Roman"/>
          <w:sz w:val="24"/>
          <w:szCs w:val="24"/>
        </w:rPr>
      </w:pPr>
      <w:bookmarkStart w:id="97" w:name="bookmark133"/>
      <w:bookmarkStart w:id="98" w:name="bookmark134"/>
      <w:r>
        <w:rPr>
          <w:rStyle w:val="CharStyle27"/>
          <w:lang w:eastAsia="da-DK"/>
        </w:rPr>
        <w:t>Soontiens, N., Allen, S. E., Latornell, D., Le Souëf, K., Machuca, I., Paquin, J.-P., Lu, Y., Thompson, K., and Korabel, V.: Storm surges in the Strait of Georgia simulated with a regional model, Atmosphere-Ocean, 54, 1–21, 2016.</w:t>
      </w:r>
      <w:bookmarkEnd w:id="97"/>
      <w:bookmarkEnd w:id="98"/>
    </w:p>
    <w:p w14:paraId="42D4E13E" w14:textId="77777777" w:rsidR="0074324D" w:rsidRDefault="0074324D">
      <w:pPr>
        <w:pStyle w:val="Style26"/>
        <w:jc w:val="both"/>
        <w:rPr>
          <w:rFonts w:ascii="Times New Roman" w:hAnsi="Times New Roman" w:cs="Times New Roman"/>
          <w:sz w:val="24"/>
          <w:szCs w:val="24"/>
        </w:rPr>
      </w:pPr>
      <w:bookmarkStart w:id="99" w:name="bookmark135"/>
      <w:r>
        <w:rPr>
          <w:rStyle w:val="CharStyle27"/>
          <w:lang w:eastAsia="da-DK"/>
        </w:rPr>
        <w:t xml:space="preserve">St. John, M., Marinone, S., Stronach, J., Harrison, P., Fyfe, J., and </w:t>
      </w:r>
      <w:r>
        <w:rPr>
          <w:rStyle w:val="CharStyle27"/>
          <w:lang w:eastAsia="da-DK"/>
        </w:rPr>
        <w:lastRenderedPageBreak/>
        <w:t xml:space="preserve">Beamish, R.: A horizontally resolving physical–biological model of nitrate concentration and primary productivity in the Strait </w:t>
      </w:r>
      <w:bookmarkStart w:id="100" w:name="bookmark136"/>
      <w:r>
        <w:rPr>
          <w:rStyle w:val="CharStyle27"/>
          <w:lang w:eastAsia="da-DK"/>
        </w:rPr>
        <w:t>o</w:t>
      </w:r>
      <w:bookmarkEnd w:id="100"/>
      <w:r>
        <w:rPr>
          <w:rStyle w:val="CharStyle27"/>
          <w:lang w:eastAsia="da-DK"/>
        </w:rPr>
        <w:t>f Georgia, Can. J. Fish. Aquat. Sci., 50, 1456–1466, 1993.</w:t>
      </w:r>
      <w:bookmarkEnd w:id="99"/>
    </w:p>
    <w:p w14:paraId="7BD1DF1D" w14:textId="77777777" w:rsidR="0074324D" w:rsidRDefault="0074324D">
      <w:pPr>
        <w:pStyle w:val="Style26"/>
        <w:jc w:val="both"/>
        <w:rPr>
          <w:rFonts w:ascii="Times New Roman" w:hAnsi="Times New Roman" w:cs="Times New Roman"/>
          <w:sz w:val="24"/>
          <w:szCs w:val="24"/>
        </w:rPr>
      </w:pPr>
      <w:bookmarkStart w:id="101" w:name="bookmark137"/>
      <w:bookmarkStart w:id="102" w:name="bookmark138"/>
      <w:r>
        <w:rPr>
          <w:rStyle w:val="CharStyle27"/>
          <w:lang w:eastAsia="da-DK"/>
        </w:rPr>
        <w:t xml:space="preserve">Suchy, K. D., Le Baron, N., Hilborn, A., Perry, R. I., and Costa, M.: Influence of environmental drivers on </w:t>
      </w:r>
      <w:r>
        <w:rPr>
          <w:rStyle w:val="CharStyle27"/>
          <w:lang w:val="en-US" w:eastAsia="en-US"/>
        </w:rPr>
        <w:t>spatio</w:t>
      </w:r>
      <w:r>
        <w:rPr>
          <w:rStyle w:val="CharStyle27"/>
          <w:lang w:val="en-US" w:eastAsia="en-US"/>
        </w:rPr>
        <w:softHyphen/>
        <w:t>temporal</w:t>
      </w:r>
      <w:r>
        <w:rPr>
          <w:rStyle w:val="CharStyle27"/>
          <w:lang w:eastAsia="da-DK"/>
        </w:rPr>
        <w:t xml:space="preserve"> dynamics of satellite-derived chlorophyll a in the Strait of Georgia, Prog. Oceanogr., 176, 102134, </w:t>
      </w:r>
      <w:hyperlink r:id="rId74" w:history="1">
        <w:r>
          <w:rPr>
            <w:rStyle w:val="CharStyle27"/>
            <w:lang w:eastAsia="da-DK"/>
          </w:rPr>
          <w:t>https://doi.org/10.1016/j.pocean.2019.102134,</w:t>
        </w:r>
      </w:hyperlink>
      <w:r>
        <w:rPr>
          <w:rStyle w:val="CharStyle27"/>
          <w:lang w:eastAsia="da-DK"/>
        </w:rPr>
        <w:t xml:space="preserve"> 2019.</w:t>
      </w:r>
      <w:bookmarkEnd w:id="101"/>
      <w:bookmarkEnd w:id="102"/>
    </w:p>
    <w:p w14:paraId="3D694DCD" w14:textId="77777777" w:rsidR="0074324D" w:rsidRDefault="0074324D">
      <w:pPr>
        <w:pStyle w:val="Style26"/>
        <w:jc w:val="both"/>
        <w:rPr>
          <w:rFonts w:ascii="Times New Roman" w:hAnsi="Times New Roman" w:cs="Times New Roman"/>
          <w:sz w:val="24"/>
          <w:szCs w:val="24"/>
        </w:rPr>
      </w:pPr>
      <w:bookmarkStart w:id="103" w:name="bookmark139"/>
      <w:r>
        <w:rPr>
          <w:rStyle w:val="CharStyle27"/>
          <w:lang w:eastAsia="da-DK"/>
        </w:rPr>
        <w:t xml:space="preserve">Sun, Q., Little, C. M., Barthel, A. M., and Padman, L.: A </w:t>
      </w:r>
      <w:r>
        <w:rPr>
          <w:rStyle w:val="CharStyle27"/>
          <w:lang w:val="en-US" w:eastAsia="en-US"/>
        </w:rPr>
        <w:t>clustering</w:t>
      </w:r>
      <w:r>
        <w:rPr>
          <w:rStyle w:val="CharStyle27"/>
          <w:lang w:val="en-US" w:eastAsia="en-US"/>
        </w:rPr>
        <w:softHyphen/>
        <w:t>based</w:t>
      </w:r>
      <w:r>
        <w:rPr>
          <w:rStyle w:val="CharStyle27"/>
          <w:lang w:eastAsia="da-DK"/>
        </w:rPr>
        <w:t xml:space="preserve"> approach to ocean model–data comparison around </w:t>
      </w:r>
      <w:r>
        <w:rPr>
          <w:rStyle w:val="CharStyle27"/>
          <w:lang w:val="en-US" w:eastAsia="en-US"/>
        </w:rPr>
        <w:t>Antarc</w:t>
      </w:r>
      <w:r>
        <w:rPr>
          <w:rStyle w:val="CharStyle27"/>
          <w:lang w:val="en-US" w:eastAsia="en-US"/>
        </w:rPr>
        <w:softHyphen/>
        <w:t>tica,</w:t>
      </w:r>
      <w:r>
        <w:rPr>
          <w:rStyle w:val="CharStyle27"/>
          <w:lang w:eastAsia="da-DK"/>
        </w:rPr>
        <w:t xml:space="preserve"> Ocean Sci., 17, 131–145, </w:t>
      </w:r>
      <w:hyperlink r:id="rId75" w:history="1">
        <w:r>
          <w:rPr>
            <w:rStyle w:val="CharStyle27"/>
            <w:lang w:eastAsia="da-DK"/>
          </w:rPr>
          <w:t>https://doi.org/10.5194/os-17- 131-2021,</w:t>
        </w:r>
      </w:hyperlink>
      <w:r>
        <w:rPr>
          <w:rStyle w:val="CharStyle27"/>
          <w:lang w:eastAsia="da-DK"/>
        </w:rPr>
        <w:t xml:space="preserve"> 2021.</w:t>
      </w:r>
      <w:bookmarkEnd w:id="103"/>
    </w:p>
    <w:p w14:paraId="0BDA8B77" w14:textId="77777777" w:rsidR="0074324D" w:rsidRDefault="0074324D">
      <w:pPr>
        <w:pStyle w:val="Style26"/>
        <w:jc w:val="both"/>
        <w:rPr>
          <w:rFonts w:ascii="Times New Roman" w:hAnsi="Times New Roman" w:cs="Times New Roman"/>
          <w:sz w:val="24"/>
          <w:szCs w:val="24"/>
        </w:rPr>
      </w:pPr>
      <w:bookmarkStart w:id="104" w:name="bookmark140"/>
      <w:r>
        <w:rPr>
          <w:rStyle w:val="CharStyle27"/>
          <w:lang w:eastAsia="da-DK"/>
        </w:rPr>
        <w:t>Sutton, J. N., Johannessen, S. C., and Macdonald, R. W.: A nitro</w:t>
      </w:r>
      <w:r>
        <w:rPr>
          <w:rStyle w:val="CharStyle27"/>
          <w:lang w:eastAsia="da-DK"/>
        </w:rPr>
        <w:softHyphen/>
        <w:t xml:space="preserve">gen budget for the Strait of Georgia, British Columbia, with </w:t>
      </w:r>
      <w:r>
        <w:rPr>
          <w:rStyle w:val="CharStyle27"/>
          <w:lang w:val="en-US" w:eastAsia="en-US"/>
        </w:rPr>
        <w:t>em</w:t>
      </w:r>
      <w:r>
        <w:rPr>
          <w:rStyle w:val="CharStyle27"/>
          <w:lang w:val="en-US" w:eastAsia="en-US"/>
        </w:rPr>
        <w:softHyphen/>
        <w:t>phasis</w:t>
      </w:r>
      <w:r>
        <w:rPr>
          <w:rStyle w:val="CharStyle27"/>
          <w:lang w:eastAsia="da-DK"/>
        </w:rPr>
        <w:t xml:space="preserve"> on particulate nitrogen and dissolved inorganic nitrogen, Biogeosciences, 10, 7179–7194, </w:t>
      </w:r>
      <w:hyperlink r:id="rId76" w:history="1">
        <w:r>
          <w:rPr>
            <w:rStyle w:val="CharStyle27"/>
            <w:lang w:eastAsia="da-DK"/>
          </w:rPr>
          <w:t>https://doi.org/10.5194/bg-10- 7179-2013,</w:t>
        </w:r>
      </w:hyperlink>
      <w:r>
        <w:rPr>
          <w:rStyle w:val="CharStyle27"/>
          <w:lang w:eastAsia="da-DK"/>
        </w:rPr>
        <w:t xml:space="preserve"> 2013.</w:t>
      </w:r>
      <w:bookmarkEnd w:id="104"/>
    </w:p>
    <w:p w14:paraId="5A250D79"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Sverdrup, H.: On conditions for the vernal blooming of </w:t>
      </w:r>
      <w:r>
        <w:rPr>
          <w:rStyle w:val="CharStyle27"/>
          <w:lang w:val="en-US" w:eastAsia="en-US"/>
        </w:rPr>
        <w:t>phytoplank</w:t>
      </w:r>
      <w:r>
        <w:rPr>
          <w:rStyle w:val="CharStyle27"/>
          <w:lang w:val="en-US" w:eastAsia="en-US"/>
        </w:rPr>
        <w:softHyphen/>
        <w:t>ton,</w:t>
      </w:r>
      <w:r>
        <w:rPr>
          <w:rStyle w:val="CharStyle27"/>
          <w:lang w:eastAsia="da-DK"/>
        </w:rPr>
        <w:t xml:space="preserve"> J. Cons. Int. Explor. Mer., 18, 287–295, 1953.</w:t>
      </w:r>
    </w:p>
    <w:p w14:paraId="5A82D277" w14:textId="77777777" w:rsidR="0074324D" w:rsidRDefault="0074324D">
      <w:pPr>
        <w:pStyle w:val="Style26"/>
        <w:jc w:val="both"/>
        <w:rPr>
          <w:rFonts w:ascii="Times New Roman" w:hAnsi="Times New Roman" w:cs="Times New Roman"/>
          <w:sz w:val="24"/>
          <w:szCs w:val="24"/>
        </w:rPr>
      </w:pPr>
      <w:r>
        <w:rPr>
          <w:rStyle w:val="CharStyle27"/>
          <w:lang w:eastAsia="da-DK"/>
        </w:rPr>
        <w:t>Thomson, R. E.: Oceanography of the British Columbia Coast, Canadian Special Publication of Fisheries and Aquatic Science, Fisheries and Oceans Canada, 291, ISBN 0-660-10978-6, 1981.</w:t>
      </w:r>
    </w:p>
    <w:p w14:paraId="67D11491" w14:textId="77777777" w:rsidR="0074324D" w:rsidRDefault="0074324D">
      <w:pPr>
        <w:pStyle w:val="Style26"/>
        <w:jc w:val="both"/>
        <w:rPr>
          <w:rFonts w:ascii="Times New Roman" w:hAnsi="Times New Roman" w:cs="Times New Roman"/>
          <w:sz w:val="24"/>
          <w:szCs w:val="24"/>
        </w:rPr>
      </w:pPr>
      <w:r>
        <w:rPr>
          <w:rStyle w:val="CharStyle27"/>
          <w:lang w:eastAsia="da-DK"/>
        </w:rPr>
        <w:t>Thomson, R., Mihály, S., and Kulikov, E.: Estuarine versus tran</w:t>
      </w:r>
      <w:r>
        <w:rPr>
          <w:rStyle w:val="CharStyle27"/>
          <w:lang w:eastAsia="da-DK"/>
        </w:rPr>
        <w:softHyphen/>
        <w:t xml:space="preserve">sient flow regimes in Juan de Fuca Strait, J. Geophys. Res., 112, C09022, </w:t>
      </w:r>
      <w:hyperlink r:id="rId77" w:history="1">
        <w:r>
          <w:rPr>
            <w:rStyle w:val="CharStyle27"/>
            <w:lang w:eastAsia="da-DK"/>
          </w:rPr>
          <w:t>https://doi.org/10.1029/2006JC003925,</w:t>
        </w:r>
      </w:hyperlink>
      <w:r>
        <w:rPr>
          <w:rStyle w:val="CharStyle27"/>
          <w:lang w:eastAsia="da-DK"/>
        </w:rPr>
        <w:t xml:space="preserve"> 2007.</w:t>
      </w:r>
    </w:p>
    <w:p w14:paraId="5B0EE9BF" w14:textId="77777777" w:rsidR="0074324D" w:rsidRDefault="0074324D">
      <w:pPr>
        <w:pStyle w:val="Style26"/>
        <w:jc w:val="both"/>
        <w:rPr>
          <w:rFonts w:ascii="Times New Roman" w:hAnsi="Times New Roman" w:cs="Times New Roman"/>
          <w:sz w:val="24"/>
          <w:szCs w:val="24"/>
        </w:rPr>
      </w:pPr>
      <w:r>
        <w:rPr>
          <w:rStyle w:val="CharStyle27"/>
          <w:lang w:eastAsia="da-DK"/>
        </w:rPr>
        <w:t>Umlauf, L. and Burchard, H.: A generic length-scale equation for geophysical turbulence models, J. Marine Res., 61, 235–265, 2003.</w:t>
      </w:r>
    </w:p>
    <w:p w14:paraId="662A33E1"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Ward Jr., J. H.: Hierarchical grouping to optimize an objective </w:t>
      </w:r>
      <w:r>
        <w:rPr>
          <w:rStyle w:val="CharStyle27"/>
          <w:lang w:val="en-US" w:eastAsia="en-US"/>
        </w:rPr>
        <w:t>func</w:t>
      </w:r>
      <w:r>
        <w:rPr>
          <w:rStyle w:val="CharStyle27"/>
          <w:lang w:val="en-US" w:eastAsia="en-US"/>
        </w:rPr>
        <w:softHyphen/>
        <w:t>tion,</w:t>
      </w:r>
      <w:r>
        <w:rPr>
          <w:rStyle w:val="CharStyle27"/>
          <w:lang w:eastAsia="da-DK"/>
        </w:rPr>
        <w:t xml:space="preserve"> J. Am. Stat. Assoc., 58, 236–244, 1963.</w:t>
      </w:r>
    </w:p>
    <w:p w14:paraId="7C15235D"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Wasser, S. K., Lundin, J. I., Ayres, K., Seely, E., Giles, D., Balcomb, K., Hempelmann, J., Parsons, K., and Booth, R.: Population growth is limited by nutritional impacts on pregnancy success in endangered Southern Resident killer whales (Orcinus orca), PLoS One, 12, e0179824, </w:t>
      </w:r>
      <w:hyperlink r:id="rId78" w:history="1">
        <w:r>
          <w:rPr>
            <w:rStyle w:val="CharStyle27"/>
            <w:lang w:eastAsia="da-DK"/>
          </w:rPr>
          <w:t>https://doi.org/10.1371/journal.pone.0179824,</w:t>
        </w:r>
      </w:hyperlink>
      <w:r>
        <w:rPr>
          <w:rStyle w:val="CharStyle27"/>
          <w:lang w:eastAsia="da-DK"/>
        </w:rPr>
        <w:t xml:space="preserve"> 2017.</w:t>
      </w:r>
    </w:p>
    <w:p w14:paraId="51FAA4D0" w14:textId="77777777" w:rsidR="0074324D" w:rsidRDefault="0074324D">
      <w:pPr>
        <w:pStyle w:val="Style26"/>
        <w:jc w:val="both"/>
        <w:rPr>
          <w:rFonts w:ascii="Times New Roman" w:hAnsi="Times New Roman" w:cs="Times New Roman"/>
          <w:sz w:val="24"/>
          <w:szCs w:val="24"/>
        </w:rPr>
      </w:pPr>
      <w:r>
        <w:rPr>
          <w:rStyle w:val="CharStyle27"/>
          <w:lang w:eastAsia="da-DK"/>
        </w:rPr>
        <w:t xml:space="preserve">Wishart, D.: 256. Note: An algorithm for hierarchical </w:t>
      </w:r>
      <w:r>
        <w:rPr>
          <w:rStyle w:val="CharStyle27"/>
          <w:lang w:val="en-US" w:eastAsia="en-US"/>
        </w:rPr>
        <w:t>classifica</w:t>
      </w:r>
      <w:r>
        <w:rPr>
          <w:rStyle w:val="CharStyle27"/>
          <w:lang w:val="en-US" w:eastAsia="en-US"/>
        </w:rPr>
        <w:softHyphen/>
        <w:t>tions,</w:t>
      </w:r>
      <w:r>
        <w:rPr>
          <w:rStyle w:val="CharStyle27"/>
          <w:lang w:eastAsia="da-DK"/>
        </w:rPr>
        <w:t xml:space="preserve"> Biometrics, 25, 165–170, 1969.</w:t>
      </w:r>
    </w:p>
    <w:p w14:paraId="1791AD7C" w14:textId="77777777" w:rsidR="0074324D" w:rsidRDefault="0074324D">
      <w:pPr>
        <w:pStyle w:val="Style26"/>
        <w:jc w:val="both"/>
        <w:rPr>
          <w:rFonts w:ascii="Times New Roman" w:hAnsi="Times New Roman" w:cs="Times New Roman"/>
          <w:sz w:val="24"/>
          <w:szCs w:val="24"/>
        </w:rPr>
      </w:pPr>
      <w:r>
        <w:rPr>
          <w:rStyle w:val="CharStyle27"/>
          <w:lang w:eastAsia="da-DK"/>
        </w:rPr>
        <w:t>Yin, K., Goldblatt, R. H., Harrison, P. J., John, M. A. S., Clifford, P. J., and Beamish, R. J.: Importance of wind and river discharge in influencing nutrient dynamics and phytoplankton production in summer in the central Strait of Georgia, Mar. Ecol.-Prog. Ser., 161, 173–183, 1997.</w:t>
      </w:r>
    </w:p>
    <w:sectPr w:rsidR="00000000">
      <w:type w:val="continuous"/>
      <w:pgSz w:w="11909" w:h="16834"/>
      <w:pgMar w:top="1851" w:right="909" w:bottom="1813" w:left="901" w:header="0" w:footer="3" w:gutter="0"/>
      <w:cols w:num="2" w:space="3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398A" w14:textId="77777777" w:rsidR="0074324D" w:rsidRDefault="0074324D">
      <w:r>
        <w:separator/>
      </w:r>
    </w:p>
  </w:endnote>
  <w:endnote w:type="continuationSeparator" w:id="0">
    <w:p w14:paraId="2B1D8A78" w14:textId="77777777" w:rsidR="0074324D" w:rsidRDefault="0074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B9BD" w14:textId="6B3C9D33" w:rsidR="0074324D" w:rsidRDefault="0074324D">
    <w:pPr>
      <w:spacing w:line="1" w:lineRule="exact"/>
      <w:rPr>
        <w:color w:val="auto"/>
        <w:lang w:eastAsia="en-GB"/>
      </w:rPr>
    </w:pPr>
    <w:r>
      <w:rPr>
        <w:noProof/>
      </w:rPr>
      <mc:AlternateContent>
        <mc:Choice Requires="wps">
          <w:drawing>
            <wp:anchor distT="0" distB="0" distL="0" distR="0" simplePos="0" relativeHeight="251665408" behindDoc="1" locked="0" layoutInCell="1" allowOverlap="1" wp14:anchorId="466C6BDC" wp14:editId="2C559B89">
              <wp:simplePos x="0" y="0"/>
              <wp:positionH relativeFrom="page">
                <wp:posOffset>581660</wp:posOffset>
              </wp:positionH>
              <wp:positionV relativeFrom="page">
                <wp:posOffset>9616440</wp:posOffset>
              </wp:positionV>
              <wp:extent cx="6365875" cy="123825"/>
              <wp:effectExtent l="635" t="0" r="0" b="3810"/>
              <wp:wrapNone/>
              <wp:docPr id="859565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62667" w14:textId="77777777" w:rsidR="0074324D" w:rsidRDefault="0074324D">
                          <w:pPr>
                            <w:pStyle w:val="Style17"/>
                            <w:tabs>
                              <w:tab w:val="right" w:pos="10025"/>
                            </w:tabs>
                            <w:rPr>
                              <w:sz w:val="24"/>
                              <w:szCs w:val="24"/>
                            </w:rPr>
                          </w:pPr>
                          <w:r>
                            <w:rPr>
                              <w:rStyle w:val="CharStyle18"/>
                              <w:rFonts w:ascii="Arial" w:hAnsi="Arial" w:cs="Arial"/>
                              <w:sz w:val="17"/>
                              <w:szCs w:val="17"/>
                              <w:lang w:eastAsia="da-DK"/>
                            </w:rPr>
                            <w:t>Ocean Sci., 18, 1451–1475, 2022</w:t>
                          </w:r>
                          <w:r>
                            <w:rPr>
                              <w:rStyle w:val="CharStyle18"/>
                              <w:rFonts w:ascii="Arial" w:hAnsi="Arial" w:cs="Arial"/>
                              <w:sz w:val="17"/>
                              <w:szCs w:val="17"/>
                              <w:lang w:eastAsia="da-DK"/>
                            </w:rPr>
                            <w:tab/>
                            <w:t>https://doi.org/10.5194/os-18-1451-2022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6C6BDC" id="_x0000_t202" coordsize="21600,21600" o:spt="202" path="m,l,21600r21600,l21600,xe">
              <v:stroke joinstyle="miter"/>
              <v:path gradientshapeok="t" o:connecttype="rect"/>
            </v:shapetype>
            <v:shape id="Text Box 5" o:spid="_x0000_s1040" type="#_x0000_t202" style="position:absolute;margin-left:45.8pt;margin-top:757.2pt;width:501.25pt;height:9.7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" filled="f" stroked="f">
              <v:textbox style="mso-fit-shape-to-text:t" inset="0,0,0,0">
                <w:txbxContent>
                  <w:p w14:paraId="23B62667" w14:textId="77777777" w:rsidR="0074324D" w:rsidRDefault="0074324D">
                    <w:pPr>
                      <w:pStyle w:val="Style17"/>
                      <w:tabs>
                        <w:tab w:val="right" w:pos="10025"/>
                      </w:tabs>
                      <w:rPr>
                        <w:sz w:val="24"/>
                        <w:szCs w:val="24"/>
                      </w:rPr>
                    </w:pPr>
                    <w:r>
                      <w:rPr>
                        <w:rStyle w:val="CharStyle18"/>
                        <w:rFonts w:ascii="Arial" w:hAnsi="Arial" w:cs="Arial"/>
                        <w:sz w:val="17"/>
                        <w:szCs w:val="17"/>
                        <w:lang w:eastAsia="da-DK"/>
                      </w:rPr>
                      <w:t>Ocean Sci., 18, 1451–1475, 2022</w:t>
                    </w:r>
                    <w:r>
                      <w:rPr>
                        <w:rStyle w:val="CharStyle18"/>
                        <w:rFonts w:ascii="Arial" w:hAnsi="Arial" w:cs="Arial"/>
                        <w:sz w:val="17"/>
                        <w:szCs w:val="17"/>
                        <w:lang w:eastAsia="da-DK"/>
                      </w:rPr>
                      <w:tab/>
                      <w:t>https://doi.org/10.5194/os-18-1451-2022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A6D1" w14:textId="71C1FF4A" w:rsidR="0074324D" w:rsidRDefault="0074324D">
    <w:pPr>
      <w:spacing w:line="1" w:lineRule="exact"/>
      <w:rPr>
        <w:color w:val="auto"/>
        <w:lang w:eastAsia="en-GB"/>
      </w:rPr>
    </w:pPr>
    <w:r>
      <w:rPr>
        <w:noProof/>
      </w:rPr>
      <mc:AlternateContent>
        <mc:Choice Requires="wps">
          <w:drawing>
            <wp:anchor distT="0" distB="0" distL="0" distR="0" simplePos="0" relativeHeight="251660288" behindDoc="1" locked="0" layoutInCell="1" allowOverlap="1" wp14:anchorId="4872B1A9" wp14:editId="7E67DE24">
              <wp:simplePos x="0" y="0"/>
              <wp:positionH relativeFrom="page">
                <wp:posOffset>593090</wp:posOffset>
              </wp:positionH>
              <wp:positionV relativeFrom="page">
                <wp:posOffset>9784715</wp:posOffset>
              </wp:positionV>
              <wp:extent cx="6367145" cy="123825"/>
              <wp:effectExtent l="2540" t="2540" r="2540" b="0"/>
              <wp:wrapNone/>
              <wp:docPr id="29462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65E2" w14:textId="77777777" w:rsidR="0074324D" w:rsidRDefault="0074324D">
                          <w:pPr>
                            <w:pStyle w:val="Style17"/>
                            <w:tabs>
                              <w:tab w:val="right" w:pos="10027"/>
                            </w:tabs>
                            <w:rPr>
                              <w:sz w:val="24"/>
                              <w:szCs w:val="24"/>
                            </w:rPr>
                          </w:pPr>
                          <w:r>
                            <w:rPr>
                              <w:rStyle w:val="CharStyle18"/>
                              <w:rFonts w:ascii="Arial" w:hAnsi="Arial" w:cs="Arial"/>
                              <w:sz w:val="17"/>
                              <w:szCs w:val="17"/>
                              <w:lang w:eastAsia="da-DK"/>
                            </w:rPr>
                            <w:t>https://doi.org/10.5194/os-18-1451-2022</w:t>
                          </w:r>
                          <w:r>
                            <w:rPr>
                              <w:rStyle w:val="CharStyle18"/>
                              <w:rFonts w:ascii="Arial" w:hAnsi="Arial" w:cs="Arial"/>
                              <w:sz w:val="17"/>
                              <w:szCs w:val="17"/>
                              <w:lang w:eastAsia="da-DK"/>
                            </w:rPr>
                            <w:tab/>
                            <w:t>Ocean Sci., 18, 1451–1475,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72B1A9" id="_x0000_t202" coordsize="21600,21600" o:spt="202" path="m,l,21600r21600,l21600,xe">
              <v:stroke joinstyle="miter"/>
              <v:path gradientshapeok="t" o:connecttype="rect"/>
            </v:shapetype>
            <v:shape id="_x0000_s1041" type="#_x0000_t202" style="position:absolute;margin-left:46.7pt;margin-top:770.45pt;width:501.35pt;height:9.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" filled="f" stroked="f">
              <v:textbox style="mso-fit-shape-to-text:t" inset="0,0,0,0">
                <w:txbxContent>
                  <w:p w14:paraId="1DF165E2" w14:textId="77777777" w:rsidR="0074324D" w:rsidRDefault="0074324D">
                    <w:pPr>
                      <w:pStyle w:val="Style17"/>
                      <w:tabs>
                        <w:tab w:val="right" w:pos="10027"/>
                      </w:tabs>
                      <w:rPr>
                        <w:sz w:val="24"/>
                        <w:szCs w:val="24"/>
                      </w:rPr>
                    </w:pPr>
                    <w:r>
                      <w:rPr>
                        <w:rStyle w:val="CharStyle18"/>
                        <w:rFonts w:ascii="Arial" w:hAnsi="Arial" w:cs="Arial"/>
                        <w:sz w:val="17"/>
                        <w:szCs w:val="17"/>
                        <w:lang w:eastAsia="da-DK"/>
                      </w:rPr>
                      <w:t>https://doi.org/10.5194/os-18-1451-2022</w:t>
                    </w:r>
                    <w:r>
                      <w:rPr>
                        <w:rStyle w:val="CharStyle18"/>
                        <w:rFonts w:ascii="Arial" w:hAnsi="Arial" w:cs="Arial"/>
                        <w:sz w:val="17"/>
                        <w:szCs w:val="17"/>
                        <w:lang w:eastAsia="da-DK"/>
                      </w:rPr>
                      <w:tab/>
                      <w:t>Ocean Sci., 18, 1451–1475, 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D072" w14:textId="3B59E48F" w:rsidR="0074324D" w:rsidRDefault="0074324D">
    <w:pPr>
      <w:spacing w:line="1" w:lineRule="exact"/>
      <w:rPr>
        <w:color w:val="auto"/>
        <w:lang w:eastAsia="en-GB"/>
      </w:rPr>
    </w:pPr>
    <w:r>
      <w:rPr>
        <w:noProof/>
      </w:rPr>
      <mc:AlternateContent>
        <mc:Choice Requires="wps">
          <w:drawing>
            <wp:anchor distT="0" distB="0" distL="0" distR="0" simplePos="0" relativeHeight="251669504" behindDoc="1" locked="0" layoutInCell="1" allowOverlap="1" wp14:anchorId="402B43AB" wp14:editId="516C1B23">
              <wp:simplePos x="0" y="0"/>
              <wp:positionH relativeFrom="page">
                <wp:posOffset>598170</wp:posOffset>
              </wp:positionH>
              <wp:positionV relativeFrom="page">
                <wp:posOffset>9781540</wp:posOffset>
              </wp:positionV>
              <wp:extent cx="6363970" cy="123825"/>
              <wp:effectExtent l="0" t="0" r="635" b="635"/>
              <wp:wrapNone/>
              <wp:docPr id="17920390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2047" w14:textId="77777777" w:rsidR="0074324D" w:rsidRDefault="0074324D">
                          <w:pPr>
                            <w:pStyle w:val="Style17"/>
                            <w:tabs>
                              <w:tab w:val="right" w:pos="10022"/>
                            </w:tabs>
                            <w:rPr>
                              <w:sz w:val="24"/>
                              <w:szCs w:val="24"/>
                            </w:rPr>
                          </w:pPr>
                          <w:r>
                            <w:rPr>
                              <w:rStyle w:val="CharStyle18"/>
                              <w:rFonts w:ascii="Arial" w:hAnsi="Arial" w:cs="Arial"/>
                              <w:sz w:val="17"/>
                              <w:szCs w:val="17"/>
                              <w:lang w:eastAsia="da-DK"/>
                            </w:rPr>
                            <w:t>Ocean Sci., 18, 1451–1475, 2022</w:t>
                          </w:r>
                          <w:r>
                            <w:rPr>
                              <w:rStyle w:val="CharStyle18"/>
                              <w:rFonts w:ascii="Arial" w:hAnsi="Arial" w:cs="Arial"/>
                              <w:sz w:val="17"/>
                              <w:szCs w:val="17"/>
                              <w:lang w:eastAsia="da-DK"/>
                            </w:rPr>
                            <w:tab/>
                            <w:t>https://doi.org/10.5194/os-18-1451-2022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2B43AB" id="_x0000_t202" coordsize="21600,21600" o:spt="202" path="m,l,21600r21600,l21600,xe">
              <v:stroke joinstyle="miter"/>
              <v:path gradientshapeok="t" o:connecttype="rect"/>
            </v:shapetype>
            <v:shape id="Text Box 7" o:spid="_x0000_s1043" type="#_x0000_t202" style="position:absolute;margin-left:47.1pt;margin-top:770.2pt;width:501.1pt;height:9.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" filled="f" stroked="f">
              <v:textbox style="mso-fit-shape-to-text:t" inset="0,0,0,0">
                <w:txbxContent>
                  <w:p w14:paraId="23672047" w14:textId="77777777" w:rsidR="0074324D" w:rsidRDefault="0074324D">
                    <w:pPr>
                      <w:pStyle w:val="Style17"/>
                      <w:tabs>
                        <w:tab w:val="right" w:pos="10022"/>
                      </w:tabs>
                      <w:rPr>
                        <w:sz w:val="24"/>
                        <w:szCs w:val="24"/>
                      </w:rPr>
                    </w:pPr>
                    <w:r>
                      <w:rPr>
                        <w:rStyle w:val="CharStyle18"/>
                        <w:rFonts w:ascii="Arial" w:hAnsi="Arial" w:cs="Arial"/>
                        <w:sz w:val="17"/>
                        <w:szCs w:val="17"/>
                        <w:lang w:eastAsia="da-DK"/>
                      </w:rPr>
                      <w:t>Ocean Sci., 18, 1451–1475, 2022</w:t>
                    </w:r>
                    <w:r>
                      <w:rPr>
                        <w:rStyle w:val="CharStyle18"/>
                        <w:rFonts w:ascii="Arial" w:hAnsi="Arial" w:cs="Arial"/>
                        <w:sz w:val="17"/>
                        <w:szCs w:val="17"/>
                        <w:lang w:eastAsia="da-DK"/>
                      </w:rPr>
                      <w:tab/>
                      <w:t>https://doi.org/10.5194/os-18-1451-2022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6B6E" w14:textId="253D137D" w:rsidR="0074324D" w:rsidRDefault="0074324D">
    <w:pPr>
      <w:spacing w:line="1" w:lineRule="exact"/>
      <w:rPr>
        <w:color w:val="auto"/>
        <w:lang w:eastAsia="en-GB"/>
      </w:rPr>
    </w:pPr>
    <w:r>
      <w:rPr>
        <w:noProof/>
      </w:rPr>
      <mc:AlternateContent>
        <mc:Choice Requires="wps">
          <w:drawing>
            <wp:anchor distT="0" distB="0" distL="0" distR="0" simplePos="0" relativeHeight="251677696" behindDoc="1" locked="0" layoutInCell="1" allowOverlap="1" wp14:anchorId="23F45A4D" wp14:editId="24106D47">
              <wp:simplePos x="0" y="0"/>
              <wp:positionH relativeFrom="page">
                <wp:posOffset>598170</wp:posOffset>
              </wp:positionH>
              <wp:positionV relativeFrom="page">
                <wp:posOffset>9781540</wp:posOffset>
              </wp:positionV>
              <wp:extent cx="6363970" cy="123825"/>
              <wp:effectExtent l="0" t="0" r="635" b="635"/>
              <wp:wrapNone/>
              <wp:docPr id="15667976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4076" w14:textId="77777777" w:rsidR="0074324D" w:rsidRDefault="0074324D">
                          <w:pPr>
                            <w:pStyle w:val="Style17"/>
                            <w:tabs>
                              <w:tab w:val="right" w:pos="10022"/>
                            </w:tabs>
                            <w:rPr>
                              <w:sz w:val="24"/>
                              <w:szCs w:val="24"/>
                            </w:rPr>
                          </w:pPr>
                          <w:r>
                            <w:rPr>
                              <w:rStyle w:val="CharStyle18"/>
                              <w:rFonts w:ascii="Arial" w:hAnsi="Arial" w:cs="Arial"/>
                              <w:sz w:val="17"/>
                              <w:szCs w:val="17"/>
                              <w:lang w:eastAsia="da-DK"/>
                            </w:rPr>
                            <w:t>Ocean Sci., 18, 1451–1475, 2022</w:t>
                          </w:r>
                          <w:r>
                            <w:rPr>
                              <w:rStyle w:val="CharStyle18"/>
                              <w:rFonts w:ascii="Arial" w:hAnsi="Arial" w:cs="Arial"/>
                              <w:sz w:val="17"/>
                              <w:szCs w:val="17"/>
                              <w:lang w:eastAsia="da-DK"/>
                            </w:rPr>
                            <w:tab/>
                            <w:t>https://doi.org/10.5194/os-18-1451-2022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45A4D" id="_x0000_t202" coordsize="21600,21600" o:spt="202" path="m,l,21600r21600,l21600,xe">
              <v:stroke joinstyle="miter"/>
              <v:path gradientshapeok="t" o:connecttype="rect"/>
            </v:shapetype>
            <v:shape id="_x0000_s1046" type="#_x0000_t202" style="position:absolute;margin-left:47.1pt;margin-top:770.2pt;width:501.1pt;height:9.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" filled="f" stroked="f">
              <v:textbox style="mso-fit-shape-to-text:t" inset="0,0,0,0">
                <w:txbxContent>
                  <w:p w14:paraId="201F4076" w14:textId="77777777" w:rsidR="0074324D" w:rsidRDefault="0074324D">
                    <w:pPr>
                      <w:pStyle w:val="Style17"/>
                      <w:tabs>
                        <w:tab w:val="right" w:pos="10022"/>
                      </w:tabs>
                      <w:rPr>
                        <w:sz w:val="24"/>
                        <w:szCs w:val="24"/>
                      </w:rPr>
                    </w:pPr>
                    <w:r>
                      <w:rPr>
                        <w:rStyle w:val="CharStyle18"/>
                        <w:rFonts w:ascii="Arial" w:hAnsi="Arial" w:cs="Arial"/>
                        <w:sz w:val="17"/>
                        <w:szCs w:val="17"/>
                        <w:lang w:eastAsia="da-DK"/>
                      </w:rPr>
                      <w:t>Ocean Sci., 18, 1451–1475, 2022</w:t>
                    </w:r>
                    <w:r>
                      <w:rPr>
                        <w:rStyle w:val="CharStyle18"/>
                        <w:rFonts w:ascii="Arial" w:hAnsi="Arial" w:cs="Arial"/>
                        <w:sz w:val="17"/>
                        <w:szCs w:val="17"/>
                        <w:lang w:eastAsia="da-DK"/>
                      </w:rPr>
                      <w:tab/>
                      <w:t>https://doi.org/10.5194/os-18-1451-2022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1B35" w14:textId="48331B81" w:rsidR="0074324D" w:rsidRDefault="0074324D">
    <w:pPr>
      <w:spacing w:line="1" w:lineRule="exact"/>
      <w:rPr>
        <w:color w:val="auto"/>
        <w:lang w:eastAsia="en-GB"/>
      </w:rPr>
    </w:pPr>
    <w:r>
      <w:rPr>
        <w:noProof/>
      </w:rPr>
      <mc:AlternateContent>
        <mc:Choice Requires="wps">
          <w:drawing>
            <wp:anchor distT="0" distB="0" distL="0" distR="0" simplePos="0" relativeHeight="251673600" behindDoc="1" locked="0" layoutInCell="1" allowOverlap="1" wp14:anchorId="70390D6B" wp14:editId="7A1D1171">
              <wp:simplePos x="0" y="0"/>
              <wp:positionH relativeFrom="page">
                <wp:posOffset>593090</wp:posOffset>
              </wp:positionH>
              <wp:positionV relativeFrom="page">
                <wp:posOffset>9784715</wp:posOffset>
              </wp:positionV>
              <wp:extent cx="6367145" cy="123825"/>
              <wp:effectExtent l="2540" t="2540" r="2540" b="0"/>
              <wp:wrapNone/>
              <wp:docPr id="12388222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70BE" w14:textId="77777777" w:rsidR="0074324D" w:rsidRDefault="0074324D">
                          <w:pPr>
                            <w:pStyle w:val="Style17"/>
                            <w:tabs>
                              <w:tab w:val="right" w:pos="10027"/>
                            </w:tabs>
                            <w:rPr>
                              <w:sz w:val="24"/>
                              <w:szCs w:val="24"/>
                            </w:rPr>
                          </w:pPr>
                          <w:r>
                            <w:rPr>
                              <w:rStyle w:val="CharStyle18"/>
                              <w:rFonts w:ascii="Arial" w:hAnsi="Arial" w:cs="Arial"/>
                              <w:sz w:val="17"/>
                              <w:szCs w:val="17"/>
                              <w:lang w:eastAsia="da-DK"/>
                            </w:rPr>
                            <w:t>https://doi.org/10.5194/os-18-1451-2022</w:t>
                          </w:r>
                          <w:r>
                            <w:rPr>
                              <w:rStyle w:val="CharStyle18"/>
                              <w:rFonts w:ascii="Arial" w:hAnsi="Arial" w:cs="Arial"/>
                              <w:sz w:val="17"/>
                              <w:szCs w:val="17"/>
                              <w:lang w:eastAsia="da-DK"/>
                            </w:rPr>
                            <w:tab/>
                            <w:t>Ocean Sci., 18, 1451–1475, 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90D6B" id="_x0000_t202" coordsize="21600,21600" o:spt="202" path="m,l,21600r21600,l21600,xe">
              <v:stroke joinstyle="miter"/>
              <v:path gradientshapeok="t" o:connecttype="rect"/>
            </v:shapetype>
            <v:shape id="Text Box 9" o:spid="_x0000_s1047" type="#_x0000_t202" style="position:absolute;margin-left:46.7pt;margin-top:770.45pt;width:501.35pt;height:9.7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" filled="f" stroked="f">
              <v:textbox style="mso-fit-shape-to-text:t" inset="0,0,0,0">
                <w:txbxContent>
                  <w:p w14:paraId="48C470BE" w14:textId="77777777" w:rsidR="0074324D" w:rsidRDefault="0074324D">
                    <w:pPr>
                      <w:pStyle w:val="Style17"/>
                      <w:tabs>
                        <w:tab w:val="right" w:pos="10027"/>
                      </w:tabs>
                      <w:rPr>
                        <w:sz w:val="24"/>
                        <w:szCs w:val="24"/>
                      </w:rPr>
                    </w:pPr>
                    <w:r>
                      <w:rPr>
                        <w:rStyle w:val="CharStyle18"/>
                        <w:rFonts w:ascii="Arial" w:hAnsi="Arial" w:cs="Arial"/>
                        <w:sz w:val="17"/>
                        <w:szCs w:val="17"/>
                        <w:lang w:eastAsia="da-DK"/>
                      </w:rPr>
                      <w:t>https://doi.org/10.5194/os-18-1451-2022</w:t>
                    </w:r>
                    <w:r>
                      <w:rPr>
                        <w:rStyle w:val="CharStyle18"/>
                        <w:rFonts w:ascii="Arial" w:hAnsi="Arial" w:cs="Arial"/>
                        <w:sz w:val="17"/>
                        <w:szCs w:val="17"/>
                        <w:lang w:eastAsia="da-DK"/>
                      </w:rPr>
                      <w:tab/>
                      <w:t>Ocean Sci., 18, 1451–1475, 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48B1A" w14:textId="77777777" w:rsidR="0074324D" w:rsidRDefault="0074324D">
      <w:r>
        <w:separator/>
      </w:r>
    </w:p>
  </w:footnote>
  <w:footnote w:type="continuationSeparator" w:id="0">
    <w:p w14:paraId="34E5E1B6" w14:textId="77777777" w:rsidR="0074324D" w:rsidRDefault="00743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643B1" w14:textId="667A258F" w:rsidR="0074324D" w:rsidRDefault="0074324D">
    <w:pPr>
      <w:spacing w:line="1" w:lineRule="exact"/>
      <w:rPr>
        <w:color w:val="auto"/>
        <w:lang w:eastAsia="en-GB"/>
      </w:rPr>
    </w:pPr>
    <w:r>
      <w:rPr>
        <w:noProof/>
      </w:rPr>
      <mc:AlternateContent>
        <mc:Choice Requires="wps">
          <w:drawing>
            <wp:anchor distT="0" distB="0" distL="0" distR="0" simplePos="0" relativeHeight="251662336" behindDoc="1" locked="0" layoutInCell="1" allowOverlap="1" wp14:anchorId="7B2DECCA" wp14:editId="199E3C40">
              <wp:simplePos x="0" y="0"/>
              <wp:positionH relativeFrom="page">
                <wp:posOffset>586105</wp:posOffset>
              </wp:positionH>
              <wp:positionV relativeFrom="page">
                <wp:posOffset>702310</wp:posOffset>
              </wp:positionV>
              <wp:extent cx="6361430" cy="123825"/>
              <wp:effectExtent l="0" t="0" r="0" b="2540"/>
              <wp:wrapNone/>
              <wp:docPr id="2234534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FFA4" w14:textId="77777777" w:rsidR="0074324D" w:rsidRDefault="0074324D">
                          <w:pPr>
                            <w:pStyle w:val="Style17"/>
                            <w:tabs>
                              <w:tab w:val="right" w:pos="10018"/>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r>
                            <w:rPr>
                              <w:rStyle w:val="CharStyle18"/>
                              <w:rFonts w:ascii="Arial" w:hAnsi="Arial" w:cs="Arial"/>
                              <w:sz w:val="17"/>
                              <w:szCs w:val="17"/>
                              <w:lang w:eastAsia="da-DK"/>
                            </w:rPr>
                            <w:tab/>
                            <w:t>T. Jarníková et al.: Salish Sea clustering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2DECCA" id="_x0000_t202" coordsize="21600,21600" o:spt="202" path="m,l,21600r21600,l21600,xe">
              <v:stroke joinstyle="miter"/>
              <v:path gradientshapeok="t" o:connecttype="rect"/>
            </v:shapetype>
            <v:shape id="Text Box 3" o:spid="_x0000_s1037" type="#_x0000_t202" style="position:absolute;margin-left:46.15pt;margin-top:55.3pt;width:500.9pt;height:9.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" filled="f" stroked="f">
              <v:textbox style="mso-fit-shape-to-text:t" inset="0,0,0,0">
                <w:txbxContent>
                  <w:p w14:paraId="7922FFA4" w14:textId="77777777" w:rsidR="0074324D" w:rsidRDefault="0074324D">
                    <w:pPr>
                      <w:pStyle w:val="Style17"/>
                      <w:tabs>
                        <w:tab w:val="right" w:pos="10018"/>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r>
                      <w:rPr>
                        <w:rStyle w:val="CharStyle18"/>
                        <w:rFonts w:ascii="Arial" w:hAnsi="Arial" w:cs="Arial"/>
                        <w:sz w:val="17"/>
                        <w:szCs w:val="17"/>
                        <w:lang w:eastAsia="da-DK"/>
                      </w:rPr>
                      <w:tab/>
                      <w:t>T. Jarníková et al.: Salish Sea clustering</w:t>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2BE1FD3E" wp14:editId="5F00FEA4">
              <wp:simplePos x="0" y="0"/>
              <wp:positionH relativeFrom="page">
                <wp:posOffset>580390</wp:posOffset>
              </wp:positionH>
              <wp:positionV relativeFrom="page">
                <wp:posOffset>1037590</wp:posOffset>
              </wp:positionV>
              <wp:extent cx="1638300" cy="123825"/>
              <wp:effectExtent l="0" t="0" r="635" b="635"/>
              <wp:wrapNone/>
              <wp:docPr id="5547776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1ED5" w14:textId="77777777" w:rsidR="0074324D" w:rsidRDefault="0074324D">
                          <w:pPr>
                            <w:pStyle w:val="Style17"/>
                            <w:rPr>
                              <w:sz w:val="24"/>
                              <w:szCs w:val="24"/>
                            </w:rPr>
                          </w:pPr>
                          <w:r>
                            <w:rPr>
                              <w:rStyle w:val="CharStyle18"/>
                              <w:rFonts w:ascii="Arial" w:hAnsi="Arial" w:cs="Arial"/>
                              <w:sz w:val="17"/>
                              <w:szCs w:val="17"/>
                              <w:lang w:eastAsia="da-DK"/>
                            </w:rPr>
                            <w:t>2.2 Stations and clustering signals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E1FD3E" id="Text Box 4" o:spid="_x0000_s1038" type="#_x0000_t202" style="position:absolute;margin-left:45.7pt;margin-top:81.7pt;width:129pt;height:9.75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" filled="f" stroked="f">
              <v:textbox style="mso-fit-shape-to-text:t" inset="0,0,0,0">
                <w:txbxContent>
                  <w:p w14:paraId="40351ED5" w14:textId="77777777" w:rsidR="0074324D" w:rsidRDefault="0074324D">
                    <w:pPr>
                      <w:pStyle w:val="Style17"/>
                      <w:rPr>
                        <w:sz w:val="24"/>
                        <w:szCs w:val="24"/>
                      </w:rPr>
                    </w:pPr>
                    <w:r>
                      <w:rPr>
                        <w:rStyle w:val="CharStyle18"/>
                        <w:rFonts w:ascii="Arial" w:hAnsi="Arial" w:cs="Arial"/>
                        <w:sz w:val="17"/>
                        <w:szCs w:val="17"/>
                        <w:lang w:eastAsia="da-DK"/>
                      </w:rPr>
                      <w:t>2.2 Stations and clustering signals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A853" w14:textId="201CA4DD" w:rsidR="0074324D" w:rsidRDefault="0074324D">
    <w:pPr>
      <w:spacing w:line="1" w:lineRule="exact"/>
      <w:rPr>
        <w:color w:val="auto"/>
        <w:lang w:eastAsia="en-GB"/>
      </w:rPr>
    </w:pPr>
    <w:r>
      <w:rPr>
        <w:noProof/>
      </w:rPr>
      <mc:AlternateContent>
        <mc:Choice Requires="wps">
          <w:drawing>
            <wp:anchor distT="0" distB="0" distL="0" distR="0" simplePos="0" relativeHeight="251658240" behindDoc="1" locked="0" layoutInCell="1" allowOverlap="1" wp14:anchorId="17BCF0BE" wp14:editId="52FBC761">
              <wp:simplePos x="0" y="0"/>
              <wp:positionH relativeFrom="page">
                <wp:posOffset>594995</wp:posOffset>
              </wp:positionH>
              <wp:positionV relativeFrom="page">
                <wp:posOffset>857885</wp:posOffset>
              </wp:positionV>
              <wp:extent cx="6365240" cy="123825"/>
              <wp:effectExtent l="4445" t="635" r="2540" b="0"/>
              <wp:wrapNone/>
              <wp:docPr id="11612568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9DE4" w14:textId="77777777" w:rsidR="0074324D" w:rsidRDefault="0074324D">
                          <w:pPr>
                            <w:pStyle w:val="Style17"/>
                            <w:tabs>
                              <w:tab w:val="right" w:pos="10024"/>
                            </w:tabs>
                            <w:rPr>
                              <w:sz w:val="24"/>
                              <w:szCs w:val="24"/>
                            </w:rPr>
                          </w:pPr>
                          <w:r>
                            <w:rPr>
                              <w:rStyle w:val="CharStyle18"/>
                              <w:rFonts w:ascii="Arial" w:hAnsi="Arial" w:cs="Arial"/>
                              <w:sz w:val="17"/>
                              <w:szCs w:val="17"/>
                              <w:lang w:eastAsia="da-DK"/>
                            </w:rPr>
                            <w:t>T. Jarníková et al.: Salish Sea clustering</w:t>
                          </w:r>
                          <w:r>
                            <w:rPr>
                              <w:rStyle w:val="CharStyle18"/>
                              <w:rFonts w:ascii="Arial" w:hAnsi="Arial" w:cs="Arial"/>
                              <w:sz w:val="17"/>
                              <w:szCs w:val="17"/>
                              <w:lang w:eastAsia="da-DK"/>
                            </w:rPr>
                            <w:tab/>
                          </w: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BCF0BE" id="_x0000_t202" coordsize="21600,21600" o:spt="202" path="m,l,21600r21600,l21600,xe">
              <v:stroke joinstyle="miter"/>
              <v:path gradientshapeok="t" o:connecttype="rect"/>
            </v:shapetype>
            <v:shape id="Text Box 1" o:spid="_x0000_s1039" type="#_x0000_t202" style="position:absolute;margin-left:46.85pt;margin-top:67.55pt;width:501.2pt;height:9.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" filled="f" stroked="f">
              <v:textbox style="mso-fit-shape-to-text:t" inset="0,0,0,0">
                <w:txbxContent>
                  <w:p w14:paraId="30659DE4" w14:textId="77777777" w:rsidR="0074324D" w:rsidRDefault="0074324D">
                    <w:pPr>
                      <w:pStyle w:val="Style17"/>
                      <w:tabs>
                        <w:tab w:val="right" w:pos="10024"/>
                      </w:tabs>
                      <w:rPr>
                        <w:sz w:val="24"/>
                        <w:szCs w:val="24"/>
                      </w:rPr>
                    </w:pPr>
                    <w:r>
                      <w:rPr>
                        <w:rStyle w:val="CharStyle18"/>
                        <w:rFonts w:ascii="Arial" w:hAnsi="Arial" w:cs="Arial"/>
                        <w:sz w:val="17"/>
                        <w:szCs w:val="17"/>
                        <w:lang w:eastAsia="da-DK"/>
                      </w:rPr>
                      <w:t>T. Jarníková et al.: Salish Sea clustering</w:t>
                    </w:r>
                    <w:r>
                      <w:rPr>
                        <w:rStyle w:val="CharStyle18"/>
                        <w:rFonts w:ascii="Arial" w:hAnsi="Arial" w:cs="Arial"/>
                        <w:sz w:val="17"/>
                        <w:szCs w:val="17"/>
                        <w:lang w:eastAsia="da-DK"/>
                      </w:rPr>
                      <w:tab/>
                    </w: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41CF" w14:textId="799F9F80" w:rsidR="0074324D" w:rsidRDefault="0074324D">
    <w:pPr>
      <w:spacing w:line="1" w:lineRule="exact"/>
      <w:rPr>
        <w:color w:val="auto"/>
        <w:lang w:eastAsia="en-GB"/>
      </w:rPr>
    </w:pPr>
    <w:r>
      <w:rPr>
        <w:noProof/>
      </w:rPr>
      <mc:AlternateContent>
        <mc:Choice Requires="wps">
          <w:drawing>
            <wp:anchor distT="0" distB="0" distL="0" distR="0" simplePos="0" relativeHeight="251667456" behindDoc="1" locked="0" layoutInCell="1" allowOverlap="1" wp14:anchorId="731678F5" wp14:editId="4082EBDF">
              <wp:simplePos x="0" y="0"/>
              <wp:positionH relativeFrom="page">
                <wp:posOffset>601345</wp:posOffset>
              </wp:positionH>
              <wp:positionV relativeFrom="page">
                <wp:posOffset>857885</wp:posOffset>
              </wp:positionV>
              <wp:extent cx="6363970" cy="123825"/>
              <wp:effectExtent l="1270" t="635" r="0" b="0"/>
              <wp:wrapNone/>
              <wp:docPr id="13976057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BA9C" w14:textId="77777777" w:rsidR="0074324D" w:rsidRDefault="0074324D">
                          <w:pPr>
                            <w:pStyle w:val="Style17"/>
                            <w:tabs>
                              <w:tab w:val="right" w:pos="10022"/>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r>
                            <w:rPr>
                              <w:rStyle w:val="CharStyle18"/>
                              <w:rFonts w:ascii="Arial" w:hAnsi="Arial" w:cs="Arial"/>
                              <w:sz w:val="17"/>
                              <w:szCs w:val="17"/>
                              <w:lang w:eastAsia="da-DK"/>
                            </w:rPr>
                            <w:tab/>
                            <w:t>T. Jarníková et</w:t>
                          </w:r>
                          <w:r>
                            <w:rPr>
                              <w:rStyle w:val="CharStyle18"/>
                              <w:rFonts w:ascii="Arial" w:hAnsi="Arial" w:cs="Arial"/>
                              <w:sz w:val="17"/>
                              <w:szCs w:val="17"/>
                              <w:lang w:eastAsia="da-DK"/>
                            </w:rPr>
                            <w:t xml:space="preserve"> al.: Salish Sea clustering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678F5" id="_x0000_t202" coordsize="21600,21600" o:spt="202" path="m,l,21600r21600,l21600,xe">
              <v:stroke joinstyle="miter"/>
              <v:path gradientshapeok="t" o:connecttype="rect"/>
            </v:shapetype>
            <v:shape id="Text Box 6" o:spid="_x0000_s1042" type="#_x0000_t202" style="position:absolute;margin-left:47.35pt;margin-top:67.55pt;width:501.1pt;height:9.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" filled="f" stroked="f">
              <v:textbox style="mso-fit-shape-to-text:t" inset="0,0,0,0">
                <w:txbxContent>
                  <w:p w14:paraId="0467BA9C" w14:textId="77777777" w:rsidR="0074324D" w:rsidRDefault="0074324D">
                    <w:pPr>
                      <w:pStyle w:val="Style17"/>
                      <w:tabs>
                        <w:tab w:val="right" w:pos="10022"/>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r>
                      <w:rPr>
                        <w:rStyle w:val="CharStyle18"/>
                        <w:rFonts w:ascii="Arial" w:hAnsi="Arial" w:cs="Arial"/>
                        <w:sz w:val="17"/>
                        <w:szCs w:val="17"/>
                        <w:lang w:eastAsia="da-DK"/>
                      </w:rPr>
                      <w:tab/>
                      <w:t>T. Jarníková et</w:t>
                    </w:r>
                    <w:r>
                      <w:rPr>
                        <w:rStyle w:val="CharStyle18"/>
                        <w:rFonts w:ascii="Arial" w:hAnsi="Arial" w:cs="Arial"/>
                        <w:sz w:val="17"/>
                        <w:szCs w:val="17"/>
                        <w:lang w:eastAsia="da-DK"/>
                      </w:rPr>
                      <w:t xml:space="preserve"> al.: Salish Sea clustering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361E" w14:textId="375701EE" w:rsidR="0074324D" w:rsidRDefault="0074324D">
    <w:pPr>
      <w:spacing w:line="1" w:lineRule="exact"/>
      <w:rPr>
        <w:color w:val="auto"/>
        <w:lang w:eastAsia="en-GB"/>
      </w:rPr>
    </w:pPr>
    <w:r>
      <w:rPr>
        <w:noProof/>
      </w:rPr>
      <mc:AlternateContent>
        <mc:Choice Requires="wps">
          <w:drawing>
            <wp:anchor distT="0" distB="0" distL="0" distR="0" simplePos="0" relativeHeight="251675648" behindDoc="1" locked="0" layoutInCell="1" allowOverlap="1" wp14:anchorId="56CFC9EA" wp14:editId="4B69DD2E">
              <wp:simplePos x="0" y="0"/>
              <wp:positionH relativeFrom="page">
                <wp:posOffset>601345</wp:posOffset>
              </wp:positionH>
              <wp:positionV relativeFrom="page">
                <wp:posOffset>857885</wp:posOffset>
              </wp:positionV>
              <wp:extent cx="6363970" cy="123825"/>
              <wp:effectExtent l="1270" t="635" r="0" b="0"/>
              <wp:wrapNone/>
              <wp:docPr id="1418438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5F4C" w14:textId="77777777" w:rsidR="0074324D" w:rsidRDefault="0074324D">
                          <w:pPr>
                            <w:pStyle w:val="Style17"/>
                            <w:tabs>
                              <w:tab w:val="right" w:pos="10022"/>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r>
                            <w:rPr>
                              <w:rStyle w:val="CharStyle18"/>
                              <w:rFonts w:ascii="Arial" w:hAnsi="Arial" w:cs="Arial"/>
                              <w:sz w:val="17"/>
                              <w:szCs w:val="17"/>
                              <w:lang w:eastAsia="da-DK"/>
                            </w:rPr>
                            <w:tab/>
                            <w:t>T. Jarníková et al.: Salish Sea clustering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CFC9EA" id="_x0000_t202" coordsize="21600,21600" o:spt="202" path="m,l,21600r21600,l21600,xe">
              <v:stroke joinstyle="miter"/>
              <v:path gradientshapeok="t" o:connecttype="rect"/>
            </v:shapetype>
            <v:shape id="Text Box 10" o:spid="_x0000_s1044" type="#_x0000_t202" style="position:absolute;margin-left:47.35pt;margin-top:67.55pt;width:501.1pt;height:9.7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" filled="f" stroked="f">
              <v:textbox style="mso-fit-shape-to-text:t" inset="0,0,0,0">
                <w:txbxContent>
                  <w:p w14:paraId="526E5F4C" w14:textId="77777777" w:rsidR="0074324D" w:rsidRDefault="0074324D">
                    <w:pPr>
                      <w:pStyle w:val="Style17"/>
                      <w:tabs>
                        <w:tab w:val="right" w:pos="10022"/>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r>
                      <w:rPr>
                        <w:rStyle w:val="CharStyle18"/>
                        <w:rFonts w:ascii="Arial" w:hAnsi="Arial" w:cs="Arial"/>
                        <w:sz w:val="17"/>
                        <w:szCs w:val="17"/>
                        <w:lang w:eastAsia="da-DK"/>
                      </w:rPr>
                      <w:tab/>
                      <w:t>T. Jarníková et al.: Salish Sea clustering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F00F" w14:textId="56DDE6FC" w:rsidR="0074324D" w:rsidRDefault="0074324D">
    <w:pPr>
      <w:spacing w:line="1" w:lineRule="exact"/>
      <w:rPr>
        <w:color w:val="auto"/>
        <w:lang w:eastAsia="en-GB"/>
      </w:rPr>
    </w:pPr>
    <w:r>
      <w:rPr>
        <w:noProof/>
      </w:rPr>
      <mc:AlternateContent>
        <mc:Choice Requires="wps">
          <w:drawing>
            <wp:anchor distT="0" distB="0" distL="0" distR="0" simplePos="0" relativeHeight="251671552" behindDoc="1" locked="0" layoutInCell="1" allowOverlap="1" wp14:anchorId="7C820B31" wp14:editId="5A2BA175">
              <wp:simplePos x="0" y="0"/>
              <wp:positionH relativeFrom="page">
                <wp:posOffset>594995</wp:posOffset>
              </wp:positionH>
              <wp:positionV relativeFrom="page">
                <wp:posOffset>857885</wp:posOffset>
              </wp:positionV>
              <wp:extent cx="6365240" cy="123825"/>
              <wp:effectExtent l="4445" t="635" r="2540" b="0"/>
              <wp:wrapNone/>
              <wp:docPr id="3158979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BD550" w14:textId="77777777" w:rsidR="0074324D" w:rsidRDefault="0074324D">
                          <w:pPr>
                            <w:pStyle w:val="Style17"/>
                            <w:tabs>
                              <w:tab w:val="right" w:pos="10024"/>
                            </w:tabs>
                            <w:rPr>
                              <w:sz w:val="24"/>
                              <w:szCs w:val="24"/>
                            </w:rPr>
                          </w:pPr>
                          <w:r>
                            <w:rPr>
                              <w:rStyle w:val="CharStyle18"/>
                              <w:rFonts w:ascii="Arial" w:hAnsi="Arial" w:cs="Arial"/>
                              <w:sz w:val="17"/>
                              <w:szCs w:val="17"/>
                              <w:lang w:eastAsia="da-DK"/>
                            </w:rPr>
                            <w:t>T. Jarníková et al.: Salish Sea clustering</w:t>
                          </w:r>
                          <w:r>
                            <w:rPr>
                              <w:rStyle w:val="CharStyle18"/>
                              <w:rFonts w:ascii="Arial" w:hAnsi="Arial" w:cs="Arial"/>
                              <w:sz w:val="17"/>
                              <w:szCs w:val="17"/>
                              <w:lang w:eastAsia="da-DK"/>
                            </w:rPr>
                            <w:tab/>
                          </w: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820B31" id="_x0000_t202" coordsize="21600,21600" o:spt="202" path="m,l,21600r21600,l21600,xe">
              <v:stroke joinstyle="miter"/>
              <v:path gradientshapeok="t" o:connecttype="rect"/>
            </v:shapetype>
            <v:shape id="Text Box 8" o:spid="_x0000_s1045" type="#_x0000_t202" style="position:absolute;margin-left:46.85pt;margin-top:67.55pt;width:501.2pt;height:9.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" filled="f" stroked="f">
              <v:textbox style="mso-fit-shape-to-text:t" inset="0,0,0,0">
                <w:txbxContent>
                  <w:p w14:paraId="3C1BD550" w14:textId="77777777" w:rsidR="0074324D" w:rsidRDefault="0074324D">
                    <w:pPr>
                      <w:pStyle w:val="Style17"/>
                      <w:tabs>
                        <w:tab w:val="right" w:pos="10024"/>
                      </w:tabs>
                      <w:rPr>
                        <w:sz w:val="24"/>
                        <w:szCs w:val="24"/>
                      </w:rPr>
                    </w:pPr>
                    <w:r>
                      <w:rPr>
                        <w:rStyle w:val="CharStyle18"/>
                        <w:rFonts w:ascii="Arial" w:hAnsi="Arial" w:cs="Arial"/>
                        <w:sz w:val="17"/>
                        <w:szCs w:val="17"/>
                        <w:lang w:eastAsia="da-DK"/>
                      </w:rPr>
                      <w:t>T. Jarníková et al.: Salish Sea clustering</w:t>
                    </w:r>
                    <w:r>
                      <w:rPr>
                        <w:rStyle w:val="CharStyle18"/>
                        <w:rFonts w:ascii="Arial" w:hAnsi="Arial" w:cs="Arial"/>
                        <w:sz w:val="17"/>
                        <w:szCs w:val="17"/>
                        <w:lang w:eastAsia="da-DK"/>
                      </w:rPr>
                      <w:tab/>
                    </w:r>
                    <w:r>
                      <w:rPr>
                        <w:sz w:val="24"/>
                        <w:szCs w:val="24"/>
                      </w:rPr>
                      <w:fldChar w:fldCharType="begin"/>
                    </w:r>
                    <w:r>
                      <w:rPr>
                        <w:sz w:val="24"/>
                        <w:szCs w:val="24"/>
                      </w:rPr>
                      <w:instrText xml:space="preserve"> PAGE \* MERGEFORMAT </w:instrText>
                    </w:r>
                    <w:r>
                      <w:rPr>
                        <w:sz w:val="24"/>
                        <w:szCs w:val="24"/>
                      </w:rPr>
                      <w:fldChar w:fldCharType="separate"/>
                    </w:r>
                    <w:r>
                      <w:rPr>
                        <w:rStyle w:val="CharStyle18"/>
                        <w:rFonts w:ascii="Arial" w:hAnsi="Arial" w:cs="Arial"/>
                        <w:sz w:val="17"/>
                        <w:szCs w:val="17"/>
                        <w:lang w:eastAsia="da-DK"/>
                      </w:rPr>
                      <w:t>#</w:t>
                    </w:r>
                    <w:r>
                      <w:rPr>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1">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rFonts w:ascii="Arial" w:hAnsi="Arial" w:cs="Arial"/>
        <w:b w:val="0"/>
        <w:bCs w:val="0"/>
        <w:i w:val="0"/>
        <w:iCs w:val="0"/>
        <w:smallCaps w:val="0"/>
        <w:strike w:val="0"/>
        <w:color w:val="000000"/>
        <w:spacing w:val="0"/>
        <w:w w:val="100"/>
        <w:position w:val="0"/>
        <w:sz w:val="17"/>
        <w:szCs w:val="17"/>
        <w:u w:val="none"/>
        <w:vertAlign w:val="superscript"/>
      </w:rPr>
    </w:lvl>
  </w:abstractNum>
  <w:abstractNum w:abstractNumId="1" w15:restartNumberingAfterBreak="0">
    <w:nsid w:val="00000003"/>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2" w15:restartNumberingAfterBreak="0">
    <w:nsid w:val="00000005"/>
    <w:multiLevelType w:val="multilevel"/>
    <w:tmpl w:val="FFFFFFFF"/>
    <w:lvl w:ilvl="0">
      <w:start w:val="2"/>
      <w:numFmt w:val="decimal"/>
      <w:lvlText w:val="%1"/>
      <w:lvlJc w:val="left"/>
    </w:lvl>
    <w:lvl w:ilvl="1">
      <w:start w:val="2"/>
      <w:numFmt w:val="decimal"/>
      <w:lvlText w:val="%1.%2"/>
      <w:lvlJc w:val="left"/>
    </w:lvl>
    <w:lvl w:ilvl="2">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3" w15:restartNumberingAfterBreak="0">
    <w:nsid w:val="00000007"/>
    <w:multiLevelType w:val="multilevel"/>
    <w:tmpl w:val="FFFFFFFF"/>
    <w:lvl w:ilvl="0">
      <w:start w:val="3"/>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7"/>
        <w:szCs w:val="17"/>
        <w:u w:val="none"/>
      </w:rPr>
    </w:lvl>
  </w:abstractNum>
  <w:num w:numId="1" w16cid:durableId="907499491">
    <w:abstractNumId w:val="0"/>
  </w:num>
  <w:num w:numId="2" w16cid:durableId="1659731122">
    <w:abstractNumId w:val="1"/>
  </w:num>
  <w:num w:numId="3" w16cid:durableId="2145999880">
    <w:abstractNumId w:val="2"/>
  </w:num>
  <w:num w:numId="4" w16cid:durableId="1707556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6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3C8"/>
    <w:rsid w:val="004923C8"/>
    <w:rsid w:val="0074324D"/>
    <w:rsid w:val="00A15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3CA2786D"/>
  <w14:defaultImageDpi w14:val="0"/>
  <w15:docId w15:val="{AA68964D-4E7A-4D1E-A418-0145D61F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lang w:val="da-DK" w:eastAsia="da-DK"/>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uiPriority w:val="99"/>
    <w:rPr>
      <w:rFonts w:ascii="Arial" w:hAnsi="Arial" w:cs="Arial"/>
      <w:color w:val="000000"/>
      <w:spacing w:val="0"/>
      <w:w w:val="100"/>
      <w:position w:val="0"/>
      <w:sz w:val="17"/>
      <w:szCs w:val="17"/>
      <w:u w:val="none"/>
    </w:rPr>
  </w:style>
  <w:style w:type="character" w:customStyle="1" w:styleId="CharStyle6">
    <w:name w:val="Char Style 6"/>
    <w:basedOn w:val="DefaultParagraphFont"/>
    <w:link w:val="Style5"/>
    <w:uiPriority w:val="99"/>
    <w:rPr>
      <w:rFonts w:ascii="Arial" w:hAnsi="Arial" w:cs="Arial"/>
      <w:color w:val="000000"/>
      <w:spacing w:val="0"/>
      <w:w w:val="100"/>
      <w:position w:val="0"/>
      <w:sz w:val="30"/>
      <w:szCs w:val="30"/>
      <w:u w:val="none"/>
    </w:rPr>
  </w:style>
  <w:style w:type="character" w:customStyle="1" w:styleId="CharStyle8">
    <w:name w:val="Char Style 8"/>
    <w:basedOn w:val="DefaultParagraphFont"/>
    <w:link w:val="Style7"/>
    <w:uiPriority w:val="99"/>
    <w:rPr>
      <w:rFonts w:ascii="Arial" w:hAnsi="Arial" w:cs="Arial"/>
      <w:color w:val="000000"/>
      <w:spacing w:val="0"/>
      <w:w w:val="100"/>
      <w:position w:val="0"/>
      <w:sz w:val="15"/>
      <w:szCs w:val="15"/>
      <w:u w:val="none"/>
    </w:rPr>
  </w:style>
  <w:style w:type="character" w:customStyle="1" w:styleId="CharStyle12">
    <w:name w:val="Char Style 12"/>
    <w:basedOn w:val="DefaultParagraphFont"/>
    <w:link w:val="Style11"/>
    <w:uiPriority w:val="99"/>
    <w:rPr>
      <w:rFonts w:ascii="Arial" w:hAnsi="Arial" w:cs="Arial"/>
      <w:noProof/>
      <w:color w:val="000000"/>
      <w:spacing w:val="0"/>
      <w:w w:val="100"/>
      <w:position w:val="0"/>
      <w:sz w:val="13"/>
      <w:szCs w:val="13"/>
      <w:u w:val="none"/>
    </w:rPr>
  </w:style>
  <w:style w:type="character" w:customStyle="1" w:styleId="CharStyle14">
    <w:name w:val="Char Style 14"/>
    <w:basedOn w:val="DefaultParagraphFont"/>
    <w:link w:val="Style13"/>
    <w:uiPriority w:val="99"/>
    <w:rPr>
      <w:rFonts w:ascii="Arial" w:hAnsi="Arial" w:cs="Arial"/>
      <w:color w:val="000000"/>
      <w:spacing w:val="0"/>
      <w:w w:val="100"/>
      <w:position w:val="0"/>
      <w:sz w:val="17"/>
      <w:szCs w:val="17"/>
      <w:u w:val="none"/>
    </w:rPr>
  </w:style>
  <w:style w:type="character" w:customStyle="1" w:styleId="CharStyle16">
    <w:name w:val="Char Style 16"/>
    <w:basedOn w:val="DefaultParagraphFont"/>
    <w:link w:val="Style15"/>
    <w:uiPriority w:val="99"/>
    <w:rPr>
      <w:rFonts w:ascii="Arial" w:hAnsi="Arial" w:cs="Arial"/>
      <w:color w:val="000000"/>
      <w:spacing w:val="0"/>
      <w:w w:val="100"/>
      <w:position w:val="0"/>
      <w:sz w:val="17"/>
      <w:szCs w:val="17"/>
      <w:u w:val="none"/>
    </w:rPr>
  </w:style>
  <w:style w:type="character" w:customStyle="1" w:styleId="CharStyle18">
    <w:name w:val="Char Style 18"/>
    <w:basedOn w:val="DefaultParagraphFont"/>
    <w:link w:val="Style17"/>
    <w:uiPriority w:val="99"/>
    <w:rPr>
      <w:color w:val="000000"/>
      <w:spacing w:val="0"/>
      <w:w w:val="100"/>
      <w:position w:val="0"/>
      <w:sz w:val="20"/>
      <w:szCs w:val="20"/>
      <w:u w:val="none"/>
    </w:rPr>
  </w:style>
  <w:style w:type="character" w:customStyle="1" w:styleId="CharStyle23">
    <w:name w:val="Char Style 23"/>
    <w:basedOn w:val="DefaultParagraphFont"/>
    <w:link w:val="Style22"/>
    <w:uiPriority w:val="99"/>
    <w:rPr>
      <w:rFonts w:ascii="Arial" w:hAnsi="Arial" w:cs="Arial"/>
      <w:color w:val="000000"/>
      <w:spacing w:val="0"/>
      <w:w w:val="100"/>
      <w:position w:val="0"/>
      <w:sz w:val="17"/>
      <w:szCs w:val="17"/>
      <w:u w:val="none"/>
    </w:rPr>
  </w:style>
  <w:style w:type="character" w:customStyle="1" w:styleId="CharStyle27">
    <w:name w:val="Char Style 27"/>
    <w:basedOn w:val="DefaultParagraphFont"/>
    <w:link w:val="Style26"/>
    <w:uiPriority w:val="99"/>
    <w:rPr>
      <w:rFonts w:ascii="Arial" w:hAnsi="Arial" w:cs="Arial"/>
      <w:color w:val="000000"/>
      <w:spacing w:val="0"/>
      <w:w w:val="100"/>
      <w:position w:val="0"/>
      <w:sz w:val="15"/>
      <w:szCs w:val="15"/>
      <w:u w:val="none"/>
    </w:rPr>
  </w:style>
  <w:style w:type="character" w:customStyle="1" w:styleId="CharStyle29">
    <w:name w:val="Char Style 29"/>
    <w:basedOn w:val="DefaultParagraphFont"/>
    <w:link w:val="Style28"/>
    <w:uiPriority w:val="99"/>
    <w:rPr>
      <w:rFonts w:ascii="Arial" w:hAnsi="Arial" w:cs="Arial"/>
      <w:color w:val="000000"/>
      <w:spacing w:val="0"/>
      <w:w w:val="100"/>
      <w:position w:val="0"/>
      <w:sz w:val="15"/>
      <w:szCs w:val="15"/>
      <w:u w:val="none"/>
    </w:rPr>
  </w:style>
  <w:style w:type="character" w:customStyle="1" w:styleId="CharStyle31">
    <w:name w:val="Char Style 31"/>
    <w:basedOn w:val="DefaultParagraphFont"/>
    <w:link w:val="Style30"/>
    <w:uiPriority w:val="99"/>
    <w:rPr>
      <w:rFonts w:ascii="Arial" w:hAnsi="Arial" w:cs="Arial"/>
      <w:color w:val="000000"/>
      <w:spacing w:val="0"/>
      <w:w w:val="100"/>
      <w:position w:val="0"/>
      <w:sz w:val="17"/>
      <w:szCs w:val="17"/>
      <w:u w:val="none"/>
    </w:rPr>
  </w:style>
  <w:style w:type="paragraph" w:customStyle="1" w:styleId="Style2">
    <w:name w:val="Style 2"/>
    <w:basedOn w:val="Normal"/>
    <w:link w:val="CharStyle3"/>
    <w:uiPriority w:val="99"/>
    <w:pPr>
      <w:spacing w:line="293" w:lineRule="auto"/>
    </w:pPr>
    <w:rPr>
      <w:rFonts w:ascii="Arial" w:hAnsi="Arial" w:cs="Arial"/>
      <w:color w:val="auto"/>
      <w:sz w:val="17"/>
      <w:szCs w:val="17"/>
      <w:lang w:eastAsia="en-GB"/>
    </w:rPr>
  </w:style>
  <w:style w:type="paragraph" w:customStyle="1" w:styleId="Style5">
    <w:name w:val="Style 5"/>
    <w:basedOn w:val="Normal"/>
    <w:link w:val="CharStyle6"/>
    <w:uiPriority w:val="99"/>
    <w:pPr>
      <w:spacing w:after="120" w:line="305" w:lineRule="auto"/>
    </w:pPr>
    <w:rPr>
      <w:rFonts w:ascii="Arial" w:hAnsi="Arial" w:cs="Arial"/>
      <w:color w:val="auto"/>
      <w:sz w:val="30"/>
      <w:szCs w:val="30"/>
      <w:lang w:eastAsia="en-GB"/>
    </w:rPr>
  </w:style>
  <w:style w:type="paragraph" w:customStyle="1" w:styleId="Style7">
    <w:name w:val="Style 7"/>
    <w:basedOn w:val="Normal"/>
    <w:link w:val="CharStyle8"/>
    <w:uiPriority w:val="99"/>
    <w:pPr>
      <w:spacing w:line="305" w:lineRule="auto"/>
    </w:pPr>
    <w:rPr>
      <w:rFonts w:ascii="Arial" w:hAnsi="Arial" w:cs="Arial"/>
      <w:color w:val="auto"/>
      <w:sz w:val="15"/>
      <w:szCs w:val="15"/>
      <w:lang w:eastAsia="en-GB"/>
    </w:rPr>
  </w:style>
  <w:style w:type="paragraph" w:customStyle="1" w:styleId="Style11">
    <w:name w:val="Style 11"/>
    <w:basedOn w:val="Normal"/>
    <w:link w:val="CharStyle12"/>
    <w:uiPriority w:val="99"/>
    <w:rPr>
      <w:rFonts w:ascii="Arial" w:hAnsi="Arial" w:cs="Arial"/>
      <w:noProof/>
      <w:color w:val="auto"/>
      <w:sz w:val="13"/>
      <w:szCs w:val="13"/>
      <w:lang w:eastAsia="en-GB"/>
    </w:rPr>
  </w:style>
  <w:style w:type="paragraph" w:customStyle="1" w:styleId="Style13">
    <w:name w:val="Style 13"/>
    <w:basedOn w:val="Normal"/>
    <w:link w:val="CharStyle14"/>
    <w:uiPriority w:val="99"/>
    <w:pPr>
      <w:spacing w:after="160" w:line="293" w:lineRule="auto"/>
      <w:outlineLvl w:val="0"/>
    </w:pPr>
    <w:rPr>
      <w:rFonts w:ascii="Arial" w:hAnsi="Arial" w:cs="Arial"/>
      <w:color w:val="auto"/>
      <w:sz w:val="17"/>
      <w:szCs w:val="17"/>
      <w:lang w:eastAsia="en-GB"/>
    </w:rPr>
  </w:style>
  <w:style w:type="paragraph" w:customStyle="1" w:styleId="Style15">
    <w:name w:val="Style 15"/>
    <w:basedOn w:val="Normal"/>
    <w:link w:val="CharStyle16"/>
    <w:uiPriority w:val="99"/>
    <w:pPr>
      <w:spacing w:after="200" w:line="293" w:lineRule="auto"/>
      <w:outlineLvl w:val="1"/>
    </w:pPr>
    <w:rPr>
      <w:rFonts w:ascii="Arial" w:hAnsi="Arial" w:cs="Arial"/>
      <w:color w:val="auto"/>
      <w:sz w:val="17"/>
      <w:szCs w:val="17"/>
      <w:lang w:eastAsia="en-GB"/>
    </w:rPr>
  </w:style>
  <w:style w:type="paragraph" w:customStyle="1" w:styleId="Style17">
    <w:name w:val="Style 17"/>
    <w:basedOn w:val="Normal"/>
    <w:link w:val="CharStyle18"/>
    <w:uiPriority w:val="99"/>
    <w:rPr>
      <w:color w:val="auto"/>
      <w:sz w:val="20"/>
      <w:szCs w:val="20"/>
      <w:lang w:eastAsia="en-GB"/>
    </w:rPr>
  </w:style>
  <w:style w:type="paragraph" w:customStyle="1" w:styleId="Style22">
    <w:name w:val="Style 22"/>
    <w:basedOn w:val="Normal"/>
    <w:link w:val="CharStyle23"/>
    <w:uiPriority w:val="99"/>
    <w:pPr>
      <w:spacing w:after="200" w:line="293" w:lineRule="auto"/>
      <w:outlineLvl w:val="2"/>
    </w:pPr>
    <w:rPr>
      <w:rFonts w:ascii="Arial" w:hAnsi="Arial" w:cs="Arial"/>
      <w:color w:val="auto"/>
      <w:sz w:val="17"/>
      <w:szCs w:val="17"/>
      <w:lang w:eastAsia="en-GB"/>
    </w:rPr>
  </w:style>
  <w:style w:type="paragraph" w:customStyle="1" w:styleId="Style26">
    <w:name w:val="Style 26"/>
    <w:basedOn w:val="Normal"/>
    <w:link w:val="CharStyle27"/>
    <w:uiPriority w:val="99"/>
    <w:pPr>
      <w:spacing w:line="305" w:lineRule="auto"/>
      <w:ind w:left="220" w:hanging="220"/>
    </w:pPr>
    <w:rPr>
      <w:rFonts w:ascii="Arial" w:hAnsi="Arial" w:cs="Arial"/>
      <w:color w:val="auto"/>
      <w:sz w:val="15"/>
      <w:szCs w:val="15"/>
      <w:lang w:eastAsia="en-GB"/>
    </w:rPr>
  </w:style>
  <w:style w:type="paragraph" w:customStyle="1" w:styleId="Style28">
    <w:name w:val="Style 28"/>
    <w:basedOn w:val="Normal"/>
    <w:link w:val="CharStyle29"/>
    <w:uiPriority w:val="99"/>
    <w:pPr>
      <w:spacing w:line="305" w:lineRule="auto"/>
    </w:pPr>
    <w:rPr>
      <w:rFonts w:ascii="Arial" w:hAnsi="Arial" w:cs="Arial"/>
      <w:color w:val="auto"/>
      <w:sz w:val="15"/>
      <w:szCs w:val="15"/>
      <w:lang w:eastAsia="en-GB"/>
    </w:rPr>
  </w:style>
  <w:style w:type="paragraph" w:customStyle="1" w:styleId="Style30">
    <w:name w:val="Style 30"/>
    <w:basedOn w:val="Normal"/>
    <w:link w:val="CharStyle31"/>
    <w:uiPriority w:val="99"/>
    <w:pPr>
      <w:spacing w:line="293" w:lineRule="auto"/>
    </w:pPr>
    <w:rPr>
      <w:rFonts w:ascii="Arial" w:hAnsi="Arial" w:cs="Arial"/>
      <w:color w:val="auto"/>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4.jpeg"/><Relationship Id="rId34" Type="http://schemas.openxmlformats.org/officeDocument/2006/relationships/header" Target="header5.xml"/><Relationship Id="rId42" Type="http://schemas.openxmlformats.org/officeDocument/2006/relationships/hyperlink" Target="https://wateroffice.ec.gc.ca/report/real_time_e.html?stn=08MF005" TargetMode="External"/><Relationship Id="rId47" Type="http://schemas.openxmlformats.org/officeDocument/2006/relationships/hyperlink" Target="https://www.pac.dfo-mpo.gc.ca/science/oceans/data-donnees/index-eng.html" TargetMode="External"/><Relationship Id="rId50" Type="http://schemas.openxmlformats.org/officeDocument/2006/relationships/hyperlink" Target="https://doi.org/10.5281/zenodo.7144812" TargetMode="External"/><Relationship Id="rId55" Type="http://schemas.openxmlformats.org/officeDocument/2006/relationships/hyperlink" Target="https://doi.org/10.1002/2016JC012479" TargetMode="External"/><Relationship Id="rId63" Type="http://schemas.openxmlformats.org/officeDocument/2006/relationships/hyperlink" Target="https://doi.org/10.1006/ecss.1996.0110" TargetMode="External"/><Relationship Id="rId68" Type="http://schemas.openxmlformats.org/officeDocument/2006/relationships/hyperlink" Target="http://www.pac.dfo-mpo.gc.ca/science/oceans/data-donnees/index-eng.html" TargetMode="External"/><Relationship Id="rId76" Type="http://schemas.openxmlformats.org/officeDocument/2006/relationships/hyperlink" Target="https://doi.org/10.5194/bg-10-7179-2013" TargetMode="External"/><Relationship Id="rId7" Type="http://schemas.openxmlformats.org/officeDocument/2006/relationships/hyperlink" Target="https://doi.org/10.5194/os-18-1451-2022" TargetMode="External"/><Relationship Id="rId71" Type="http://schemas.openxmlformats.org/officeDocument/2006/relationships/hyperlink" Target="https://salishsea.eos.ubc.ca/erddap/index.html"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2.jpeg"/><Relationship Id="rId11" Type="http://schemas.openxmlformats.org/officeDocument/2006/relationships/hyperlink" Target="https://salishsea-meopar-docs.readthedocs.io"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salishsea.eos.ubc.ca/erddap/index.html" TargetMode="External"/><Relationship Id="rId53" Type="http://schemas.openxmlformats.org/officeDocument/2006/relationships/hyperlink" Target="https://doi.org/10.1029/2008GB003405" TargetMode="External"/><Relationship Id="rId58" Type="http://schemas.openxmlformats.org/officeDocument/2006/relationships/hyperlink" Target="https://doi.org/10.1029/2020GB006571" TargetMode="External"/><Relationship Id="rId66" Type="http://schemas.openxmlformats.org/officeDocument/2006/relationships/hyperlink" Target="https://doi.org/10.1175/WAF-D-16-0035.1" TargetMode="External"/><Relationship Id="rId74" Type="http://schemas.openxmlformats.org/officeDocument/2006/relationships/hyperlink" Target="https://doi.org/10.1016/j.pocean.2019.102134"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open.library.ubc.ca/cIRcle/collections/ubctheses/24/items/1.0343600" TargetMode="External"/><Relationship Id="rId10" Type="http://schemas.openxmlformats.org/officeDocument/2006/relationships/hyperlink" Target="https://salishsea.eos.ubc.ca/erddap/index.html" TargetMode="External"/><Relationship Id="rId19"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hyperlink" Target="https://doi.org/10.5281/zenodo.7144696" TargetMode="External"/><Relationship Id="rId52" Type="http://schemas.openxmlformats.org/officeDocument/2006/relationships/hyperlink" Target="https://www.pac.dfo-mpo.gc.ca/science/oceans/data-donnees/index-eng.html" TargetMode="External"/><Relationship Id="rId60" Type="http://schemas.openxmlformats.org/officeDocument/2006/relationships/hyperlink" Target="https://open.library.ubc.ca/cIRcle/collections/ubctheses/24/items/1.0343600" TargetMode="External"/><Relationship Id="rId65" Type="http://schemas.openxmlformats.org/officeDocument/2006/relationships/hyperlink" Target="https://doi.org/10.1016/j.ecss.2020.107103" TargetMode="External"/><Relationship Id="rId73" Type="http://schemas.openxmlformats.org/officeDocument/2006/relationships/hyperlink" Target="https://doi.org/10.1126/sciadv.aay4740" TargetMode="External"/><Relationship Id="rId78" Type="http://schemas.openxmlformats.org/officeDocument/2006/relationships/hyperlink" Target="https://doi.org/10.1371/journal.pone.0179824"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image" Target="media/image21.jpeg"/><Relationship Id="rId48" Type="http://schemas.openxmlformats.org/officeDocument/2006/relationships/hyperlink" Target="https://www.pac.dfo-mpo.gc.ca/science/oceans/data-donnees/index-eng.html" TargetMode="External"/><Relationship Id="rId56" Type="http://schemas.openxmlformats.org/officeDocument/2006/relationships/hyperlink" Target="https://doi.org/10.5281/zenodo.7144696" TargetMode="External"/><Relationship Id="rId64" Type="http://schemas.openxmlformats.org/officeDocument/2006/relationships/hyperlink" Target="https://doi.org/10.5281/zenodo.3248739" TargetMode="External"/><Relationship Id="rId69" Type="http://schemas.openxmlformats.org/officeDocument/2006/relationships/hyperlink" Target="http://www.pac.dfo-mpo.gc.ca/science/oceans/data-donnees/index-eng.html" TargetMode="External"/><Relationship Id="rId77" Type="http://schemas.openxmlformats.org/officeDocument/2006/relationships/hyperlink" Target="https://doi.org/10.1029/2006JC003925" TargetMode="External"/><Relationship Id="rId8" Type="http://schemas.openxmlformats.org/officeDocument/2006/relationships/hyperlink" Target="mailto:t.jarnikova@uea.ac.uk" TargetMode="External"/><Relationship Id="rId51" Type="http://schemas.openxmlformats.org/officeDocument/2006/relationships/hyperlink" Target="https://www.pac.dfo-mpo.gc.ca/science/oceans/data-donnees/index-eng.html" TargetMode="External"/><Relationship Id="rId72" Type="http://schemas.openxmlformats.org/officeDocument/2006/relationships/hyperlink" Target="https://salishsea.eos.ubc.ca/erddap/index.ht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alishsea-meopar-docs.readthedocs.io"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header" Target="header4.xml"/><Relationship Id="rId38" Type="http://schemas.openxmlformats.org/officeDocument/2006/relationships/image" Target="media/image17.jpeg"/><Relationship Id="rId46" Type="http://schemas.openxmlformats.org/officeDocument/2006/relationships/hyperlink" Target="https://salishsea.eos.ubc.ca/erddap/index.html" TargetMode="External"/><Relationship Id="rId59" Type="http://schemas.openxmlformats.org/officeDocument/2006/relationships/hyperlink" Target="https://doi.org/10.5194/bg-10-7793-2013" TargetMode="External"/><Relationship Id="rId67" Type="http://schemas.openxmlformats.org/officeDocument/2006/relationships/hyperlink" Target="https://doi.org/10.5194/os-18-143-2022" TargetMode="External"/><Relationship Id="rId20" Type="http://schemas.openxmlformats.org/officeDocument/2006/relationships/footer" Target="footer3.xml"/><Relationship Id="rId41" Type="http://schemas.openxmlformats.org/officeDocument/2006/relationships/image" Target="media/image20.jpeg"/><Relationship Id="rId54" Type="http://schemas.openxmlformats.org/officeDocument/2006/relationships/hyperlink" Target="https://doi.org/10.3389/fmars.2018.00536" TargetMode="External"/><Relationship Id="rId62" Type="http://schemas.openxmlformats.org/officeDocument/2006/relationships/hyperlink" Target="https://doi.org/10.1029/2020JC016738" TargetMode="External"/><Relationship Id="rId70" Type="http://schemas.openxmlformats.org/officeDocument/2006/relationships/hyperlink" Target="https://doi.org/10.1029/2019JC015766" TargetMode="External"/><Relationship Id="rId75" Type="http://schemas.openxmlformats.org/officeDocument/2006/relationships/hyperlink" Target="https://doi.org/10.5194/os-17-131-20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5.xml"/><Relationship Id="rId49" Type="http://schemas.openxmlformats.org/officeDocument/2006/relationships/hyperlink" Target="https://salishsea.eos.ubc.ca" TargetMode="External"/><Relationship Id="rId57" Type="http://schemas.openxmlformats.org/officeDocument/2006/relationships/hyperlink" Target="https://doi.org/10.5281/zenodo.7144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13070</Words>
  <Characters>74505</Characters>
  <Application>Microsoft Office Word</Application>
  <DocSecurity>0</DocSecurity>
  <Lines>620</Lines>
  <Paragraphs>174</Paragraphs>
  <ScaleCrop>false</ScaleCrop>
  <Company/>
  <LinksUpToDate>false</LinksUpToDate>
  <CharactersWithSpaces>87401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Davison (LLE - Staff)</dc:creator>
  <cp:keywords/>
  <dc:description/>
  <cp:lastModifiedBy>Jeff Davison (LLE - Staff)</cp:lastModifiedBy>
  <cp:revision>2</cp:revision>
  <dcterms:created xsi:type="dcterms:W3CDTF">2026-03-18T13:37:00Z</dcterms:created>
  <dcterms:modified xsi:type="dcterms:W3CDTF">2026-03-18T13:37:00Z</dcterms:modified>
</cp:coreProperties>
</file>