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3A58" w14:textId="2FE6B492" w:rsidR="003B42EE" w:rsidRPr="00A3276B" w:rsidRDefault="003B42EE" w:rsidP="00BA135B">
      <w:pPr>
        <w:pStyle w:val="Heading1"/>
        <w:rPr>
          <w:b/>
          <w:bCs/>
          <w:color w:val="0F9ED5" w:themeColor="accent4"/>
          <w:sz w:val="22"/>
          <w:szCs w:val="22"/>
        </w:rPr>
      </w:pPr>
      <w:bookmarkStart w:id="0" w:name="_Hlk221189882"/>
      <w:r w:rsidRPr="00A3276B">
        <w:rPr>
          <w:b/>
          <w:bCs/>
          <w:color w:val="0F9ED5" w:themeColor="accent4"/>
          <w:sz w:val="22"/>
          <w:szCs w:val="22"/>
        </w:rPr>
        <w:t xml:space="preserve">Author </w:t>
      </w:r>
      <w:proofErr w:type="gramStart"/>
      <w:r w:rsidRPr="00A3276B">
        <w:rPr>
          <w:b/>
          <w:bCs/>
          <w:color w:val="0F9ED5" w:themeColor="accent4"/>
          <w:sz w:val="22"/>
          <w:szCs w:val="22"/>
        </w:rPr>
        <w:t>note:</w:t>
      </w:r>
      <w:proofErr w:type="gramEnd"/>
      <w:r w:rsidRPr="00A3276B">
        <w:rPr>
          <w:b/>
          <w:bCs/>
          <w:color w:val="0F9ED5" w:themeColor="accent4"/>
          <w:sz w:val="22"/>
          <w:szCs w:val="22"/>
        </w:rPr>
        <w:t xml:space="preserve"> </w:t>
      </w:r>
      <w:r w:rsidR="00225F66" w:rsidRPr="00A3276B">
        <w:rPr>
          <w:b/>
          <w:bCs/>
          <w:color w:val="0F9ED5" w:themeColor="accent4"/>
          <w:sz w:val="22"/>
          <w:szCs w:val="22"/>
        </w:rPr>
        <w:t>additional information</w:t>
      </w:r>
      <w:r w:rsidR="00A3276B" w:rsidRPr="00A3276B">
        <w:rPr>
          <w:b/>
          <w:bCs/>
          <w:color w:val="0F9ED5" w:themeColor="accent4"/>
          <w:sz w:val="22"/>
          <w:szCs w:val="22"/>
        </w:rPr>
        <w:t xml:space="preserve"> and analyses from this manuscript</w:t>
      </w:r>
      <w:r w:rsidR="00225F66" w:rsidRPr="00A3276B">
        <w:rPr>
          <w:b/>
          <w:bCs/>
          <w:color w:val="0F9ED5" w:themeColor="accent4"/>
          <w:sz w:val="22"/>
          <w:szCs w:val="22"/>
        </w:rPr>
        <w:t xml:space="preserve"> is obtained in an online appendix via OSF.io</w:t>
      </w:r>
      <w:r w:rsidR="00591FFA" w:rsidRPr="00A3276B">
        <w:rPr>
          <w:b/>
          <w:bCs/>
          <w:color w:val="0F9ED5" w:themeColor="accent4"/>
          <w:sz w:val="22"/>
          <w:szCs w:val="22"/>
        </w:rPr>
        <w:t>. This is referenced in the manuscript below</w:t>
      </w:r>
      <w:r w:rsidR="00A3276B" w:rsidRPr="00A3276B">
        <w:rPr>
          <w:b/>
          <w:bCs/>
          <w:color w:val="0F9ED5" w:themeColor="accent4"/>
          <w:sz w:val="22"/>
          <w:szCs w:val="22"/>
        </w:rPr>
        <w:t xml:space="preserve"> as a ‘peer review’ link but, post acceptance, is updated to this persistent DOI: </w:t>
      </w:r>
      <w:hyperlink r:id="rId8" w:history="1">
        <w:r w:rsidR="00A3276B" w:rsidRPr="00A3276B">
          <w:rPr>
            <w:rStyle w:val="Hyperlink"/>
            <w:b/>
            <w:bCs/>
            <w:color w:val="0F9ED5" w:themeColor="accent4"/>
            <w:sz w:val="22"/>
            <w:szCs w:val="22"/>
          </w:rPr>
          <w:t>https://doi.org/10.17605/OSF.IO/5728V</w:t>
        </w:r>
      </w:hyperlink>
      <w:r w:rsidR="00A3276B" w:rsidRPr="00A3276B">
        <w:rPr>
          <w:b/>
          <w:bCs/>
          <w:color w:val="0F9ED5" w:themeColor="accent4"/>
          <w:sz w:val="22"/>
          <w:szCs w:val="22"/>
        </w:rPr>
        <w:t xml:space="preserve"> </w:t>
      </w:r>
      <w:r w:rsidR="00591FFA" w:rsidRPr="00A3276B">
        <w:rPr>
          <w:b/>
          <w:bCs/>
          <w:color w:val="0F9ED5" w:themeColor="accent4"/>
          <w:sz w:val="22"/>
          <w:szCs w:val="22"/>
        </w:rPr>
        <w:t xml:space="preserve"> </w:t>
      </w:r>
    </w:p>
    <w:p w14:paraId="03FBBC72" w14:textId="78243098" w:rsidR="00806888" w:rsidRPr="0039572D" w:rsidRDefault="00806888" w:rsidP="00BA135B">
      <w:pPr>
        <w:pStyle w:val="Heading1"/>
      </w:pPr>
      <w:r w:rsidRPr="0039572D">
        <w:t xml:space="preserve">Mental Health and Sentencing: How are judicial decisions made </w:t>
      </w:r>
      <w:proofErr w:type="gramStart"/>
      <w:r w:rsidRPr="0039572D">
        <w:t>in light of</w:t>
      </w:r>
      <w:proofErr w:type="gramEnd"/>
      <w:r w:rsidRPr="0039572D">
        <w:t xml:space="preserve"> the judgement of </w:t>
      </w:r>
      <w:r w:rsidRPr="0039572D">
        <w:rPr>
          <w:i/>
          <w:iCs/>
        </w:rPr>
        <w:t>R v Vowles</w:t>
      </w:r>
      <w:r w:rsidRPr="0039572D">
        <w:t>?</w:t>
      </w:r>
      <w:r w:rsidR="0039572D">
        <w:t xml:space="preserve"> (A </w:t>
      </w:r>
      <w:r w:rsidR="00BF0E09">
        <w:t>partial replication of Baldwin et al, 2025)</w:t>
      </w:r>
    </w:p>
    <w:p w14:paraId="531E5A25" w14:textId="6B790C58" w:rsidR="000C11E0" w:rsidRPr="0039572D" w:rsidRDefault="000C11E0" w:rsidP="000C11E0">
      <w:pPr>
        <w:jc w:val="center"/>
        <w:rPr>
          <w:rFonts w:cs="Times New Roman"/>
          <w:b/>
          <w:bCs/>
          <w:sz w:val="24"/>
          <w:szCs w:val="24"/>
        </w:rPr>
      </w:pPr>
    </w:p>
    <w:p w14:paraId="4E7510C3" w14:textId="77777777" w:rsidR="000C11E0" w:rsidRPr="0039572D" w:rsidRDefault="000C11E0" w:rsidP="000C11E0">
      <w:pPr>
        <w:rPr>
          <w:rFonts w:cs="Times New Roman"/>
          <w:b/>
          <w:bCs/>
          <w:sz w:val="24"/>
          <w:szCs w:val="24"/>
        </w:rPr>
      </w:pPr>
    </w:p>
    <w:p w14:paraId="7C10E213" w14:textId="05D08202" w:rsidR="000C11E0" w:rsidRPr="0039572D" w:rsidRDefault="00536F60" w:rsidP="000C11E0">
      <w:pPr>
        <w:shd w:val="clear" w:color="auto" w:fill="FFFFFF"/>
        <w:spacing w:line="480" w:lineRule="auto"/>
        <w:jc w:val="center"/>
        <w:rPr>
          <w:rFonts w:cs="Times New Roman"/>
          <w:i/>
          <w:iCs/>
          <w:sz w:val="24"/>
          <w:szCs w:val="24"/>
          <w:lang w:eastAsia="en-GB"/>
        </w:rPr>
      </w:pPr>
      <w:r>
        <w:rPr>
          <w:rFonts w:cs="Times New Roman"/>
          <w:sz w:val="24"/>
          <w:szCs w:val="24"/>
          <w:lang w:eastAsia="en-GB"/>
        </w:rPr>
        <w:t>Prepared for submission to the</w:t>
      </w:r>
      <w:r w:rsidR="000C11E0" w:rsidRPr="0039572D">
        <w:rPr>
          <w:rFonts w:cs="Times New Roman"/>
          <w:sz w:val="24"/>
          <w:szCs w:val="24"/>
          <w:lang w:eastAsia="en-GB"/>
        </w:rPr>
        <w:t xml:space="preserve"> </w:t>
      </w:r>
      <w:r w:rsidR="00BF0E09">
        <w:rPr>
          <w:rFonts w:cs="Times New Roman"/>
          <w:i/>
          <w:iCs/>
          <w:sz w:val="24"/>
          <w:szCs w:val="24"/>
          <w:lang w:eastAsia="en-GB"/>
        </w:rPr>
        <w:t>International Journal of Law and Psychiatry</w:t>
      </w:r>
    </w:p>
    <w:p w14:paraId="4A0FAE84" w14:textId="77777777" w:rsidR="000C11E0" w:rsidRPr="0039572D" w:rsidRDefault="000C11E0" w:rsidP="000C11E0">
      <w:pPr>
        <w:shd w:val="clear" w:color="auto" w:fill="FFFFFF"/>
        <w:spacing w:line="480" w:lineRule="auto"/>
        <w:jc w:val="center"/>
        <w:rPr>
          <w:rFonts w:cs="Times New Roman"/>
          <w:sz w:val="24"/>
          <w:szCs w:val="24"/>
          <w:lang w:eastAsia="en-GB"/>
        </w:rPr>
      </w:pPr>
    </w:p>
    <w:p w14:paraId="56A6D71E" w14:textId="181D6507" w:rsidR="000C11E0" w:rsidRDefault="000C11E0" w:rsidP="000C11E0">
      <w:pPr>
        <w:shd w:val="clear" w:color="auto" w:fill="FFFFFF"/>
        <w:spacing w:line="480" w:lineRule="auto"/>
        <w:jc w:val="center"/>
        <w:rPr>
          <w:rFonts w:cs="Times New Roman"/>
          <w:sz w:val="24"/>
          <w:szCs w:val="24"/>
          <w:vertAlign w:val="superscript"/>
        </w:rPr>
      </w:pPr>
      <w:r w:rsidRPr="0039572D">
        <w:rPr>
          <w:rFonts w:cs="Times New Roman"/>
          <w:sz w:val="24"/>
          <w:szCs w:val="24"/>
          <w:lang w:eastAsia="en-GB"/>
        </w:rPr>
        <w:t>Oliver Maltby</w:t>
      </w:r>
      <w:proofErr w:type="gramStart"/>
      <w:r w:rsidRPr="0039572D">
        <w:rPr>
          <w:rFonts w:cs="Times New Roman"/>
          <w:sz w:val="24"/>
          <w:szCs w:val="24"/>
          <w:vertAlign w:val="superscript"/>
        </w:rPr>
        <w:t>1</w:t>
      </w:r>
      <w:r w:rsidRPr="0039572D">
        <w:rPr>
          <w:rFonts w:cs="Times New Roman"/>
          <w:sz w:val="24"/>
          <w:szCs w:val="24"/>
          <w:lang w:eastAsia="en-GB"/>
        </w:rPr>
        <w:t>,  Ian</w:t>
      </w:r>
      <w:proofErr w:type="gramEnd"/>
      <w:r w:rsidRPr="0039572D">
        <w:rPr>
          <w:rFonts w:cs="Times New Roman"/>
          <w:sz w:val="24"/>
          <w:szCs w:val="24"/>
          <w:lang w:eastAsia="en-GB"/>
        </w:rPr>
        <w:t xml:space="preserve"> Edwards</w:t>
      </w:r>
      <w:proofErr w:type="gramStart"/>
      <w:r w:rsidRPr="0039572D">
        <w:rPr>
          <w:rFonts w:cs="Times New Roman"/>
          <w:sz w:val="24"/>
          <w:szCs w:val="24"/>
          <w:vertAlign w:val="superscript"/>
        </w:rPr>
        <w:t>2</w:t>
      </w:r>
      <w:r w:rsidRPr="0039572D">
        <w:rPr>
          <w:rFonts w:cs="Times New Roman"/>
          <w:sz w:val="24"/>
          <w:szCs w:val="24"/>
          <w:lang w:eastAsia="en-GB"/>
        </w:rPr>
        <w:t xml:space="preserve">, </w:t>
      </w:r>
      <w:r w:rsidR="00536F60">
        <w:rPr>
          <w:rFonts w:cs="Times New Roman"/>
          <w:sz w:val="24"/>
          <w:szCs w:val="24"/>
          <w:lang w:eastAsia="en-GB"/>
        </w:rPr>
        <w:t xml:space="preserve"> Leila</w:t>
      </w:r>
      <w:proofErr w:type="gramEnd"/>
      <w:r w:rsidR="00536F60">
        <w:rPr>
          <w:rFonts w:cs="Times New Roman"/>
          <w:sz w:val="24"/>
          <w:szCs w:val="24"/>
          <w:lang w:eastAsia="en-GB"/>
        </w:rPr>
        <w:t xml:space="preserve"> Allen</w:t>
      </w:r>
      <w:r w:rsidR="00701322" w:rsidRPr="0039572D">
        <w:rPr>
          <w:rFonts w:cs="Times New Roman"/>
          <w:sz w:val="24"/>
          <w:szCs w:val="24"/>
          <w:vertAlign w:val="superscript"/>
        </w:rPr>
        <w:t>1</w:t>
      </w:r>
      <w:r w:rsidR="00536F60">
        <w:rPr>
          <w:rFonts w:cs="Times New Roman"/>
          <w:sz w:val="24"/>
          <w:szCs w:val="24"/>
          <w:lang w:eastAsia="en-GB"/>
        </w:rPr>
        <w:t>,</w:t>
      </w:r>
      <w:r w:rsidR="006D4FE8">
        <w:rPr>
          <w:rFonts w:cs="Times New Roman"/>
          <w:sz w:val="24"/>
          <w:szCs w:val="24"/>
          <w:lang w:eastAsia="en-GB"/>
        </w:rPr>
        <w:t xml:space="preserve"> George Baldwin</w:t>
      </w:r>
      <w:r w:rsidR="002A6056">
        <w:rPr>
          <w:rFonts w:cs="Times New Roman"/>
          <w:sz w:val="24"/>
          <w:szCs w:val="24"/>
          <w:vertAlign w:val="superscript"/>
        </w:rPr>
        <w:t>3</w:t>
      </w:r>
      <w:r w:rsidR="008D7870">
        <w:rPr>
          <w:rFonts w:cs="Times New Roman"/>
          <w:sz w:val="24"/>
          <w:szCs w:val="24"/>
          <w:lang w:eastAsia="en-GB"/>
        </w:rPr>
        <w:t>, Lucy Fitton</w:t>
      </w:r>
      <w:r w:rsidR="002E6237" w:rsidRPr="0039572D">
        <w:rPr>
          <w:rFonts w:cs="Times New Roman"/>
          <w:sz w:val="24"/>
          <w:szCs w:val="24"/>
          <w:vertAlign w:val="superscript"/>
        </w:rPr>
        <w:t>1</w:t>
      </w:r>
      <w:r w:rsidR="00536F60">
        <w:rPr>
          <w:rFonts w:cs="Times New Roman"/>
          <w:sz w:val="24"/>
          <w:szCs w:val="24"/>
          <w:lang w:eastAsia="en-GB"/>
        </w:rPr>
        <w:t xml:space="preserve"> </w:t>
      </w:r>
      <w:r w:rsidRPr="0039572D">
        <w:rPr>
          <w:rFonts w:cs="Times New Roman"/>
          <w:sz w:val="24"/>
          <w:szCs w:val="24"/>
          <w:lang w:eastAsia="en-GB"/>
        </w:rPr>
        <w:t>and Peter Beazley</w:t>
      </w:r>
      <w:r w:rsidRPr="0039572D">
        <w:rPr>
          <w:rFonts w:cs="Times New Roman"/>
          <w:sz w:val="24"/>
          <w:szCs w:val="24"/>
          <w:vertAlign w:val="superscript"/>
        </w:rPr>
        <w:t>1</w:t>
      </w:r>
    </w:p>
    <w:p w14:paraId="2602C598" w14:textId="77777777" w:rsidR="006D4FE8" w:rsidRPr="0039572D" w:rsidRDefault="006D4FE8" w:rsidP="000C11E0">
      <w:pPr>
        <w:shd w:val="clear" w:color="auto" w:fill="FFFFFF"/>
        <w:spacing w:line="480" w:lineRule="auto"/>
        <w:jc w:val="center"/>
        <w:rPr>
          <w:sz w:val="24"/>
          <w:szCs w:val="24"/>
          <w:vertAlign w:val="superscript"/>
        </w:rPr>
      </w:pPr>
    </w:p>
    <w:p w14:paraId="59977995" w14:textId="77777777" w:rsidR="000C11E0" w:rsidRPr="0039572D" w:rsidRDefault="000C11E0" w:rsidP="000C11E0">
      <w:pPr>
        <w:shd w:val="clear" w:color="auto" w:fill="FFFFFF"/>
        <w:jc w:val="center"/>
        <w:rPr>
          <w:rFonts w:cs="Times New Roman"/>
          <w:sz w:val="24"/>
          <w:szCs w:val="24"/>
          <w:lang w:eastAsia="en-GB"/>
        </w:rPr>
      </w:pPr>
      <w:r w:rsidRPr="0039572D">
        <w:rPr>
          <w:sz w:val="24"/>
          <w:szCs w:val="24"/>
          <w:vertAlign w:val="superscript"/>
        </w:rPr>
        <w:t>1</w:t>
      </w:r>
      <w:r w:rsidRPr="0039572D">
        <w:rPr>
          <w:rFonts w:cs="Times New Roman"/>
          <w:sz w:val="24"/>
          <w:szCs w:val="24"/>
          <w:lang w:eastAsia="en-GB"/>
        </w:rPr>
        <w:t>Department of Clinical Psychology and Psychological Therapies, Norwich Medical School, University of East Anglia</w:t>
      </w:r>
    </w:p>
    <w:p w14:paraId="2320213F" w14:textId="77777777" w:rsidR="000C11E0" w:rsidRDefault="000C11E0" w:rsidP="000C11E0">
      <w:pPr>
        <w:shd w:val="clear" w:color="auto" w:fill="FFFFFF"/>
        <w:jc w:val="center"/>
        <w:rPr>
          <w:rFonts w:cs="Times New Roman"/>
          <w:sz w:val="24"/>
          <w:szCs w:val="24"/>
        </w:rPr>
      </w:pPr>
      <w:r w:rsidRPr="0039572D">
        <w:rPr>
          <w:rFonts w:cs="Times New Roman"/>
          <w:sz w:val="24"/>
          <w:szCs w:val="24"/>
          <w:vertAlign w:val="superscript"/>
        </w:rPr>
        <w:t>2</w:t>
      </w:r>
      <w:r w:rsidRPr="0039572D">
        <w:rPr>
          <w:rFonts w:cs="Times New Roman"/>
          <w:sz w:val="24"/>
          <w:szCs w:val="24"/>
        </w:rPr>
        <w:t>School of Law, University of East Anglia</w:t>
      </w:r>
    </w:p>
    <w:p w14:paraId="79C6C0BD" w14:textId="53C2C976" w:rsidR="002A6056" w:rsidRPr="0039572D" w:rsidRDefault="002A6056" w:rsidP="000C11E0">
      <w:pPr>
        <w:shd w:val="clear" w:color="auto" w:fill="FFFFFF"/>
        <w:jc w:val="center"/>
        <w:rPr>
          <w:rFonts w:cs="Times New Roman"/>
          <w:sz w:val="24"/>
          <w:szCs w:val="24"/>
          <w:lang w:eastAsia="en-GB"/>
        </w:rPr>
      </w:pPr>
      <w:r>
        <w:rPr>
          <w:rFonts w:cs="Times New Roman"/>
          <w:sz w:val="24"/>
          <w:szCs w:val="24"/>
          <w:vertAlign w:val="superscript"/>
        </w:rPr>
        <w:t xml:space="preserve">3 </w:t>
      </w:r>
      <w:r>
        <w:rPr>
          <w:rFonts w:cs="Times New Roman"/>
          <w:sz w:val="24"/>
          <w:szCs w:val="24"/>
          <w:lang w:eastAsia="en-GB"/>
        </w:rPr>
        <w:t>Norfolk and Suffolk NHS Foundation Trust, Norfolk, United Kingdom</w:t>
      </w:r>
    </w:p>
    <w:p w14:paraId="22A838BE" w14:textId="77777777" w:rsidR="000C11E0" w:rsidRPr="0039572D" w:rsidRDefault="000C11E0" w:rsidP="000C11E0">
      <w:pPr>
        <w:shd w:val="clear" w:color="auto" w:fill="FFFFFF"/>
        <w:jc w:val="center"/>
        <w:rPr>
          <w:rFonts w:cs="Times New Roman"/>
          <w:sz w:val="24"/>
          <w:szCs w:val="24"/>
          <w:lang w:eastAsia="en-GB"/>
        </w:rPr>
      </w:pPr>
    </w:p>
    <w:p w14:paraId="2A95961C" w14:textId="77777777" w:rsidR="000C11E0" w:rsidRPr="0039572D" w:rsidRDefault="000C11E0" w:rsidP="000C11E0">
      <w:pPr>
        <w:shd w:val="clear" w:color="auto" w:fill="FFFFFF"/>
        <w:jc w:val="center"/>
        <w:rPr>
          <w:rFonts w:cs="Times New Roman"/>
          <w:sz w:val="24"/>
          <w:szCs w:val="24"/>
          <w:lang w:eastAsia="en-GB"/>
        </w:rPr>
      </w:pPr>
    </w:p>
    <w:p w14:paraId="47AC75C8" w14:textId="77777777" w:rsidR="000C11E0" w:rsidRPr="0039572D" w:rsidRDefault="000C11E0" w:rsidP="000C11E0">
      <w:pPr>
        <w:shd w:val="clear" w:color="auto" w:fill="FFFFFF"/>
        <w:jc w:val="center"/>
        <w:rPr>
          <w:rFonts w:cs="Times New Roman"/>
          <w:b/>
          <w:sz w:val="24"/>
          <w:szCs w:val="24"/>
          <w:lang w:eastAsia="en-GB"/>
        </w:rPr>
      </w:pPr>
      <w:r w:rsidRPr="0039572D">
        <w:rPr>
          <w:rFonts w:cs="Times New Roman"/>
          <w:b/>
          <w:sz w:val="24"/>
          <w:szCs w:val="24"/>
          <w:lang w:eastAsia="en-GB"/>
        </w:rPr>
        <w:t>Author Note</w:t>
      </w:r>
    </w:p>
    <w:p w14:paraId="3E2F49AE" w14:textId="7CAE8459" w:rsidR="000C11E0" w:rsidRPr="0039572D" w:rsidRDefault="000C11E0" w:rsidP="000C11E0">
      <w:pPr>
        <w:shd w:val="clear" w:color="auto" w:fill="FFFFFF"/>
        <w:jc w:val="center"/>
        <w:rPr>
          <w:rFonts w:cs="Times New Roman"/>
          <w:sz w:val="24"/>
          <w:szCs w:val="24"/>
          <w:lang w:eastAsia="en-GB"/>
        </w:rPr>
      </w:pPr>
      <w:r w:rsidRPr="0039572D">
        <w:rPr>
          <w:rFonts w:cs="Times New Roman"/>
          <w:sz w:val="24"/>
          <w:szCs w:val="24"/>
          <w:lang w:eastAsia="en-GB"/>
        </w:rPr>
        <w:t xml:space="preserve">*Correspondence concerning this article should be addressed to </w:t>
      </w:r>
      <w:r w:rsidR="00BA54FB">
        <w:rPr>
          <w:rFonts w:cs="Times New Roman"/>
          <w:sz w:val="24"/>
          <w:szCs w:val="24"/>
          <w:lang w:eastAsia="en-GB"/>
        </w:rPr>
        <w:t>Peter Beazley</w:t>
      </w:r>
      <w:r w:rsidRPr="0039572D">
        <w:rPr>
          <w:rFonts w:cs="Times New Roman"/>
          <w:sz w:val="24"/>
          <w:szCs w:val="24"/>
          <w:lang w:eastAsia="en-GB"/>
        </w:rPr>
        <w:t>, Department of Clinical Psychology, Norwich Medical School, University of East Anglia, Norwich Research Park, Norwich, Norfolk, NR4 7TJ, ENGLAND, UNITED KINGDOM.</w:t>
      </w:r>
    </w:p>
    <w:p w14:paraId="372A71C0" w14:textId="65C862B0" w:rsidR="000C11E0" w:rsidRPr="0039572D" w:rsidRDefault="000C11E0" w:rsidP="000C11E0">
      <w:pPr>
        <w:shd w:val="clear" w:color="auto" w:fill="FFFFFF"/>
        <w:jc w:val="center"/>
        <w:rPr>
          <w:rFonts w:cs="Times New Roman"/>
          <w:sz w:val="24"/>
          <w:szCs w:val="24"/>
          <w:lang w:eastAsia="en-GB"/>
        </w:rPr>
      </w:pPr>
      <w:r w:rsidRPr="0039572D">
        <w:rPr>
          <w:rFonts w:cs="Times New Roman"/>
          <w:sz w:val="24"/>
          <w:szCs w:val="24"/>
          <w:lang w:eastAsia="en-GB"/>
        </w:rPr>
        <w:t>Email</w:t>
      </w:r>
      <w:r w:rsidR="00BA54FB">
        <w:rPr>
          <w:rFonts w:cs="Times New Roman"/>
          <w:sz w:val="24"/>
          <w:szCs w:val="24"/>
          <w:lang w:eastAsia="en-GB"/>
        </w:rPr>
        <w:t xml:space="preserve">: </w:t>
      </w:r>
      <w:hyperlink r:id="rId9" w:history="1">
        <w:r w:rsidR="00BA54FB" w:rsidRPr="005763B3">
          <w:rPr>
            <w:rStyle w:val="Hyperlink"/>
            <w:rFonts w:cs="Times New Roman"/>
            <w:sz w:val="24"/>
            <w:szCs w:val="24"/>
            <w:lang w:eastAsia="en-GB"/>
          </w:rPr>
          <w:t>p.beazley@uea.ac.uk</w:t>
        </w:r>
      </w:hyperlink>
      <w:r w:rsidR="00BA54FB">
        <w:rPr>
          <w:rFonts w:cs="Times New Roman"/>
          <w:sz w:val="24"/>
          <w:szCs w:val="24"/>
          <w:lang w:eastAsia="en-GB"/>
        </w:rPr>
        <w:t xml:space="preserve"> </w:t>
      </w:r>
    </w:p>
    <w:p w14:paraId="725AAEE9" w14:textId="77777777" w:rsidR="000C11E0" w:rsidRPr="0039572D" w:rsidRDefault="000C11E0" w:rsidP="000C11E0">
      <w:pPr>
        <w:shd w:val="clear" w:color="auto" w:fill="FFFFFF"/>
        <w:jc w:val="center"/>
        <w:rPr>
          <w:rFonts w:cs="Times New Roman"/>
          <w:sz w:val="24"/>
          <w:szCs w:val="24"/>
          <w:lang w:eastAsia="en-GB"/>
        </w:rPr>
      </w:pPr>
    </w:p>
    <w:p w14:paraId="1BF50A85" w14:textId="77777777" w:rsidR="000C11E0" w:rsidRPr="0039572D" w:rsidRDefault="000C11E0" w:rsidP="000C11E0">
      <w:pPr>
        <w:shd w:val="clear" w:color="auto" w:fill="FFFFFF"/>
        <w:jc w:val="center"/>
        <w:rPr>
          <w:rFonts w:cs="Times New Roman"/>
          <w:sz w:val="24"/>
          <w:szCs w:val="24"/>
          <w:lang w:eastAsia="en-GB"/>
        </w:rPr>
      </w:pPr>
    </w:p>
    <w:p w14:paraId="22A15D1F" w14:textId="77777777" w:rsidR="000C11E0" w:rsidRPr="0039572D" w:rsidRDefault="000C11E0" w:rsidP="000C11E0">
      <w:pPr>
        <w:shd w:val="clear" w:color="auto" w:fill="FFFFFF"/>
        <w:jc w:val="center"/>
        <w:rPr>
          <w:rFonts w:cs="Times New Roman"/>
          <w:sz w:val="24"/>
          <w:szCs w:val="24"/>
          <w:lang w:eastAsia="en-GB"/>
        </w:rPr>
      </w:pPr>
    </w:p>
    <w:p w14:paraId="237E28B5" w14:textId="3983B0C5" w:rsidR="000C11E0" w:rsidRPr="0039572D" w:rsidRDefault="000C11E0" w:rsidP="000C11E0">
      <w:pPr>
        <w:spacing w:line="276" w:lineRule="auto"/>
        <w:jc w:val="center"/>
        <w:rPr>
          <w:rFonts w:cs="Times New Roman"/>
          <w:sz w:val="24"/>
          <w:szCs w:val="24"/>
        </w:rPr>
      </w:pPr>
      <w:r w:rsidRPr="0039572D">
        <w:rPr>
          <w:rFonts w:cs="Times New Roman"/>
          <w:sz w:val="24"/>
          <w:szCs w:val="24"/>
          <w:lang w:eastAsia="en-GB"/>
        </w:rPr>
        <w:t xml:space="preserve">Word Count: </w:t>
      </w:r>
      <w:r w:rsidR="00FF19E8">
        <w:rPr>
          <w:rFonts w:cs="Times New Roman"/>
          <w:sz w:val="24"/>
          <w:szCs w:val="24"/>
          <w:lang w:eastAsia="en-GB"/>
        </w:rPr>
        <w:t>9070</w:t>
      </w:r>
      <w:r w:rsidR="00CA4F69">
        <w:rPr>
          <w:rFonts w:cs="Times New Roman"/>
          <w:sz w:val="24"/>
          <w:szCs w:val="24"/>
          <w:lang w:eastAsia="en-GB"/>
        </w:rPr>
        <w:t xml:space="preserve"> </w:t>
      </w:r>
      <w:r w:rsidRPr="0039572D">
        <w:rPr>
          <w:rFonts w:cs="Times New Roman"/>
          <w:sz w:val="24"/>
          <w:szCs w:val="24"/>
        </w:rPr>
        <w:t>(</w:t>
      </w:r>
      <w:r w:rsidR="00A07C51">
        <w:rPr>
          <w:rFonts w:cs="Times New Roman"/>
          <w:sz w:val="24"/>
          <w:szCs w:val="24"/>
        </w:rPr>
        <w:t>including</w:t>
      </w:r>
      <w:r w:rsidRPr="0039572D">
        <w:rPr>
          <w:rFonts w:cs="Times New Roman"/>
          <w:sz w:val="24"/>
          <w:szCs w:val="24"/>
        </w:rPr>
        <w:t xml:space="preserve"> abstract, titles, tables, figure legends, and references)</w:t>
      </w:r>
    </w:p>
    <w:p w14:paraId="39EC754E" w14:textId="77777777" w:rsidR="000C11E0" w:rsidRPr="0039572D" w:rsidRDefault="000C11E0" w:rsidP="000C11E0"/>
    <w:p w14:paraId="3F5D0B1A" w14:textId="77777777" w:rsidR="000C11E0" w:rsidRPr="0039572D" w:rsidRDefault="000C11E0" w:rsidP="000C11E0"/>
    <w:p w14:paraId="6F7FAF25" w14:textId="77777777" w:rsidR="000C11E0" w:rsidRPr="0039572D" w:rsidRDefault="000C11E0" w:rsidP="000C11E0"/>
    <w:p w14:paraId="106F2252" w14:textId="77777777" w:rsidR="000C11E0" w:rsidRDefault="000C11E0" w:rsidP="000C11E0"/>
    <w:p w14:paraId="41251782" w14:textId="77777777" w:rsidR="00E24D97" w:rsidRDefault="00E24D97" w:rsidP="000C11E0"/>
    <w:p w14:paraId="710B0A6D" w14:textId="77777777" w:rsidR="00E24D97" w:rsidRDefault="00E24D97" w:rsidP="000C11E0"/>
    <w:p w14:paraId="03D7999B" w14:textId="77777777" w:rsidR="006C6E19" w:rsidRDefault="006C6E19" w:rsidP="000C11E0"/>
    <w:p w14:paraId="245462AD" w14:textId="77777777" w:rsidR="006C6E19" w:rsidRDefault="006C6E19" w:rsidP="000C11E0"/>
    <w:p w14:paraId="265F499A" w14:textId="77777777" w:rsidR="006C6E19" w:rsidRDefault="006C6E19" w:rsidP="000C11E0"/>
    <w:p w14:paraId="3935E791" w14:textId="77777777" w:rsidR="006C6E19" w:rsidRPr="0039572D" w:rsidRDefault="006C6E19" w:rsidP="000C11E0"/>
    <w:p w14:paraId="12844B48" w14:textId="77777777" w:rsidR="000C11E0" w:rsidRPr="0039572D" w:rsidRDefault="000C11E0" w:rsidP="000C11E0"/>
    <w:p w14:paraId="7848B210" w14:textId="77777777" w:rsidR="000C11E0" w:rsidRPr="0039572D" w:rsidRDefault="000C11E0" w:rsidP="000C11E0"/>
    <w:p w14:paraId="2292B313" w14:textId="114632FE" w:rsidR="006C3640" w:rsidRDefault="006C3640" w:rsidP="006C3640">
      <w:pPr>
        <w:pStyle w:val="Heading2"/>
        <w:spacing w:line="276" w:lineRule="auto"/>
        <w:rPr>
          <w:rFonts w:asciiTheme="minorHAnsi" w:hAnsiTheme="minorHAnsi"/>
        </w:rPr>
      </w:pPr>
      <w:r>
        <w:rPr>
          <w:rFonts w:asciiTheme="minorHAnsi" w:hAnsiTheme="minorHAnsi"/>
        </w:rPr>
        <w:t>Abstract</w:t>
      </w:r>
    </w:p>
    <w:p w14:paraId="02C3EF1D" w14:textId="77777777" w:rsidR="006C3640" w:rsidRPr="006F296A" w:rsidRDefault="006C3640" w:rsidP="006F296A">
      <w:pPr>
        <w:spacing w:line="276" w:lineRule="auto"/>
        <w:rPr>
          <w:rFonts w:cs="Times New Roman"/>
          <w:sz w:val="24"/>
          <w:szCs w:val="24"/>
        </w:rPr>
      </w:pPr>
      <w:r w:rsidRPr="006F296A">
        <w:rPr>
          <w:rFonts w:cs="Times New Roman"/>
          <w:sz w:val="24"/>
          <w:szCs w:val="24"/>
        </w:rPr>
        <w:t xml:space="preserve">In England and Wales, s.45A of the Mental Health Act 1983 allows a judge to pass a sentence including both an immediate direction to hospital as well as a punitive custodial element. R </w:t>
      </w:r>
      <w:r w:rsidRPr="006F296A">
        <w:rPr>
          <w:rFonts w:cs="Times New Roman"/>
          <w:i/>
          <w:iCs/>
          <w:sz w:val="24"/>
          <w:szCs w:val="24"/>
        </w:rPr>
        <w:t>v Vowles</w:t>
      </w:r>
      <w:r w:rsidRPr="006F296A">
        <w:rPr>
          <w:rFonts w:cs="Times New Roman"/>
          <w:sz w:val="24"/>
          <w:szCs w:val="24"/>
        </w:rPr>
        <w:t> provides four specific considerations for judges to attend to when considering such sentences (referred to as the ‘Vowles statements’). In a previous study (Baldwin et al, 2025), we examined how a proxy judicial sample made decisions about sentencing in line with this case-law.</w:t>
      </w:r>
      <w:r w:rsidRPr="006F296A">
        <w:rPr>
          <w:rFonts w:cs="Times New Roman"/>
          <w:i/>
          <w:iCs/>
          <w:sz w:val="24"/>
          <w:szCs w:val="24"/>
        </w:rPr>
        <w:t xml:space="preserve"> </w:t>
      </w:r>
      <w:r w:rsidRPr="006F296A">
        <w:rPr>
          <w:rFonts w:cs="Times New Roman"/>
          <w:sz w:val="24"/>
          <w:szCs w:val="24"/>
        </w:rPr>
        <w:t xml:space="preserve">Whilst s.45A was, in contrast to real world outcomes, very popular, not </w:t>
      </w:r>
      <w:proofErr w:type="gramStart"/>
      <w:r w:rsidRPr="006F296A">
        <w:rPr>
          <w:rFonts w:cs="Times New Roman"/>
          <w:sz w:val="24"/>
          <w:szCs w:val="24"/>
        </w:rPr>
        <w:t>all of</w:t>
      </w:r>
      <w:proofErr w:type="gramEnd"/>
      <w:r w:rsidRPr="006F296A">
        <w:rPr>
          <w:rFonts w:cs="Times New Roman"/>
          <w:sz w:val="24"/>
          <w:szCs w:val="24"/>
        </w:rPr>
        <w:t xml:space="preserve"> the Vowles statements were predictive of the final sentence. Moreover, differences in the diagnostic description presented to judges resulted in little difference to sentencing outcomes. However, this study suffered with </w:t>
      </w:r>
      <w:proofErr w:type="gramStart"/>
      <w:r w:rsidRPr="006F296A">
        <w:rPr>
          <w:rFonts w:cs="Times New Roman"/>
          <w:sz w:val="24"/>
          <w:szCs w:val="24"/>
        </w:rPr>
        <w:t>a number of</w:t>
      </w:r>
      <w:proofErr w:type="gramEnd"/>
      <w:r w:rsidRPr="006F296A">
        <w:rPr>
          <w:rFonts w:cs="Times New Roman"/>
          <w:sz w:val="24"/>
          <w:szCs w:val="24"/>
        </w:rPr>
        <w:t xml:space="preserve"> methodological limitations which the present study aimed to address. Our findings largely mirrored those of our original study; s45A remained a popular option with judges, and of the four Vowles statements, the studies together clearly indicate that a belief that the defendant requires punishment is by far the most important factor. Combining the samples of the two studies indicated a small effect of diagnosis on sentencing behaviour, and there was significant evidence of variability between judges in their appraisals of the Vowles statements. This study illuminates the need for better understanding of judicial decision-making processes concerning defendants with mental health concerns. </w:t>
      </w:r>
    </w:p>
    <w:p w14:paraId="2D625897" w14:textId="77777777" w:rsidR="00A57ED8" w:rsidRPr="0039572D" w:rsidRDefault="00A57ED8" w:rsidP="00A57ED8">
      <w:pPr>
        <w:spacing w:line="276" w:lineRule="auto"/>
        <w:rPr>
          <w:rFonts w:cs="Times New Roman"/>
          <w:sz w:val="24"/>
          <w:szCs w:val="24"/>
        </w:rPr>
      </w:pPr>
    </w:p>
    <w:p w14:paraId="588E15CE" w14:textId="77777777" w:rsidR="000C11E0" w:rsidRDefault="000C11E0" w:rsidP="00A57ED8">
      <w:pPr>
        <w:pStyle w:val="Heading2"/>
        <w:spacing w:line="276" w:lineRule="auto"/>
        <w:rPr>
          <w:rFonts w:asciiTheme="minorHAnsi" w:hAnsiTheme="minorHAnsi"/>
        </w:rPr>
      </w:pPr>
      <w:bookmarkStart w:id="1" w:name="_Toc166251391"/>
      <w:r w:rsidRPr="0039572D">
        <w:rPr>
          <w:rFonts w:asciiTheme="minorHAnsi" w:hAnsiTheme="minorHAnsi"/>
        </w:rPr>
        <w:t>Introduction &amp; Background</w:t>
      </w:r>
      <w:bookmarkEnd w:id="1"/>
    </w:p>
    <w:p w14:paraId="56B54C6D" w14:textId="4029F2CF" w:rsidR="000C11E0" w:rsidRPr="0029009B" w:rsidRDefault="0029009B" w:rsidP="00A57ED8">
      <w:pPr>
        <w:spacing w:after="20" w:line="276" w:lineRule="auto"/>
        <w:rPr>
          <w:rFonts w:cs="Times New Roman"/>
          <w:sz w:val="24"/>
          <w:szCs w:val="24"/>
        </w:rPr>
      </w:pPr>
      <w:r w:rsidRPr="0029009B">
        <w:rPr>
          <w:rFonts w:cs="Times New Roman"/>
          <w:sz w:val="24"/>
          <w:szCs w:val="24"/>
        </w:rPr>
        <w:t>The present</w:t>
      </w:r>
      <w:r>
        <w:rPr>
          <w:rFonts w:cs="Times New Roman"/>
          <w:sz w:val="24"/>
          <w:szCs w:val="24"/>
        </w:rPr>
        <w:t xml:space="preserve"> paper reports on an extension and </w:t>
      </w:r>
      <w:r w:rsidR="00920323">
        <w:rPr>
          <w:rFonts w:cs="Times New Roman"/>
          <w:sz w:val="24"/>
          <w:szCs w:val="24"/>
        </w:rPr>
        <w:t xml:space="preserve">partial </w:t>
      </w:r>
      <w:r>
        <w:rPr>
          <w:rFonts w:cs="Times New Roman"/>
          <w:sz w:val="24"/>
          <w:szCs w:val="24"/>
        </w:rPr>
        <w:t xml:space="preserve">replication of </w:t>
      </w:r>
      <w:r w:rsidR="00A91F86">
        <w:rPr>
          <w:rFonts w:cs="Times New Roman"/>
          <w:sz w:val="24"/>
          <w:szCs w:val="24"/>
        </w:rPr>
        <w:fldChar w:fldCharType="begin">
          <w:fldData xml:space="preserve">PEVuZE5vdGU+PENpdGUgQXV0aG9yWWVhcj0iMSI+PEF1dGhvcj5CYWxkd2luPC9BdXRob3I+PFll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</w:fldData>
        </w:fldChar>
      </w:r>
      <w:r w:rsidR="00020B10">
        <w:rPr>
          <w:rFonts w:cs="Times New Roman"/>
          <w:sz w:val="24"/>
          <w:szCs w:val="24"/>
        </w:rPr>
        <w:instrText xml:space="preserve"> ADDIN EN.CITE </w:instrText>
      </w:r>
      <w:r w:rsidR="00020B10">
        <w:rPr>
          <w:rFonts w:cs="Times New Roman"/>
          <w:sz w:val="24"/>
          <w:szCs w:val="24"/>
        </w:rPr>
        <w:fldChar w:fldCharType="begin">
          <w:fldData xml:space="preserve">PEVuZE5vdGU+PENpdGUgQXV0aG9yWWVhcj0iMSI+PEF1dGhvcj5CYWxkd2luPC9BdXRob3I+PFll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</w:fldData>
        </w:fldChar>
      </w:r>
      <w:r w:rsidR="00020B10">
        <w:rPr>
          <w:rFonts w:cs="Times New Roman"/>
          <w:sz w:val="24"/>
          <w:szCs w:val="24"/>
        </w:rPr>
        <w:instrText xml:space="preserve"> ADDIN EN.CITE.DATA </w:instrText>
      </w:r>
      <w:r w:rsidR="00020B10">
        <w:rPr>
          <w:rFonts w:cs="Times New Roman"/>
          <w:sz w:val="24"/>
          <w:szCs w:val="24"/>
        </w:rPr>
      </w:r>
      <w:r w:rsidR="00020B10">
        <w:rPr>
          <w:rFonts w:cs="Times New Roman"/>
          <w:sz w:val="24"/>
          <w:szCs w:val="24"/>
        </w:rPr>
        <w:fldChar w:fldCharType="end"/>
      </w:r>
      <w:r w:rsidR="00A91F86">
        <w:rPr>
          <w:rFonts w:cs="Times New Roman"/>
          <w:sz w:val="24"/>
          <w:szCs w:val="24"/>
        </w:rPr>
      </w:r>
      <w:r w:rsidR="00A91F86">
        <w:rPr>
          <w:rFonts w:cs="Times New Roman"/>
          <w:sz w:val="24"/>
          <w:szCs w:val="24"/>
        </w:rPr>
        <w:fldChar w:fldCharType="separate"/>
      </w:r>
      <w:r w:rsidR="00020B10">
        <w:rPr>
          <w:rFonts w:cs="Times New Roman"/>
          <w:noProof/>
          <w:sz w:val="24"/>
          <w:szCs w:val="24"/>
        </w:rPr>
        <w:t>Baldwin et al. (2025)</w:t>
      </w:r>
      <w:r w:rsidR="00A91F86">
        <w:rPr>
          <w:rFonts w:cs="Times New Roman"/>
          <w:sz w:val="24"/>
          <w:szCs w:val="24"/>
        </w:rPr>
        <w:fldChar w:fldCharType="end"/>
      </w:r>
      <w:r w:rsidR="00020B10">
        <w:rPr>
          <w:rFonts w:cs="Times New Roman"/>
          <w:sz w:val="24"/>
          <w:szCs w:val="24"/>
        </w:rPr>
        <w:t>, an article published in IJLP concerning the</w:t>
      </w:r>
      <w:r w:rsidR="000F3BEA">
        <w:rPr>
          <w:rFonts w:cs="Times New Roman"/>
          <w:sz w:val="24"/>
          <w:szCs w:val="24"/>
        </w:rPr>
        <w:t xml:space="preserve"> judicial</w:t>
      </w:r>
      <w:r w:rsidR="00020B10">
        <w:rPr>
          <w:rFonts w:cs="Times New Roman"/>
          <w:sz w:val="24"/>
          <w:szCs w:val="24"/>
        </w:rPr>
        <w:t xml:space="preserve"> decision-making processes in relation to </w:t>
      </w:r>
      <w:r w:rsidR="000F3BEA">
        <w:rPr>
          <w:rFonts w:cs="Times New Roman"/>
          <w:sz w:val="24"/>
          <w:szCs w:val="24"/>
        </w:rPr>
        <w:t xml:space="preserve">key </w:t>
      </w:r>
      <w:r w:rsidR="00020B10">
        <w:rPr>
          <w:rFonts w:cs="Times New Roman"/>
          <w:sz w:val="24"/>
          <w:szCs w:val="24"/>
        </w:rPr>
        <w:t xml:space="preserve">case-law in the sentencing of offenders with mental health concerns convicted of serious offences in England and Wales. </w:t>
      </w:r>
    </w:p>
    <w:p w14:paraId="785348F0" w14:textId="723834E4" w:rsidR="00DB7C30" w:rsidRDefault="00DB7C30" w:rsidP="00A57ED8">
      <w:pPr>
        <w:spacing w:after="20" w:line="276" w:lineRule="auto"/>
        <w:rPr>
          <w:rFonts w:cs="Times New Roman"/>
          <w:bCs/>
          <w:sz w:val="24"/>
          <w:szCs w:val="24"/>
        </w:rPr>
      </w:pPr>
    </w:p>
    <w:p w14:paraId="1C5D902D" w14:textId="2454D255" w:rsidR="00F84A97" w:rsidRDefault="00FE14AA" w:rsidP="00A57ED8">
      <w:pPr>
        <w:spacing w:after="20" w:line="276" w:lineRule="auto"/>
        <w:rPr>
          <w:rFonts w:cs="Times New Roman"/>
          <w:sz w:val="24"/>
          <w:szCs w:val="24"/>
        </w:rPr>
      </w:pPr>
      <w:r>
        <w:rPr>
          <w:rFonts w:cs="Times New Roman"/>
          <w:bCs/>
          <w:sz w:val="24"/>
          <w:szCs w:val="24"/>
        </w:rPr>
        <w:t xml:space="preserve">The legal context of the sentencing processes and underlying case-law is described in full in </w:t>
      </w:r>
      <w:r>
        <w:rPr>
          <w:rFonts w:cs="Times New Roman"/>
          <w:sz w:val="24"/>
          <w:szCs w:val="24"/>
        </w:rPr>
        <w:fldChar w:fldCharType="begin">
          <w:fldData xml:space="preserve">PEVuZE5vdGU+PENpdGUgQXV0aG9yWWVhcj0iMSI+PEF1dGhvcj5CYWxkd2luPC9BdXRob3I+PFll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</w:fldData>
        </w:fldChar>
      </w:r>
      <w:r>
        <w:rPr>
          <w:rFonts w:cs="Times New Roman"/>
          <w:sz w:val="24"/>
          <w:szCs w:val="24"/>
        </w:rPr>
        <w:instrText xml:space="preserve"> ADDIN EN.CITE </w:instrText>
      </w:r>
      <w:r>
        <w:rPr>
          <w:rFonts w:cs="Times New Roman"/>
          <w:sz w:val="24"/>
          <w:szCs w:val="24"/>
        </w:rPr>
        <w:fldChar w:fldCharType="begin">
          <w:fldData xml:space="preserve">PEVuZE5vdGU+PENpdGUgQXV0aG9yWWVhcj0iMSI+PEF1dGhvcj5CYWxkd2luPC9BdXRob3I+PFll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Pr>
          <w:rFonts w:cs="Times New Roman"/>
          <w:sz w:val="24"/>
          <w:szCs w:val="24"/>
        </w:rPr>
      </w:r>
      <w:r>
        <w:rPr>
          <w:rFonts w:cs="Times New Roman"/>
          <w:sz w:val="24"/>
          <w:szCs w:val="24"/>
        </w:rPr>
        <w:fldChar w:fldCharType="separate"/>
      </w:r>
      <w:r>
        <w:rPr>
          <w:rFonts w:cs="Times New Roman"/>
          <w:noProof/>
          <w:sz w:val="24"/>
          <w:szCs w:val="24"/>
        </w:rPr>
        <w:t>Baldwin et al. (2025)</w:t>
      </w:r>
      <w:r>
        <w:rPr>
          <w:rFonts w:cs="Times New Roman"/>
          <w:sz w:val="24"/>
          <w:szCs w:val="24"/>
        </w:rPr>
        <w:fldChar w:fldCharType="end"/>
      </w:r>
      <w:r>
        <w:rPr>
          <w:rFonts w:cs="Times New Roman"/>
          <w:sz w:val="24"/>
          <w:szCs w:val="24"/>
        </w:rPr>
        <w:t>, a</w:t>
      </w:r>
      <w:r w:rsidR="00920323">
        <w:rPr>
          <w:rFonts w:cs="Times New Roman"/>
          <w:sz w:val="24"/>
          <w:szCs w:val="24"/>
        </w:rPr>
        <w:t xml:space="preserve">lthough </w:t>
      </w:r>
      <w:r>
        <w:rPr>
          <w:rFonts w:cs="Times New Roman"/>
          <w:sz w:val="24"/>
          <w:szCs w:val="24"/>
        </w:rPr>
        <w:t xml:space="preserve">a brief summary of the key elements is useful to review. In this regard, it is noted that when a person is convicted of a serious offence in the </w:t>
      </w:r>
      <w:r w:rsidR="007D035A">
        <w:rPr>
          <w:rFonts w:cs="Times New Roman"/>
          <w:sz w:val="24"/>
          <w:szCs w:val="24"/>
        </w:rPr>
        <w:t>c</w:t>
      </w:r>
      <w:r>
        <w:rPr>
          <w:rFonts w:cs="Times New Roman"/>
          <w:sz w:val="24"/>
          <w:szCs w:val="24"/>
        </w:rPr>
        <w:t xml:space="preserve">rown </w:t>
      </w:r>
      <w:r w:rsidR="007D035A">
        <w:rPr>
          <w:rFonts w:cs="Times New Roman"/>
          <w:sz w:val="24"/>
          <w:szCs w:val="24"/>
        </w:rPr>
        <w:t>c</w:t>
      </w:r>
      <w:r>
        <w:rPr>
          <w:rFonts w:cs="Times New Roman"/>
          <w:sz w:val="24"/>
          <w:szCs w:val="24"/>
        </w:rPr>
        <w:t xml:space="preserve">ourts in England and Wales, there are </w:t>
      </w:r>
      <w:r w:rsidR="009078D9">
        <w:rPr>
          <w:rFonts w:cs="Times New Roman"/>
          <w:sz w:val="24"/>
          <w:szCs w:val="24"/>
        </w:rPr>
        <w:t>in essence</w:t>
      </w:r>
      <w:r w:rsidR="00F84A97">
        <w:rPr>
          <w:rFonts w:cs="Times New Roman"/>
          <w:sz w:val="24"/>
          <w:szCs w:val="24"/>
        </w:rPr>
        <w:t xml:space="preserve"> </w:t>
      </w:r>
      <w:r>
        <w:rPr>
          <w:rFonts w:cs="Times New Roman"/>
          <w:sz w:val="24"/>
          <w:szCs w:val="24"/>
        </w:rPr>
        <w:t>two main and quite distinct</w:t>
      </w:r>
      <w:r w:rsidR="00F84A97">
        <w:rPr>
          <w:rFonts w:cs="Times New Roman"/>
          <w:sz w:val="24"/>
          <w:szCs w:val="24"/>
        </w:rPr>
        <w:t xml:space="preserve"> sentencing</w:t>
      </w:r>
      <w:r>
        <w:rPr>
          <w:rFonts w:cs="Times New Roman"/>
          <w:sz w:val="24"/>
          <w:szCs w:val="24"/>
        </w:rPr>
        <w:t xml:space="preserve"> routes (</w:t>
      </w:r>
      <w:r w:rsidR="00905665">
        <w:rPr>
          <w:rFonts w:cs="Times New Roman"/>
          <w:sz w:val="24"/>
          <w:szCs w:val="24"/>
        </w:rPr>
        <w:t xml:space="preserve">a </w:t>
      </w:r>
      <w:r>
        <w:rPr>
          <w:rFonts w:cs="Times New Roman"/>
          <w:sz w:val="24"/>
          <w:szCs w:val="24"/>
        </w:rPr>
        <w:t xml:space="preserve">prison sentence or a hospital order under s.37 of the </w:t>
      </w:r>
      <w:r>
        <w:rPr>
          <w:rFonts w:cs="Times New Roman"/>
          <w:sz w:val="24"/>
          <w:szCs w:val="24"/>
        </w:rPr>
        <w:lastRenderedPageBreak/>
        <w:t>Mental Health Act, 1983; MHA)</w:t>
      </w:r>
      <w:r w:rsidR="00F84A97">
        <w:rPr>
          <w:rFonts w:cs="Times New Roman"/>
          <w:sz w:val="24"/>
          <w:szCs w:val="24"/>
        </w:rPr>
        <w:t xml:space="preserve">. A </w:t>
      </w:r>
      <w:r>
        <w:rPr>
          <w:rFonts w:cs="Times New Roman"/>
          <w:sz w:val="24"/>
          <w:szCs w:val="24"/>
        </w:rPr>
        <w:t xml:space="preserve">third option – the ‘hybrid order’ (under s.45A of the MHA) </w:t>
      </w:r>
      <w:r w:rsidR="00F84A97">
        <w:rPr>
          <w:rFonts w:cs="Times New Roman"/>
          <w:sz w:val="24"/>
          <w:szCs w:val="24"/>
        </w:rPr>
        <w:t>is</w:t>
      </w:r>
      <w:r>
        <w:rPr>
          <w:rFonts w:cs="Times New Roman"/>
          <w:sz w:val="24"/>
          <w:szCs w:val="24"/>
        </w:rPr>
        <w:t xml:space="preserve"> </w:t>
      </w:r>
      <w:r w:rsidR="00F84A97">
        <w:rPr>
          <w:rFonts w:cs="Times New Roman"/>
          <w:sz w:val="24"/>
          <w:szCs w:val="24"/>
        </w:rPr>
        <w:t xml:space="preserve">also </w:t>
      </w:r>
      <w:r w:rsidR="009078D9">
        <w:rPr>
          <w:rFonts w:cs="Times New Roman"/>
          <w:sz w:val="24"/>
          <w:szCs w:val="24"/>
        </w:rPr>
        <w:t>available but</w:t>
      </w:r>
      <w:r w:rsidR="00F84A97">
        <w:rPr>
          <w:rFonts w:cs="Times New Roman"/>
          <w:sz w:val="24"/>
          <w:szCs w:val="24"/>
        </w:rPr>
        <w:t xml:space="preserve"> is in practice rarely used. </w:t>
      </w:r>
    </w:p>
    <w:p w14:paraId="1D49E782" w14:textId="77777777" w:rsidR="00F84A97" w:rsidRDefault="00F84A97" w:rsidP="00A57ED8">
      <w:pPr>
        <w:spacing w:after="20" w:line="276" w:lineRule="auto"/>
        <w:rPr>
          <w:rFonts w:cs="Times New Roman"/>
          <w:sz w:val="24"/>
          <w:szCs w:val="24"/>
        </w:rPr>
      </w:pPr>
    </w:p>
    <w:p w14:paraId="3835E97F" w14:textId="5B4E78DA" w:rsidR="00CB0806" w:rsidRDefault="009078D9" w:rsidP="00A57ED8">
      <w:pPr>
        <w:spacing w:after="20" w:line="276" w:lineRule="auto"/>
        <w:rPr>
          <w:rFonts w:cs="Times New Roman"/>
          <w:sz w:val="24"/>
          <w:szCs w:val="24"/>
        </w:rPr>
      </w:pPr>
      <w:r>
        <w:rPr>
          <w:rFonts w:cs="Times New Roman"/>
          <w:sz w:val="24"/>
          <w:szCs w:val="24"/>
        </w:rPr>
        <w:t xml:space="preserve">The type of sentence chosen </w:t>
      </w:r>
      <w:r w:rsidR="00CC63CA">
        <w:rPr>
          <w:rFonts w:cs="Times New Roman"/>
          <w:sz w:val="24"/>
          <w:szCs w:val="24"/>
        </w:rPr>
        <w:t xml:space="preserve">has </w:t>
      </w:r>
      <w:r w:rsidR="00E058EC">
        <w:rPr>
          <w:rFonts w:cs="Times New Roman"/>
          <w:sz w:val="24"/>
          <w:szCs w:val="24"/>
        </w:rPr>
        <w:t xml:space="preserve">enormous implications for the </w:t>
      </w:r>
      <w:r w:rsidR="00560732">
        <w:rPr>
          <w:rFonts w:cs="Times New Roman"/>
          <w:sz w:val="24"/>
          <w:szCs w:val="24"/>
        </w:rPr>
        <w:t>defendant</w:t>
      </w:r>
      <w:r w:rsidR="00840AFC">
        <w:rPr>
          <w:rFonts w:cs="Times New Roman"/>
          <w:sz w:val="24"/>
          <w:szCs w:val="24"/>
        </w:rPr>
        <w:t>,</w:t>
      </w:r>
      <w:r w:rsidR="00560732">
        <w:rPr>
          <w:rFonts w:cs="Times New Roman"/>
          <w:sz w:val="24"/>
          <w:szCs w:val="24"/>
        </w:rPr>
        <w:t xml:space="preserve"> </w:t>
      </w:r>
      <w:r w:rsidR="00FC0C30">
        <w:rPr>
          <w:rFonts w:cs="Times New Roman"/>
          <w:sz w:val="24"/>
          <w:szCs w:val="24"/>
        </w:rPr>
        <w:t xml:space="preserve">not </w:t>
      </w:r>
      <w:r w:rsidR="00560732">
        <w:rPr>
          <w:rFonts w:cs="Times New Roman"/>
          <w:sz w:val="24"/>
          <w:szCs w:val="24"/>
        </w:rPr>
        <w:t xml:space="preserve">only </w:t>
      </w:r>
      <w:r w:rsidR="00FC0C30">
        <w:rPr>
          <w:rFonts w:cs="Times New Roman"/>
          <w:sz w:val="24"/>
          <w:szCs w:val="24"/>
        </w:rPr>
        <w:t xml:space="preserve">in terms </w:t>
      </w:r>
      <w:r w:rsidR="00560732">
        <w:rPr>
          <w:rFonts w:cs="Times New Roman"/>
          <w:sz w:val="24"/>
          <w:szCs w:val="24"/>
        </w:rPr>
        <w:t xml:space="preserve">of the type of institution in which their sentence is served, but also in terms of the </w:t>
      </w:r>
      <w:r w:rsidR="00B250B3">
        <w:rPr>
          <w:rFonts w:cs="Times New Roman"/>
          <w:sz w:val="24"/>
          <w:szCs w:val="24"/>
        </w:rPr>
        <w:t>powers to require the offender to take medication,</w:t>
      </w:r>
      <w:r w:rsidR="00FC0C30">
        <w:rPr>
          <w:rFonts w:cs="Times New Roman"/>
          <w:sz w:val="24"/>
          <w:szCs w:val="24"/>
        </w:rPr>
        <w:t xml:space="preserve"> the decision-making process concerning </w:t>
      </w:r>
      <w:r w:rsidR="000F3BEA">
        <w:rPr>
          <w:rFonts w:cs="Times New Roman"/>
          <w:sz w:val="24"/>
          <w:szCs w:val="24"/>
        </w:rPr>
        <w:t>release to the community</w:t>
      </w:r>
      <w:r w:rsidR="00FC0C30">
        <w:rPr>
          <w:rFonts w:cs="Times New Roman"/>
          <w:sz w:val="24"/>
          <w:szCs w:val="24"/>
        </w:rPr>
        <w:t>, and the</w:t>
      </w:r>
      <w:r w:rsidR="00AF2CDA">
        <w:rPr>
          <w:rFonts w:cs="Times New Roman"/>
          <w:sz w:val="24"/>
          <w:szCs w:val="24"/>
        </w:rPr>
        <w:t xml:space="preserve"> nature of the follow-up provided in the community. In crude terms, a</w:t>
      </w:r>
      <w:r w:rsidR="00FE14AA">
        <w:rPr>
          <w:rFonts w:cs="Times New Roman"/>
          <w:sz w:val="24"/>
          <w:szCs w:val="24"/>
        </w:rPr>
        <w:t xml:space="preserve"> prison sentence means the person </w:t>
      </w:r>
      <w:r w:rsidR="006A2585">
        <w:rPr>
          <w:rFonts w:cs="Times New Roman"/>
          <w:sz w:val="24"/>
          <w:szCs w:val="24"/>
        </w:rPr>
        <w:t>will serve a specified period in prison</w:t>
      </w:r>
      <w:r w:rsidR="00FE14AA">
        <w:rPr>
          <w:rFonts w:cs="Times New Roman"/>
          <w:sz w:val="24"/>
          <w:szCs w:val="24"/>
        </w:rPr>
        <w:t xml:space="preserve">, </w:t>
      </w:r>
      <w:r w:rsidR="00FA69A2">
        <w:rPr>
          <w:rFonts w:cs="Times New Roman"/>
          <w:sz w:val="24"/>
          <w:szCs w:val="24"/>
        </w:rPr>
        <w:t xml:space="preserve">or in some cases </w:t>
      </w:r>
      <w:r w:rsidR="00B77ECA">
        <w:rPr>
          <w:rFonts w:cs="Times New Roman"/>
          <w:sz w:val="24"/>
          <w:szCs w:val="24"/>
        </w:rPr>
        <w:t>be</w:t>
      </w:r>
      <w:r w:rsidR="00FA69A2">
        <w:rPr>
          <w:rFonts w:cs="Times New Roman"/>
          <w:sz w:val="24"/>
          <w:szCs w:val="24"/>
        </w:rPr>
        <w:t xml:space="preserve"> given an indefinite ‘life’ sentence that will carry a minimum term.</w:t>
      </w:r>
      <w:r w:rsidR="00AF5E4A">
        <w:rPr>
          <w:rFonts w:cs="Times New Roman"/>
          <w:sz w:val="24"/>
          <w:szCs w:val="24"/>
        </w:rPr>
        <w:t xml:space="preserve"> Many offenders will be released from prison with a requirement to carry out the remainder of their sentence under the supervision of the probation services. A prison sentence</w:t>
      </w:r>
      <w:r w:rsidR="00DF7511">
        <w:rPr>
          <w:rFonts w:cs="Times New Roman"/>
          <w:sz w:val="24"/>
          <w:szCs w:val="24"/>
        </w:rPr>
        <w:t xml:space="preserve"> also</w:t>
      </w:r>
      <w:r w:rsidR="00AF5E4A">
        <w:rPr>
          <w:rFonts w:cs="Times New Roman"/>
          <w:sz w:val="24"/>
          <w:szCs w:val="24"/>
        </w:rPr>
        <w:t xml:space="preserve"> means that the person cannot be compelled to take medication or treatment for a mental health condition, </w:t>
      </w:r>
      <w:r w:rsidR="00AF2CDA">
        <w:rPr>
          <w:rFonts w:cs="Times New Roman"/>
          <w:sz w:val="24"/>
          <w:szCs w:val="24"/>
        </w:rPr>
        <w:t>and</w:t>
      </w:r>
      <w:r w:rsidR="000B06AE">
        <w:rPr>
          <w:rFonts w:cs="Times New Roman"/>
          <w:sz w:val="24"/>
          <w:szCs w:val="24"/>
        </w:rPr>
        <w:t xml:space="preserve"> any mental health needs </w:t>
      </w:r>
      <w:r w:rsidR="00AF2CDA">
        <w:rPr>
          <w:rFonts w:cs="Times New Roman"/>
          <w:sz w:val="24"/>
          <w:szCs w:val="24"/>
        </w:rPr>
        <w:t>will be</w:t>
      </w:r>
      <w:r w:rsidR="000B06AE">
        <w:rPr>
          <w:rFonts w:cs="Times New Roman"/>
          <w:sz w:val="24"/>
          <w:szCs w:val="24"/>
        </w:rPr>
        <w:t xml:space="preserve"> addressed by the relevant services within the prison.</w:t>
      </w:r>
      <w:r w:rsidR="00AF2CDA">
        <w:rPr>
          <w:rFonts w:cs="Times New Roman"/>
          <w:sz w:val="24"/>
          <w:szCs w:val="24"/>
        </w:rPr>
        <w:t xml:space="preserve"> If the</w:t>
      </w:r>
      <w:r w:rsidR="00CB0806">
        <w:rPr>
          <w:rFonts w:cs="Times New Roman"/>
          <w:sz w:val="24"/>
          <w:szCs w:val="24"/>
        </w:rPr>
        <w:t xml:space="preserve"> person does</w:t>
      </w:r>
      <w:r w:rsidR="00AF2CDA">
        <w:rPr>
          <w:rFonts w:cs="Times New Roman"/>
          <w:sz w:val="24"/>
          <w:szCs w:val="24"/>
        </w:rPr>
        <w:t xml:space="preserve"> need compulsory treatment for any reason, they would be transferred to hospital under the provisions of s.4</w:t>
      </w:r>
      <w:r w:rsidR="003F0050">
        <w:rPr>
          <w:rFonts w:cs="Times New Roman"/>
          <w:sz w:val="24"/>
          <w:szCs w:val="24"/>
        </w:rPr>
        <w:t>7</w:t>
      </w:r>
      <w:r w:rsidR="00AF2CDA">
        <w:rPr>
          <w:rFonts w:cs="Times New Roman"/>
          <w:sz w:val="24"/>
          <w:szCs w:val="24"/>
        </w:rPr>
        <w:t xml:space="preserve"> MHA</w:t>
      </w:r>
      <w:r w:rsidR="004F2CFC">
        <w:rPr>
          <w:rFonts w:cs="Times New Roman"/>
          <w:sz w:val="24"/>
          <w:szCs w:val="24"/>
        </w:rPr>
        <w:t xml:space="preserve">, and then ordinarily returned to prison after completing their treatment. </w:t>
      </w:r>
      <w:r w:rsidR="00390F4F">
        <w:rPr>
          <w:rFonts w:cs="Times New Roman"/>
          <w:sz w:val="24"/>
          <w:szCs w:val="24"/>
        </w:rPr>
        <w:t xml:space="preserve">Offenders who are given life sentences, or more serious determinate sentences, will have their case considered by a parole board before being released ‘on licence’ to the community. </w:t>
      </w:r>
    </w:p>
    <w:p w14:paraId="744FDB7A" w14:textId="77777777" w:rsidR="00CB0806" w:rsidRDefault="00CB0806" w:rsidP="00A57ED8">
      <w:pPr>
        <w:spacing w:after="20" w:line="276" w:lineRule="auto"/>
        <w:rPr>
          <w:rFonts w:cs="Times New Roman"/>
          <w:sz w:val="24"/>
          <w:szCs w:val="24"/>
        </w:rPr>
      </w:pPr>
    </w:p>
    <w:p w14:paraId="705482E6" w14:textId="6C7F2E1E" w:rsidR="00DB7C30" w:rsidRDefault="00390F4F" w:rsidP="00A57ED8">
      <w:pPr>
        <w:spacing w:after="20" w:line="276" w:lineRule="auto"/>
        <w:rPr>
          <w:rFonts w:cs="Times New Roman"/>
          <w:sz w:val="24"/>
          <w:szCs w:val="24"/>
        </w:rPr>
      </w:pPr>
      <w:r>
        <w:rPr>
          <w:rFonts w:cs="Times New Roman"/>
          <w:sz w:val="24"/>
          <w:szCs w:val="24"/>
        </w:rPr>
        <w:t xml:space="preserve">On the other hand, a hospital order under s.37 MHA means that the person </w:t>
      </w:r>
      <w:r w:rsidR="00CB737A">
        <w:rPr>
          <w:rFonts w:cs="Times New Roman"/>
          <w:sz w:val="24"/>
          <w:szCs w:val="24"/>
        </w:rPr>
        <w:t xml:space="preserve">is detained in a mental health hospital where they can be given treatment </w:t>
      </w:r>
      <w:r w:rsidR="00C51A47">
        <w:rPr>
          <w:rFonts w:cs="Times New Roman"/>
          <w:sz w:val="24"/>
          <w:szCs w:val="24"/>
        </w:rPr>
        <w:t>for their mental disorder</w:t>
      </w:r>
      <w:r w:rsidR="00B96540">
        <w:rPr>
          <w:rFonts w:cs="Times New Roman"/>
          <w:sz w:val="24"/>
          <w:szCs w:val="24"/>
        </w:rPr>
        <w:t xml:space="preserve"> </w:t>
      </w:r>
      <w:r w:rsidR="00CB737A">
        <w:rPr>
          <w:rFonts w:cs="Times New Roman"/>
          <w:sz w:val="24"/>
          <w:szCs w:val="24"/>
        </w:rPr>
        <w:t>(including treatment to which they either do no</w:t>
      </w:r>
      <w:r w:rsidR="00114F9B">
        <w:rPr>
          <w:rFonts w:cs="Times New Roman"/>
          <w:sz w:val="24"/>
          <w:szCs w:val="24"/>
        </w:rPr>
        <w:t>t</w:t>
      </w:r>
      <w:r w:rsidR="00CB737A">
        <w:rPr>
          <w:rFonts w:cs="Times New Roman"/>
          <w:sz w:val="24"/>
          <w:szCs w:val="24"/>
        </w:rPr>
        <w:t xml:space="preserve"> consent or cannot consent)</w:t>
      </w:r>
      <w:r w:rsidR="00C51A47">
        <w:rPr>
          <w:rFonts w:cs="Times New Roman"/>
          <w:sz w:val="24"/>
          <w:szCs w:val="24"/>
        </w:rPr>
        <w:t>.</w:t>
      </w:r>
      <w:r w:rsidR="004A74B3">
        <w:rPr>
          <w:rFonts w:cs="Times New Roman"/>
          <w:sz w:val="24"/>
          <w:szCs w:val="24"/>
        </w:rPr>
        <w:t xml:space="preserve"> T</w:t>
      </w:r>
      <w:r w:rsidR="004F2CFC">
        <w:rPr>
          <w:rFonts w:cs="Times New Roman"/>
          <w:sz w:val="24"/>
          <w:szCs w:val="24"/>
        </w:rPr>
        <w:t>he</w:t>
      </w:r>
      <w:r w:rsidR="00296BAF">
        <w:rPr>
          <w:rFonts w:cs="Times New Roman"/>
          <w:sz w:val="24"/>
          <w:szCs w:val="24"/>
        </w:rPr>
        <w:t xml:space="preserve"> process of their </w:t>
      </w:r>
      <w:r w:rsidR="00CF2DC9">
        <w:rPr>
          <w:rFonts w:cs="Times New Roman"/>
          <w:sz w:val="24"/>
          <w:szCs w:val="24"/>
        </w:rPr>
        <w:t>discharge</w:t>
      </w:r>
      <w:r w:rsidR="00296BAF">
        <w:rPr>
          <w:rFonts w:cs="Times New Roman"/>
          <w:sz w:val="24"/>
          <w:szCs w:val="24"/>
        </w:rPr>
        <w:t xml:space="preserve"> relates to improvements in their clinical presentation and associated risk</w:t>
      </w:r>
      <w:r w:rsidR="00CD7A4D">
        <w:rPr>
          <w:rFonts w:cs="Times New Roman"/>
          <w:sz w:val="24"/>
          <w:szCs w:val="24"/>
        </w:rPr>
        <w:t xml:space="preserve"> (</w:t>
      </w:r>
      <w:r w:rsidR="004F2CFC">
        <w:rPr>
          <w:rFonts w:cs="Times New Roman"/>
          <w:sz w:val="24"/>
          <w:szCs w:val="24"/>
        </w:rPr>
        <w:t>not the length of time served</w:t>
      </w:r>
      <w:r w:rsidR="00CD7A4D">
        <w:rPr>
          <w:rFonts w:cs="Times New Roman"/>
          <w:sz w:val="24"/>
          <w:szCs w:val="24"/>
        </w:rPr>
        <w:t>),</w:t>
      </w:r>
      <w:r w:rsidR="00122893">
        <w:rPr>
          <w:rFonts w:cs="Times New Roman"/>
          <w:sz w:val="24"/>
          <w:szCs w:val="24"/>
        </w:rPr>
        <w:t xml:space="preserve"> </w:t>
      </w:r>
      <w:r w:rsidR="00817457">
        <w:rPr>
          <w:rFonts w:cs="Times New Roman"/>
          <w:sz w:val="24"/>
          <w:szCs w:val="24"/>
        </w:rPr>
        <w:t xml:space="preserve">and subsequent follow-up is via community mental health services provided by the National Health Service (NHS). </w:t>
      </w:r>
      <w:r w:rsidR="00CF2DC9">
        <w:rPr>
          <w:rFonts w:cs="Times New Roman"/>
          <w:sz w:val="24"/>
          <w:szCs w:val="24"/>
        </w:rPr>
        <w:t xml:space="preserve">A hospital order will often be used in conjunction with a ‘restriction order’ under s.41 MHA, </w:t>
      </w:r>
      <w:r w:rsidR="00BF6681">
        <w:rPr>
          <w:rFonts w:cs="Times New Roman"/>
          <w:sz w:val="24"/>
          <w:szCs w:val="24"/>
        </w:rPr>
        <w:t xml:space="preserve">which is imposed at the point of sentencing, </w:t>
      </w:r>
      <w:r w:rsidR="00D07152">
        <w:rPr>
          <w:rFonts w:cs="Times New Roman"/>
          <w:sz w:val="24"/>
          <w:szCs w:val="24"/>
        </w:rPr>
        <w:t>and works to restrict</w:t>
      </w:r>
      <w:r w:rsidR="00BF6681">
        <w:rPr>
          <w:rFonts w:cs="Times New Roman"/>
          <w:sz w:val="24"/>
          <w:szCs w:val="24"/>
        </w:rPr>
        <w:t xml:space="preserve"> the process </w:t>
      </w:r>
      <w:r w:rsidR="003C1A00">
        <w:rPr>
          <w:rFonts w:cs="Times New Roman"/>
          <w:sz w:val="24"/>
          <w:szCs w:val="24"/>
        </w:rPr>
        <w:t xml:space="preserve">relating to discharge, </w:t>
      </w:r>
      <w:r w:rsidR="00122893">
        <w:rPr>
          <w:rFonts w:cs="Times New Roman"/>
          <w:sz w:val="24"/>
          <w:szCs w:val="24"/>
        </w:rPr>
        <w:t>allowing</w:t>
      </w:r>
      <w:r w:rsidR="003E60FD">
        <w:rPr>
          <w:rFonts w:cs="Times New Roman"/>
          <w:sz w:val="24"/>
          <w:szCs w:val="24"/>
        </w:rPr>
        <w:t xml:space="preserve"> the imposition of conditions in the community after a patient has been ‘conditionally discharged’.</w:t>
      </w:r>
    </w:p>
    <w:p w14:paraId="62A53176" w14:textId="77777777" w:rsidR="003835D9" w:rsidRDefault="003835D9" w:rsidP="00A57ED8">
      <w:pPr>
        <w:spacing w:after="20" w:line="276" w:lineRule="auto"/>
        <w:rPr>
          <w:rFonts w:cs="Times New Roman"/>
          <w:sz w:val="24"/>
          <w:szCs w:val="24"/>
        </w:rPr>
      </w:pPr>
    </w:p>
    <w:p w14:paraId="691AF5E5" w14:textId="3FF75B2E" w:rsidR="00CE6D1B" w:rsidRDefault="003835D9" w:rsidP="00A57ED8">
      <w:pPr>
        <w:spacing w:after="20" w:line="276" w:lineRule="auto"/>
        <w:rPr>
          <w:rFonts w:cs="Times New Roman"/>
          <w:sz w:val="24"/>
          <w:szCs w:val="24"/>
        </w:rPr>
      </w:pPr>
      <w:r>
        <w:rPr>
          <w:rFonts w:cs="Times New Roman"/>
          <w:sz w:val="24"/>
          <w:szCs w:val="24"/>
        </w:rPr>
        <w:t xml:space="preserve">A ‘hybrid order’ under s.45A MHA combines elements of both </w:t>
      </w:r>
      <w:r w:rsidR="002C5ECC">
        <w:rPr>
          <w:rFonts w:cs="Times New Roman"/>
          <w:sz w:val="24"/>
          <w:szCs w:val="24"/>
        </w:rPr>
        <w:t>sentences, in that the defendant would start their sentence in a hospital, and thus would be able to be given treatment within that hospital</w:t>
      </w:r>
      <w:r w:rsidR="00122893">
        <w:rPr>
          <w:rFonts w:cs="Times New Roman"/>
          <w:sz w:val="24"/>
          <w:szCs w:val="24"/>
        </w:rPr>
        <w:t xml:space="preserve"> under compulsion</w:t>
      </w:r>
      <w:r w:rsidR="003E60FD">
        <w:rPr>
          <w:rFonts w:cs="Times New Roman"/>
          <w:sz w:val="24"/>
          <w:szCs w:val="24"/>
        </w:rPr>
        <w:t>;</w:t>
      </w:r>
      <w:r w:rsidR="002C5ECC">
        <w:rPr>
          <w:rFonts w:cs="Times New Roman"/>
          <w:sz w:val="24"/>
          <w:szCs w:val="24"/>
        </w:rPr>
        <w:t xml:space="preserve"> </w:t>
      </w:r>
      <w:r w:rsidR="003E60FD">
        <w:rPr>
          <w:rFonts w:cs="Times New Roman"/>
          <w:sz w:val="24"/>
          <w:szCs w:val="24"/>
        </w:rPr>
        <w:t>however they are</w:t>
      </w:r>
      <w:r w:rsidR="00A06D0F">
        <w:rPr>
          <w:rFonts w:cs="Times New Roman"/>
          <w:sz w:val="24"/>
          <w:szCs w:val="24"/>
        </w:rPr>
        <w:t xml:space="preserve"> also given a custodial sentence</w:t>
      </w:r>
      <w:r w:rsidR="00A91E85">
        <w:rPr>
          <w:rFonts w:cs="Times New Roman"/>
          <w:sz w:val="24"/>
          <w:szCs w:val="24"/>
        </w:rPr>
        <w:t xml:space="preserve">, and once the defendant no longer requires treatment in the hospital, </w:t>
      </w:r>
      <w:r w:rsidR="005A56A5">
        <w:rPr>
          <w:rFonts w:cs="Times New Roman"/>
          <w:sz w:val="24"/>
          <w:szCs w:val="24"/>
        </w:rPr>
        <w:t xml:space="preserve">the person should return to prison to serve out the remainder of their sentence. </w:t>
      </w:r>
      <w:r w:rsidR="00540FEC">
        <w:rPr>
          <w:rFonts w:cs="Times New Roman"/>
          <w:sz w:val="24"/>
          <w:szCs w:val="24"/>
        </w:rPr>
        <w:t>The process of release would th</w:t>
      </w:r>
      <w:r w:rsidR="00CE6D1B">
        <w:rPr>
          <w:rFonts w:cs="Times New Roman"/>
          <w:sz w:val="24"/>
          <w:szCs w:val="24"/>
        </w:rPr>
        <w:t xml:space="preserve">en broadly follow the processes for sentenced prisoners. </w:t>
      </w:r>
    </w:p>
    <w:p w14:paraId="7E8550DC" w14:textId="40816319" w:rsidR="003E60FD" w:rsidRDefault="003E60FD" w:rsidP="00A57ED8">
      <w:pPr>
        <w:spacing w:after="20" w:line="276" w:lineRule="auto"/>
        <w:rPr>
          <w:rFonts w:cs="Times New Roman"/>
          <w:sz w:val="24"/>
          <w:szCs w:val="24"/>
        </w:rPr>
      </w:pPr>
    </w:p>
    <w:p w14:paraId="398F12FC" w14:textId="6B7F4D29" w:rsidR="00EC73C9" w:rsidRDefault="00C915D2" w:rsidP="00A57ED8">
      <w:pPr>
        <w:spacing w:after="20" w:line="276" w:lineRule="auto"/>
        <w:rPr>
          <w:rFonts w:cs="Times New Roman"/>
          <w:sz w:val="24"/>
          <w:szCs w:val="24"/>
        </w:rPr>
      </w:pPr>
      <w:r>
        <w:rPr>
          <w:rFonts w:cs="Times New Roman"/>
          <w:sz w:val="24"/>
          <w:szCs w:val="24"/>
        </w:rPr>
        <w:t xml:space="preserve">Once a pathway has been chosen, the only route </w:t>
      </w:r>
      <w:r w:rsidR="00576305">
        <w:rPr>
          <w:rFonts w:cs="Times New Roman"/>
          <w:sz w:val="24"/>
          <w:szCs w:val="24"/>
        </w:rPr>
        <w:t>by which it might change</w:t>
      </w:r>
      <w:r>
        <w:rPr>
          <w:rFonts w:cs="Times New Roman"/>
          <w:sz w:val="24"/>
          <w:szCs w:val="24"/>
        </w:rPr>
        <w:t xml:space="preserve"> would be by a formal appeal against sentence. Such appeals are r</w:t>
      </w:r>
      <w:r w:rsidR="00BB4DF3">
        <w:rPr>
          <w:rFonts w:cs="Times New Roman"/>
          <w:sz w:val="24"/>
          <w:szCs w:val="24"/>
        </w:rPr>
        <w:t xml:space="preserve">elatively rare. </w:t>
      </w:r>
      <w:r w:rsidR="005D1F2A">
        <w:rPr>
          <w:rFonts w:cs="Times New Roman"/>
          <w:sz w:val="24"/>
          <w:szCs w:val="24"/>
        </w:rPr>
        <w:t xml:space="preserve">Yet the impact of </w:t>
      </w:r>
      <w:r w:rsidR="005D1F2A">
        <w:rPr>
          <w:rFonts w:cs="Times New Roman"/>
          <w:sz w:val="24"/>
          <w:szCs w:val="24"/>
        </w:rPr>
        <w:lastRenderedPageBreak/>
        <w:t>deciding one way or another may be felt many years beyond the sentencing exercise</w:t>
      </w:r>
      <w:r w:rsidR="00EC73C9">
        <w:rPr>
          <w:rFonts w:cs="Times New Roman"/>
          <w:sz w:val="24"/>
          <w:szCs w:val="24"/>
        </w:rPr>
        <w:t xml:space="preserve">; it is </w:t>
      </w:r>
      <w:r w:rsidR="004373EA">
        <w:rPr>
          <w:rFonts w:cs="Times New Roman"/>
          <w:sz w:val="24"/>
          <w:szCs w:val="24"/>
        </w:rPr>
        <w:t>inherently</w:t>
      </w:r>
      <w:r w:rsidR="00EC73C9">
        <w:rPr>
          <w:rFonts w:cs="Times New Roman"/>
          <w:sz w:val="24"/>
          <w:szCs w:val="24"/>
        </w:rPr>
        <w:t xml:space="preserve"> challenging to predict, many years in advance, the potential benefits of the different approaches to community follow-up that might be available. </w:t>
      </w:r>
    </w:p>
    <w:p w14:paraId="1501430F" w14:textId="738C71D3" w:rsidR="005D1F2A" w:rsidRDefault="005D1F2A" w:rsidP="00A57ED8">
      <w:pPr>
        <w:spacing w:after="20" w:line="276" w:lineRule="auto"/>
        <w:rPr>
          <w:rFonts w:cs="Times New Roman"/>
          <w:sz w:val="24"/>
          <w:szCs w:val="24"/>
        </w:rPr>
      </w:pPr>
    </w:p>
    <w:p w14:paraId="7063B7AB" w14:textId="5CFC16EF" w:rsidR="003E60FD" w:rsidRDefault="005D1F2A" w:rsidP="00A57ED8">
      <w:pPr>
        <w:spacing w:after="20" w:line="276" w:lineRule="auto"/>
        <w:rPr>
          <w:rFonts w:cs="Times New Roman"/>
          <w:sz w:val="24"/>
          <w:szCs w:val="24"/>
        </w:rPr>
      </w:pPr>
      <w:r>
        <w:rPr>
          <w:rFonts w:cs="Times New Roman"/>
          <w:sz w:val="24"/>
          <w:szCs w:val="24"/>
        </w:rPr>
        <w:t xml:space="preserve">Given this context, an understanding of the factors which influence the </w:t>
      </w:r>
      <w:r w:rsidR="006958CC">
        <w:rPr>
          <w:rFonts w:cs="Times New Roman"/>
          <w:sz w:val="24"/>
          <w:szCs w:val="24"/>
        </w:rPr>
        <w:t xml:space="preserve">judicial </w:t>
      </w:r>
      <w:r>
        <w:rPr>
          <w:rFonts w:cs="Times New Roman"/>
          <w:sz w:val="24"/>
          <w:szCs w:val="24"/>
        </w:rPr>
        <w:t>decision-making within the sentencing exercise is critically important to assure fairness and justi</w:t>
      </w:r>
      <w:r w:rsidR="006958CC">
        <w:rPr>
          <w:rFonts w:cs="Times New Roman"/>
          <w:sz w:val="24"/>
          <w:szCs w:val="24"/>
        </w:rPr>
        <w:t>ce</w:t>
      </w:r>
      <w:r>
        <w:rPr>
          <w:rFonts w:cs="Times New Roman"/>
          <w:sz w:val="24"/>
          <w:szCs w:val="24"/>
        </w:rPr>
        <w:t xml:space="preserve">. </w:t>
      </w:r>
    </w:p>
    <w:p w14:paraId="3214C27B" w14:textId="77777777" w:rsidR="00084AB0" w:rsidRDefault="00084AB0" w:rsidP="00A57ED8">
      <w:pPr>
        <w:spacing w:after="20" w:line="276" w:lineRule="auto"/>
        <w:rPr>
          <w:rFonts w:cs="Times New Roman"/>
          <w:sz w:val="24"/>
          <w:szCs w:val="24"/>
        </w:rPr>
      </w:pPr>
    </w:p>
    <w:p w14:paraId="155CEDB7" w14:textId="1A36461C" w:rsidR="006328B6" w:rsidRDefault="005A545A" w:rsidP="00A57ED8">
      <w:pPr>
        <w:spacing w:after="20" w:line="276" w:lineRule="auto"/>
        <w:rPr>
          <w:rFonts w:cs="Times New Roman"/>
          <w:sz w:val="24"/>
          <w:szCs w:val="24"/>
        </w:rPr>
      </w:pPr>
      <w:r>
        <w:rPr>
          <w:rFonts w:cs="Times New Roman"/>
          <w:sz w:val="24"/>
          <w:szCs w:val="24"/>
        </w:rPr>
        <w:t xml:space="preserve">The sentencing exercise is a complex one, </w:t>
      </w:r>
      <w:r w:rsidR="003576B2">
        <w:rPr>
          <w:rFonts w:cs="Times New Roman"/>
          <w:sz w:val="24"/>
          <w:szCs w:val="24"/>
        </w:rPr>
        <w:t xml:space="preserve">and there are </w:t>
      </w:r>
      <w:r>
        <w:rPr>
          <w:rFonts w:cs="Times New Roman"/>
          <w:sz w:val="24"/>
          <w:szCs w:val="24"/>
        </w:rPr>
        <w:t>multiple layers of underlying case-law and guidance</w:t>
      </w:r>
      <w:r w:rsidR="003576B2">
        <w:rPr>
          <w:rFonts w:cs="Times New Roman"/>
          <w:sz w:val="24"/>
          <w:szCs w:val="24"/>
        </w:rPr>
        <w:t xml:space="preserve"> for judges to consider in their approach. </w:t>
      </w:r>
      <w:r w:rsidR="00084AB0">
        <w:rPr>
          <w:rFonts w:cs="Times New Roman"/>
          <w:sz w:val="24"/>
          <w:szCs w:val="24"/>
        </w:rPr>
        <w:t xml:space="preserve">In our previous study, we </w:t>
      </w:r>
      <w:r w:rsidR="002E5888">
        <w:rPr>
          <w:rFonts w:cs="Times New Roman"/>
          <w:sz w:val="24"/>
          <w:szCs w:val="24"/>
        </w:rPr>
        <w:t xml:space="preserve">summarised </w:t>
      </w:r>
      <w:r w:rsidR="003576B2">
        <w:rPr>
          <w:rFonts w:cs="Times New Roman"/>
          <w:sz w:val="24"/>
          <w:szCs w:val="24"/>
        </w:rPr>
        <w:t xml:space="preserve">the </w:t>
      </w:r>
      <w:r w:rsidR="002E5888">
        <w:rPr>
          <w:rFonts w:cs="Times New Roman"/>
          <w:sz w:val="24"/>
          <w:szCs w:val="24"/>
        </w:rPr>
        <w:t xml:space="preserve">key case-law which has been used to </w:t>
      </w:r>
      <w:r w:rsidR="009036E0">
        <w:rPr>
          <w:rFonts w:cs="Times New Roman"/>
          <w:sz w:val="24"/>
          <w:szCs w:val="24"/>
        </w:rPr>
        <w:t xml:space="preserve">support judges who are faced with making sentencing decisions for defendants with a mental disorder. </w:t>
      </w:r>
      <w:r w:rsidR="00886F07">
        <w:rPr>
          <w:rFonts w:cs="Times New Roman"/>
          <w:sz w:val="24"/>
          <w:szCs w:val="24"/>
        </w:rPr>
        <w:t xml:space="preserve">The key cases are </w:t>
      </w:r>
      <w:r w:rsidR="009F7778">
        <w:rPr>
          <w:rFonts w:cs="Times New Roman"/>
          <w:i/>
          <w:iCs/>
          <w:sz w:val="24"/>
          <w:szCs w:val="24"/>
        </w:rPr>
        <w:t xml:space="preserve">R v Vowles </w:t>
      </w:r>
      <w:r w:rsidR="009F7778" w:rsidRPr="001C5B7F">
        <w:rPr>
          <w:rFonts w:cs="Times New Roman"/>
          <w:sz w:val="24"/>
          <w:szCs w:val="24"/>
        </w:rPr>
        <w:t>[2018]</w:t>
      </w:r>
      <w:r w:rsidR="009F7778">
        <w:rPr>
          <w:rFonts w:cs="Times New Roman"/>
          <w:i/>
          <w:iCs/>
          <w:sz w:val="24"/>
          <w:szCs w:val="24"/>
        </w:rPr>
        <w:t xml:space="preserve">, </w:t>
      </w:r>
      <w:r w:rsidR="001C5B7F">
        <w:rPr>
          <w:rFonts w:cs="Times New Roman"/>
          <w:i/>
          <w:iCs/>
          <w:sz w:val="24"/>
          <w:szCs w:val="24"/>
        </w:rPr>
        <w:t xml:space="preserve">R v Edwards </w:t>
      </w:r>
      <w:r w:rsidR="001C5B7F">
        <w:rPr>
          <w:rFonts w:cs="Times New Roman"/>
          <w:sz w:val="24"/>
          <w:szCs w:val="24"/>
        </w:rPr>
        <w:t>[2018]</w:t>
      </w:r>
      <w:r w:rsidR="00BB3B1F">
        <w:rPr>
          <w:rFonts w:cs="Times New Roman"/>
          <w:sz w:val="24"/>
          <w:szCs w:val="24"/>
        </w:rPr>
        <w:t>,</w:t>
      </w:r>
      <w:r w:rsidR="00CC079D">
        <w:rPr>
          <w:rFonts w:cs="Times New Roman"/>
          <w:sz w:val="24"/>
          <w:szCs w:val="24"/>
        </w:rPr>
        <w:t xml:space="preserve"> and </w:t>
      </w:r>
      <w:r w:rsidR="00CC079D">
        <w:rPr>
          <w:rFonts w:cs="Times New Roman"/>
          <w:i/>
          <w:iCs/>
          <w:sz w:val="24"/>
          <w:szCs w:val="24"/>
        </w:rPr>
        <w:t>R v Nelson</w:t>
      </w:r>
      <w:r w:rsidR="00CC079D">
        <w:rPr>
          <w:rFonts w:cs="Times New Roman"/>
          <w:sz w:val="24"/>
          <w:szCs w:val="24"/>
        </w:rPr>
        <w:t xml:space="preserve"> [2020]</w:t>
      </w:r>
      <w:r w:rsidR="00C207F1">
        <w:rPr>
          <w:rFonts w:cs="Times New Roman"/>
          <w:sz w:val="24"/>
          <w:szCs w:val="24"/>
        </w:rPr>
        <w:t>. We will</w:t>
      </w:r>
      <w:r w:rsidR="00933321">
        <w:rPr>
          <w:rFonts w:cs="Times New Roman"/>
          <w:sz w:val="24"/>
          <w:szCs w:val="24"/>
        </w:rPr>
        <w:t xml:space="preserve"> not repeat this narrative here. However, of particular importance to the present study is the guidance in </w:t>
      </w:r>
      <w:r w:rsidR="00E55C5C">
        <w:rPr>
          <w:rFonts w:cs="Times New Roman"/>
          <w:i/>
          <w:iCs/>
          <w:sz w:val="24"/>
          <w:szCs w:val="24"/>
        </w:rPr>
        <w:t>R v Vowles</w:t>
      </w:r>
      <w:r w:rsidR="00933321">
        <w:rPr>
          <w:rFonts w:cs="Times New Roman"/>
          <w:i/>
          <w:iCs/>
          <w:sz w:val="24"/>
          <w:szCs w:val="24"/>
        </w:rPr>
        <w:t xml:space="preserve">, </w:t>
      </w:r>
      <w:r w:rsidR="00933321" w:rsidRPr="00933321">
        <w:rPr>
          <w:rFonts w:cs="Times New Roman"/>
          <w:sz w:val="24"/>
          <w:szCs w:val="24"/>
        </w:rPr>
        <w:t>which</w:t>
      </w:r>
      <w:r w:rsidR="00E55C5C">
        <w:rPr>
          <w:rFonts w:cs="Times New Roman"/>
          <w:sz w:val="24"/>
          <w:szCs w:val="24"/>
        </w:rPr>
        <w:t xml:space="preserve"> concerned </w:t>
      </w:r>
      <w:r w:rsidR="00C207F1">
        <w:rPr>
          <w:rFonts w:cs="Times New Roman"/>
          <w:sz w:val="24"/>
          <w:szCs w:val="24"/>
        </w:rPr>
        <w:t>an appeal from multiple appellants</w:t>
      </w:r>
      <w:r w:rsidR="00B33B83">
        <w:rPr>
          <w:rFonts w:cs="Times New Roman"/>
          <w:sz w:val="24"/>
          <w:szCs w:val="24"/>
        </w:rPr>
        <w:t xml:space="preserve"> concerning</w:t>
      </w:r>
      <w:r w:rsidR="0073367C">
        <w:rPr>
          <w:rFonts w:cs="Times New Roman"/>
          <w:sz w:val="24"/>
          <w:szCs w:val="24"/>
        </w:rPr>
        <w:t xml:space="preserve"> questions of sentencing. </w:t>
      </w:r>
      <w:r w:rsidR="006328B6" w:rsidRPr="006328B6">
        <w:rPr>
          <w:rFonts w:cs="Times New Roman"/>
          <w:sz w:val="24"/>
          <w:szCs w:val="24"/>
        </w:rPr>
        <w:t>The judgement laid out four “</w:t>
      </w:r>
      <w:r w:rsidR="006328B6" w:rsidRPr="00223F23">
        <w:rPr>
          <w:rFonts w:cs="Times New Roman"/>
          <w:i/>
          <w:iCs/>
          <w:sz w:val="24"/>
          <w:szCs w:val="24"/>
        </w:rPr>
        <w:t>matters to which a judge will invariably have to have regard</w:t>
      </w:r>
      <w:r w:rsidR="006328B6" w:rsidRPr="006328B6">
        <w:rPr>
          <w:rFonts w:cs="Times New Roman"/>
          <w:sz w:val="24"/>
          <w:szCs w:val="24"/>
        </w:rPr>
        <w:t>” (§51) when deciding on the appropriate disposal in cases where a hospital order was being contemplated. These are as follows:</w:t>
      </w:r>
    </w:p>
    <w:p w14:paraId="63601165" w14:textId="77777777" w:rsidR="00A57ED8" w:rsidRPr="006328B6" w:rsidRDefault="00A57ED8" w:rsidP="00A57ED8">
      <w:pPr>
        <w:spacing w:after="20" w:line="276" w:lineRule="auto"/>
        <w:rPr>
          <w:rFonts w:cs="Times New Roman"/>
          <w:sz w:val="24"/>
          <w:szCs w:val="24"/>
        </w:rPr>
      </w:pPr>
    </w:p>
    <w:p w14:paraId="55FD1403" w14:textId="77777777" w:rsidR="00D37E6D" w:rsidRDefault="006328B6" w:rsidP="00A57ED8">
      <w:pPr>
        <w:spacing w:after="20" w:line="276" w:lineRule="auto"/>
        <w:ind w:left="720"/>
        <w:rPr>
          <w:rFonts w:cs="Times New Roman"/>
          <w:sz w:val="24"/>
          <w:szCs w:val="24"/>
        </w:rPr>
      </w:pPr>
      <w:r w:rsidRPr="006328B6">
        <w:rPr>
          <w:rFonts w:cs="Times New Roman"/>
          <w:i/>
          <w:iCs/>
          <w:sz w:val="24"/>
          <w:szCs w:val="24"/>
        </w:rPr>
        <w:t>(1) the extent to which the offender needs treatment for the mental disorder from which the offender suffers, (2) the extent to which the offending is attributable to the mental disorder, (3) the extent to which punishment is required and (4) the protection of the public including the regime for deciding release and the regime after release</w:t>
      </w:r>
      <w:r w:rsidRPr="006328B6">
        <w:rPr>
          <w:rFonts w:cs="Times New Roman"/>
          <w:sz w:val="24"/>
          <w:szCs w:val="24"/>
        </w:rPr>
        <w:t>.</w:t>
      </w:r>
      <w:r w:rsidR="00D37E6D">
        <w:rPr>
          <w:rFonts w:cs="Times New Roman"/>
          <w:sz w:val="24"/>
          <w:szCs w:val="24"/>
        </w:rPr>
        <w:t xml:space="preserve"> </w:t>
      </w:r>
    </w:p>
    <w:p w14:paraId="192EF428" w14:textId="77777777" w:rsidR="00AD5008" w:rsidRDefault="00AD5008" w:rsidP="00A57ED8">
      <w:pPr>
        <w:spacing w:after="20" w:line="276" w:lineRule="auto"/>
        <w:rPr>
          <w:rFonts w:cs="Times New Roman"/>
          <w:sz w:val="24"/>
          <w:szCs w:val="24"/>
        </w:rPr>
      </w:pPr>
    </w:p>
    <w:p w14:paraId="29182FAB" w14:textId="1468F295" w:rsidR="006328B6" w:rsidRDefault="00D37E6D" w:rsidP="00A57ED8">
      <w:pPr>
        <w:spacing w:after="20" w:line="276" w:lineRule="auto"/>
        <w:rPr>
          <w:rFonts w:cs="Times New Roman"/>
          <w:sz w:val="24"/>
          <w:szCs w:val="24"/>
        </w:rPr>
      </w:pPr>
      <w:r>
        <w:rPr>
          <w:rFonts w:cs="Times New Roman"/>
          <w:sz w:val="24"/>
          <w:szCs w:val="24"/>
        </w:rPr>
        <w:t xml:space="preserve">As in our previous study, we will refer to these four matters as the four </w:t>
      </w:r>
      <w:r>
        <w:rPr>
          <w:rFonts w:cs="Times New Roman"/>
          <w:b/>
          <w:bCs/>
          <w:i/>
          <w:iCs/>
          <w:sz w:val="24"/>
          <w:szCs w:val="24"/>
        </w:rPr>
        <w:t xml:space="preserve">Vowles Statements. </w:t>
      </w:r>
      <w:r w:rsidR="00115C61">
        <w:rPr>
          <w:rFonts w:cs="Times New Roman"/>
          <w:sz w:val="24"/>
          <w:szCs w:val="24"/>
        </w:rPr>
        <w:t xml:space="preserve"> </w:t>
      </w:r>
    </w:p>
    <w:p w14:paraId="5B93A522" w14:textId="77777777" w:rsidR="00F52238" w:rsidRDefault="00F52238" w:rsidP="00A57ED8">
      <w:pPr>
        <w:spacing w:after="20" w:line="276" w:lineRule="auto"/>
        <w:rPr>
          <w:rFonts w:cs="Times New Roman"/>
          <w:i/>
          <w:iCs/>
          <w:sz w:val="24"/>
          <w:szCs w:val="24"/>
        </w:rPr>
      </w:pPr>
    </w:p>
    <w:p w14:paraId="197023DE" w14:textId="36DA1EFF" w:rsidR="00115C61" w:rsidRDefault="00115C61" w:rsidP="00A57ED8">
      <w:pPr>
        <w:spacing w:after="20" w:line="276" w:lineRule="auto"/>
        <w:rPr>
          <w:rFonts w:cs="Times New Roman"/>
          <w:sz w:val="24"/>
          <w:szCs w:val="24"/>
        </w:rPr>
      </w:pPr>
      <w:r>
        <w:rPr>
          <w:rFonts w:cs="Times New Roman"/>
          <w:i/>
          <w:iCs/>
          <w:sz w:val="24"/>
          <w:szCs w:val="24"/>
        </w:rPr>
        <w:t>R v Edwards</w:t>
      </w:r>
      <w:r>
        <w:rPr>
          <w:rFonts w:cs="Times New Roman"/>
          <w:sz w:val="24"/>
          <w:szCs w:val="24"/>
        </w:rPr>
        <w:t xml:space="preserve"> and </w:t>
      </w:r>
      <w:r>
        <w:rPr>
          <w:rFonts w:cs="Times New Roman"/>
          <w:i/>
          <w:iCs/>
          <w:sz w:val="24"/>
          <w:szCs w:val="24"/>
        </w:rPr>
        <w:t>R v Nelson</w:t>
      </w:r>
      <w:r>
        <w:rPr>
          <w:rFonts w:cs="Times New Roman"/>
          <w:sz w:val="24"/>
          <w:szCs w:val="24"/>
        </w:rPr>
        <w:t xml:space="preserve"> provided further clarifications about th</w:t>
      </w:r>
      <w:r w:rsidR="00AF07C1">
        <w:rPr>
          <w:rFonts w:cs="Times New Roman"/>
          <w:sz w:val="24"/>
          <w:szCs w:val="24"/>
        </w:rPr>
        <w:t>is process including the need to carefully consider the culpability of the offender as part of the sentencing exercise</w:t>
      </w:r>
      <w:r w:rsidR="00E8615C">
        <w:rPr>
          <w:rFonts w:cs="Times New Roman"/>
          <w:sz w:val="24"/>
          <w:szCs w:val="24"/>
        </w:rPr>
        <w:t>, an issue reflected in the second and third statements abov</w:t>
      </w:r>
      <w:r w:rsidR="00F52238">
        <w:rPr>
          <w:rFonts w:cs="Times New Roman"/>
          <w:sz w:val="24"/>
          <w:szCs w:val="24"/>
        </w:rPr>
        <w:t>e.</w:t>
      </w:r>
    </w:p>
    <w:p w14:paraId="519535BF" w14:textId="2765AE06" w:rsidR="0070400C" w:rsidRDefault="0070400C" w:rsidP="00A57ED8">
      <w:pPr>
        <w:spacing w:after="20" w:line="276" w:lineRule="auto"/>
        <w:rPr>
          <w:rFonts w:cs="Times New Roman"/>
          <w:sz w:val="24"/>
          <w:szCs w:val="24"/>
        </w:rPr>
      </w:pPr>
    </w:p>
    <w:p w14:paraId="39991BDE" w14:textId="4FC47809" w:rsidR="00F52238" w:rsidRDefault="00F52238" w:rsidP="00A57ED8">
      <w:pPr>
        <w:spacing w:after="20" w:line="276" w:lineRule="auto"/>
        <w:rPr>
          <w:rFonts w:cs="Times New Roman"/>
          <w:sz w:val="24"/>
          <w:szCs w:val="24"/>
        </w:rPr>
      </w:pPr>
      <w:r>
        <w:rPr>
          <w:rFonts w:cs="Times New Roman"/>
          <w:sz w:val="24"/>
          <w:szCs w:val="24"/>
        </w:rPr>
        <w:t xml:space="preserve">We emphasised in our previous study that </w:t>
      </w:r>
      <w:r w:rsidR="00AD5008">
        <w:rPr>
          <w:rFonts w:cs="Times New Roman"/>
          <w:sz w:val="24"/>
          <w:szCs w:val="24"/>
        </w:rPr>
        <w:t>applying this guidance to an individual case is a complex exercise</w:t>
      </w:r>
      <w:r w:rsidR="00FD3FDD">
        <w:rPr>
          <w:rFonts w:cs="Times New Roman"/>
          <w:sz w:val="24"/>
          <w:szCs w:val="24"/>
        </w:rPr>
        <w:t>.</w:t>
      </w:r>
      <w:r w:rsidR="00767B27">
        <w:rPr>
          <w:rFonts w:cs="Times New Roman"/>
          <w:sz w:val="24"/>
          <w:szCs w:val="24"/>
        </w:rPr>
        <w:t xml:space="preserve"> We argued that this </w:t>
      </w:r>
      <w:r w:rsidR="00AD5008">
        <w:rPr>
          <w:rFonts w:cs="Times New Roman"/>
          <w:sz w:val="24"/>
          <w:szCs w:val="24"/>
        </w:rPr>
        <w:t xml:space="preserve">complexity </w:t>
      </w:r>
      <w:r w:rsidR="00767B27">
        <w:rPr>
          <w:rFonts w:cs="Times New Roman"/>
          <w:sz w:val="24"/>
          <w:szCs w:val="24"/>
        </w:rPr>
        <w:t>could create conditions in which a judge will invariably follow a medical recommendation</w:t>
      </w:r>
      <w:r w:rsidR="002C4D24">
        <w:rPr>
          <w:rFonts w:cs="Times New Roman"/>
          <w:sz w:val="24"/>
          <w:szCs w:val="24"/>
        </w:rPr>
        <w:t xml:space="preserve"> for or against a particular sentencing outcome</w:t>
      </w:r>
      <w:r w:rsidR="00767B27">
        <w:rPr>
          <w:rFonts w:cs="Times New Roman"/>
          <w:sz w:val="24"/>
          <w:szCs w:val="24"/>
        </w:rPr>
        <w:t>.</w:t>
      </w:r>
      <w:r w:rsidR="00FD3FDD">
        <w:rPr>
          <w:rFonts w:cs="Times New Roman"/>
          <w:sz w:val="24"/>
          <w:szCs w:val="24"/>
        </w:rPr>
        <w:t xml:space="preserve"> </w:t>
      </w:r>
      <w:r w:rsidR="00767B27">
        <w:rPr>
          <w:rFonts w:cs="Times New Roman"/>
          <w:sz w:val="24"/>
          <w:szCs w:val="24"/>
        </w:rPr>
        <w:t xml:space="preserve">However, </w:t>
      </w:r>
      <w:r w:rsidR="008E17B0">
        <w:rPr>
          <w:rFonts w:cs="Times New Roman"/>
          <w:sz w:val="24"/>
          <w:szCs w:val="24"/>
        </w:rPr>
        <w:t xml:space="preserve">we </w:t>
      </w:r>
      <w:r w:rsidR="00767B27">
        <w:rPr>
          <w:rFonts w:cs="Times New Roman"/>
          <w:sz w:val="24"/>
          <w:szCs w:val="24"/>
        </w:rPr>
        <w:t xml:space="preserve">also </w:t>
      </w:r>
      <w:r w:rsidR="008E17B0">
        <w:rPr>
          <w:rFonts w:cs="Times New Roman"/>
          <w:sz w:val="24"/>
          <w:szCs w:val="24"/>
        </w:rPr>
        <w:t xml:space="preserve">noted guidance issued to psychiatrists </w:t>
      </w:r>
      <w:r w:rsidR="00767B27">
        <w:rPr>
          <w:rFonts w:cs="Times New Roman"/>
          <w:sz w:val="24"/>
          <w:szCs w:val="24"/>
        </w:rPr>
        <w:t>which has indicated that it is</w:t>
      </w:r>
      <w:r w:rsidR="00767B27" w:rsidRPr="00767B27">
        <w:rPr>
          <w:rFonts w:cs="Times New Roman"/>
          <w:sz w:val="24"/>
          <w:szCs w:val="24"/>
        </w:rPr>
        <w:t xml:space="preserve"> “</w:t>
      </w:r>
      <w:r w:rsidR="00767B27" w:rsidRPr="00767B27">
        <w:rPr>
          <w:rFonts w:cs="Times New Roman"/>
          <w:i/>
          <w:iCs/>
          <w:sz w:val="24"/>
          <w:szCs w:val="24"/>
        </w:rPr>
        <w:t>ethically problematic for experts to explicitly recommend a s.45A hybrid order because this amounts to recommending punishment</w:t>
      </w:r>
      <w:r w:rsidR="00767B27" w:rsidRPr="00767B27">
        <w:rPr>
          <w:rFonts w:cs="Times New Roman"/>
          <w:sz w:val="24"/>
          <w:szCs w:val="24"/>
        </w:rPr>
        <w:t>”</w:t>
      </w:r>
      <w:r w:rsidR="00D45300">
        <w:rPr>
          <w:rFonts w:cs="Times New Roman"/>
          <w:sz w:val="24"/>
          <w:szCs w:val="24"/>
        </w:rPr>
        <w:t xml:space="preserve"> </w:t>
      </w:r>
      <w:r w:rsidR="00D45300">
        <w:rPr>
          <w:rFonts w:cs="Times New Roman"/>
          <w:sz w:val="24"/>
          <w:szCs w:val="24"/>
        </w:rPr>
        <w:fldChar w:fldCharType="begin"/>
      </w:r>
      <w:r w:rsidR="00D45300">
        <w:rPr>
          <w:rFonts w:cs="Times New Roman"/>
          <w:sz w:val="24"/>
          <w:szCs w:val="24"/>
        </w:rPr>
        <w:instrText xml:space="preserve"> ADDIN EN.CITE &lt;EndNote&gt;&lt;Cite&gt;&lt;Author&gt;Royal College of Psychiatrists&lt;/Author&gt;&lt;Year&gt;2023&lt;/Year&gt;&lt;RecNum&gt;208&lt;/RecNum&gt;&lt;DisplayText&gt;(Royal College of Psychiatrists, 2023)&lt;/DisplayText&gt;&lt;record&gt;&lt;rec-number&gt;208&lt;/rec-number&gt;&lt;foreign-keys&gt;&lt;key app="EN" db-id="2ats9t0enpvff3ewzpd59fdbxwpt0ssftp2w" timestamp="1727941855"&gt;208&lt;/key&gt;&lt;/foreign-keys&gt;&lt;ref-type name="Web Page"&gt;12&lt;/ref-type&gt;&lt;contributors&gt;&lt;authors&gt;&lt;author&gt;Royal College of Psychiatrists,&lt;/author&gt;&lt;/authors&gt;&lt;secondary-authors&gt;&lt;author&gt;Keith Rix, &lt;/author&gt;&lt;author&gt;Nigel Eastman, &lt;/author&gt;&lt;author&gt;Gwen Adshead &lt;/author&gt;&lt;author&gt;James Briscoe&lt;/author&gt;&lt;author&gt;Nicholas Hallett&lt;/author&gt;&lt;/secondary-authors&gt;&lt;/contributors&gt;&lt;titles&gt;&lt;title&gt;Responsibilities of psychiatrists who provide expert evidence to courts and tribunals&lt;/title&gt;&lt;secondary-title&gt;CR193&lt;/secondary-title&gt;&lt;/titles&gt;&lt;dates&gt;&lt;year&gt;2023&lt;/year&gt;&lt;/dates&gt;&lt;urls&gt;&lt;related-urls&gt;&lt;url&gt;https://www.rcpsych.ac.uk/docs/default-source/improving-care/better-mh-policy/college-reports/college-report-cr193.pdf?sfvrsn=c0381b24_2&lt;/url&gt;&lt;/related-urls&gt;&lt;/urls&gt;&lt;/record&gt;&lt;/Cite&gt;&lt;/EndNote&gt;</w:instrText>
      </w:r>
      <w:r w:rsidR="00D45300">
        <w:rPr>
          <w:rFonts w:cs="Times New Roman"/>
          <w:sz w:val="24"/>
          <w:szCs w:val="24"/>
        </w:rPr>
        <w:fldChar w:fldCharType="separate"/>
      </w:r>
      <w:r w:rsidR="00D45300">
        <w:rPr>
          <w:rFonts w:cs="Times New Roman"/>
          <w:noProof/>
          <w:sz w:val="24"/>
          <w:szCs w:val="24"/>
        </w:rPr>
        <w:t>(Royal College of Psychiatrists, 2023)</w:t>
      </w:r>
      <w:r w:rsidR="00D45300">
        <w:rPr>
          <w:rFonts w:cs="Times New Roman"/>
          <w:sz w:val="24"/>
          <w:szCs w:val="24"/>
        </w:rPr>
        <w:fldChar w:fldCharType="end"/>
      </w:r>
      <w:r w:rsidR="00D45300">
        <w:rPr>
          <w:rFonts w:cs="Times New Roman"/>
          <w:sz w:val="24"/>
          <w:szCs w:val="24"/>
        </w:rPr>
        <w:t>.</w:t>
      </w:r>
      <w:r w:rsidR="001A2C91">
        <w:rPr>
          <w:rFonts w:cs="Times New Roman"/>
          <w:sz w:val="24"/>
          <w:szCs w:val="24"/>
        </w:rPr>
        <w:t xml:space="preserve"> </w:t>
      </w:r>
      <w:r w:rsidR="00B96540">
        <w:rPr>
          <w:rFonts w:cs="Times New Roman"/>
          <w:sz w:val="24"/>
          <w:szCs w:val="24"/>
        </w:rPr>
        <w:t>These</w:t>
      </w:r>
      <w:r w:rsidR="00C2629B">
        <w:rPr>
          <w:rFonts w:cs="Times New Roman"/>
          <w:sz w:val="24"/>
          <w:szCs w:val="24"/>
        </w:rPr>
        <w:t xml:space="preserve"> factors </w:t>
      </w:r>
      <w:r w:rsidR="00AD5008">
        <w:rPr>
          <w:rFonts w:cs="Times New Roman"/>
          <w:sz w:val="24"/>
          <w:szCs w:val="24"/>
        </w:rPr>
        <w:t>likely explain why,</w:t>
      </w:r>
      <w:r w:rsidR="001A2C91">
        <w:rPr>
          <w:rFonts w:cs="Times New Roman"/>
          <w:sz w:val="24"/>
          <w:szCs w:val="24"/>
        </w:rPr>
        <w:t xml:space="preserve"> in practice, s.45A disposals remain very infrequently used</w:t>
      </w:r>
      <w:r w:rsidR="00B87AEE">
        <w:rPr>
          <w:rFonts w:cs="Times New Roman"/>
          <w:sz w:val="24"/>
          <w:szCs w:val="24"/>
        </w:rPr>
        <w:t>.</w:t>
      </w:r>
      <w:r w:rsidR="00E86770">
        <w:rPr>
          <w:rFonts w:cs="Times New Roman"/>
          <w:sz w:val="24"/>
          <w:szCs w:val="24"/>
        </w:rPr>
        <w:t xml:space="preserve"> </w:t>
      </w:r>
    </w:p>
    <w:p w14:paraId="2E564097" w14:textId="77777777" w:rsidR="00E8615C" w:rsidRDefault="00E8615C" w:rsidP="00A57ED8">
      <w:pPr>
        <w:spacing w:after="20" w:line="276" w:lineRule="auto"/>
        <w:rPr>
          <w:rFonts w:cs="Times New Roman"/>
          <w:sz w:val="24"/>
          <w:szCs w:val="24"/>
        </w:rPr>
      </w:pPr>
    </w:p>
    <w:p w14:paraId="5B967E9B" w14:textId="2B50A668" w:rsidR="0084162A" w:rsidRDefault="007B6CE1" w:rsidP="00A57ED8">
      <w:pPr>
        <w:spacing w:after="20" w:line="276" w:lineRule="auto"/>
        <w:rPr>
          <w:rFonts w:cs="Times New Roman"/>
          <w:sz w:val="24"/>
          <w:szCs w:val="24"/>
        </w:rPr>
      </w:pPr>
      <w:r>
        <w:rPr>
          <w:rFonts w:cs="Times New Roman"/>
          <w:sz w:val="24"/>
          <w:szCs w:val="24"/>
        </w:rPr>
        <w:t>Nonetheless, we argued that it was vital to understand judicial attitudes towards the s.45A, since “</w:t>
      </w:r>
      <w:r w:rsidRPr="00EF75B4">
        <w:rPr>
          <w:rFonts w:cs="Times New Roman"/>
          <w:i/>
          <w:iCs/>
          <w:sz w:val="24"/>
          <w:szCs w:val="24"/>
        </w:rPr>
        <w:t>judges, not psychiatrists, are the primary decision makers</w:t>
      </w:r>
      <w:r>
        <w:rPr>
          <w:rFonts w:cs="Times New Roman"/>
          <w:sz w:val="24"/>
          <w:szCs w:val="24"/>
        </w:rPr>
        <w:t xml:space="preserve">”. </w:t>
      </w:r>
      <w:r w:rsidR="00111367">
        <w:rPr>
          <w:rFonts w:cs="Times New Roman"/>
          <w:sz w:val="24"/>
          <w:szCs w:val="24"/>
        </w:rPr>
        <w:t>To investigate this, we conducted an experimental study wher</w:t>
      </w:r>
      <w:r w:rsidR="00AC256F">
        <w:rPr>
          <w:rFonts w:cs="Times New Roman"/>
          <w:sz w:val="24"/>
          <w:szCs w:val="24"/>
        </w:rPr>
        <w:t>e</w:t>
      </w:r>
      <w:r w:rsidR="00111367">
        <w:rPr>
          <w:rFonts w:cs="Times New Roman"/>
          <w:sz w:val="24"/>
          <w:szCs w:val="24"/>
        </w:rPr>
        <w:t xml:space="preserve"> a proxy sample of judges were asked to view relevant information in a vignette, </w:t>
      </w:r>
      <w:r w:rsidR="00BA36A9">
        <w:rPr>
          <w:rFonts w:cs="Times New Roman"/>
          <w:sz w:val="24"/>
          <w:szCs w:val="24"/>
        </w:rPr>
        <w:t xml:space="preserve">in which the diagnosis of the mental disorder was manipulated, either appearing as </w:t>
      </w:r>
      <w:r w:rsidR="00D15E8A">
        <w:rPr>
          <w:rFonts w:cs="Times New Roman"/>
          <w:sz w:val="24"/>
          <w:szCs w:val="24"/>
        </w:rPr>
        <w:t>“</w:t>
      </w:r>
      <w:r w:rsidR="00D15E8A" w:rsidRPr="00D15E8A">
        <w:rPr>
          <w:rFonts w:cs="Times New Roman"/>
          <w:i/>
          <w:iCs/>
          <w:sz w:val="24"/>
          <w:szCs w:val="24"/>
        </w:rPr>
        <w:t xml:space="preserve">‘Schizophrenia’, ‘Emotionally Unstable Personality Disorder’ (henceforth EUPD), or ‘Complex Mental Health Problem’. </w:t>
      </w:r>
    </w:p>
    <w:p w14:paraId="6EB679AA" w14:textId="0047867A" w:rsidR="00312C86" w:rsidRDefault="00312C86" w:rsidP="00A57ED8">
      <w:pPr>
        <w:spacing w:after="20" w:line="276" w:lineRule="auto"/>
        <w:rPr>
          <w:rFonts w:cs="Times New Roman"/>
          <w:sz w:val="24"/>
          <w:szCs w:val="24"/>
        </w:rPr>
      </w:pPr>
      <w:r>
        <w:rPr>
          <w:rFonts w:cs="Times New Roman"/>
          <w:sz w:val="24"/>
          <w:szCs w:val="24"/>
        </w:rPr>
        <w:t xml:space="preserve">Participants were asked to rate the extent to which they agreed or disagreed with </w:t>
      </w:r>
      <w:r w:rsidR="00750277">
        <w:rPr>
          <w:rFonts w:cs="Times New Roman"/>
          <w:sz w:val="24"/>
          <w:szCs w:val="24"/>
        </w:rPr>
        <w:t xml:space="preserve">each of the four Vowles </w:t>
      </w:r>
      <w:proofErr w:type="gramStart"/>
      <w:r w:rsidR="00750277">
        <w:rPr>
          <w:rFonts w:cs="Times New Roman"/>
          <w:sz w:val="24"/>
          <w:szCs w:val="24"/>
        </w:rPr>
        <w:t xml:space="preserve">statements, </w:t>
      </w:r>
      <w:r w:rsidR="00426347">
        <w:rPr>
          <w:rFonts w:cs="Times New Roman"/>
          <w:sz w:val="24"/>
          <w:szCs w:val="24"/>
        </w:rPr>
        <w:t>and</w:t>
      </w:r>
      <w:proofErr w:type="gramEnd"/>
      <w:r w:rsidR="00426347">
        <w:rPr>
          <w:rFonts w:cs="Times New Roman"/>
          <w:sz w:val="24"/>
          <w:szCs w:val="24"/>
        </w:rPr>
        <w:t xml:space="preserve"> then </w:t>
      </w:r>
      <w:r w:rsidR="001C140B">
        <w:rPr>
          <w:rFonts w:cs="Times New Roman"/>
          <w:sz w:val="24"/>
          <w:szCs w:val="24"/>
        </w:rPr>
        <w:t xml:space="preserve">were asked to </w:t>
      </w:r>
      <w:r w:rsidR="00426347">
        <w:rPr>
          <w:rFonts w:cs="Times New Roman"/>
          <w:sz w:val="24"/>
          <w:szCs w:val="24"/>
        </w:rPr>
        <w:t>make a final sentencing recommendation</w:t>
      </w:r>
      <w:r w:rsidR="00E973D8">
        <w:rPr>
          <w:rFonts w:cs="Times New Roman"/>
          <w:sz w:val="24"/>
          <w:szCs w:val="24"/>
        </w:rPr>
        <w:t xml:space="preserve"> - </w:t>
      </w:r>
      <w:r w:rsidR="00426347">
        <w:rPr>
          <w:rFonts w:cs="Times New Roman"/>
          <w:sz w:val="24"/>
          <w:szCs w:val="24"/>
        </w:rPr>
        <w:t>either a hospital order and restriction order under s.37/41 of the MHA; a hybrid order under s.45A of the MHA</w:t>
      </w:r>
      <w:r w:rsidR="0050240B">
        <w:rPr>
          <w:rFonts w:cs="Times New Roman"/>
          <w:sz w:val="24"/>
          <w:szCs w:val="24"/>
        </w:rPr>
        <w:t xml:space="preserve">; </w:t>
      </w:r>
      <w:r w:rsidR="00426347">
        <w:rPr>
          <w:rFonts w:cs="Times New Roman"/>
          <w:sz w:val="24"/>
          <w:szCs w:val="24"/>
        </w:rPr>
        <w:t xml:space="preserve">or a prison sentence. </w:t>
      </w:r>
      <w:r w:rsidR="0072679B">
        <w:rPr>
          <w:rFonts w:cs="Times New Roman"/>
          <w:sz w:val="24"/>
          <w:szCs w:val="24"/>
        </w:rPr>
        <w:t>Broadly, the study’s findings were that:</w:t>
      </w:r>
    </w:p>
    <w:p w14:paraId="5BD29255" w14:textId="08A6CE9D" w:rsidR="0072679B" w:rsidRDefault="0072679B" w:rsidP="00A57ED8">
      <w:pPr>
        <w:pStyle w:val="ListParagraph"/>
        <w:numPr>
          <w:ilvl w:val="0"/>
          <w:numId w:val="40"/>
        </w:numPr>
        <w:spacing w:after="20" w:line="276" w:lineRule="auto"/>
        <w:rPr>
          <w:rFonts w:cs="Times New Roman"/>
          <w:sz w:val="24"/>
          <w:szCs w:val="24"/>
        </w:rPr>
      </w:pPr>
      <w:r>
        <w:rPr>
          <w:rFonts w:cs="Times New Roman"/>
          <w:sz w:val="24"/>
          <w:szCs w:val="24"/>
        </w:rPr>
        <w:t xml:space="preserve">The </w:t>
      </w:r>
      <w:r w:rsidR="00C30E2B">
        <w:rPr>
          <w:rFonts w:cs="Times New Roman"/>
          <w:sz w:val="24"/>
          <w:szCs w:val="24"/>
        </w:rPr>
        <w:t>diagnosis to which judges were exposed appeared to make limited difference to their decision-making. There was some weak evidence that an EUPD diagnosis may have been associated with marginally higher rates of prison sentences.</w:t>
      </w:r>
    </w:p>
    <w:p w14:paraId="7D3899C4" w14:textId="77777777" w:rsidR="003F73AC" w:rsidRDefault="00C559F4" w:rsidP="00A57ED8">
      <w:pPr>
        <w:pStyle w:val="ListParagraph"/>
        <w:numPr>
          <w:ilvl w:val="0"/>
          <w:numId w:val="40"/>
        </w:numPr>
        <w:spacing w:after="20" w:line="276" w:lineRule="auto"/>
        <w:rPr>
          <w:rFonts w:cs="Times New Roman"/>
          <w:sz w:val="24"/>
          <w:szCs w:val="24"/>
        </w:rPr>
      </w:pPr>
      <w:r>
        <w:rPr>
          <w:rFonts w:cs="Times New Roman"/>
          <w:sz w:val="24"/>
          <w:szCs w:val="24"/>
        </w:rPr>
        <w:t>There was no variation between conditions in the ratings given to the Vowles statements</w:t>
      </w:r>
      <w:r w:rsidR="00157D66">
        <w:rPr>
          <w:rFonts w:cs="Times New Roman"/>
          <w:sz w:val="24"/>
          <w:szCs w:val="24"/>
        </w:rPr>
        <w:t xml:space="preserve">, suggesting that judges did not (for example) see a difference in the need for treatment associated with schizophrenia compared to EUPD. </w:t>
      </w:r>
    </w:p>
    <w:p w14:paraId="062D90C3" w14:textId="2A4395D6" w:rsidR="00C559F4" w:rsidRDefault="003F73AC" w:rsidP="00A57ED8">
      <w:pPr>
        <w:pStyle w:val="ListParagraph"/>
        <w:numPr>
          <w:ilvl w:val="0"/>
          <w:numId w:val="40"/>
        </w:numPr>
        <w:spacing w:after="20" w:line="276" w:lineRule="auto"/>
        <w:rPr>
          <w:rFonts w:cs="Times New Roman"/>
          <w:sz w:val="24"/>
          <w:szCs w:val="24"/>
        </w:rPr>
      </w:pPr>
      <w:r>
        <w:rPr>
          <w:rFonts w:cs="Times New Roman"/>
          <w:sz w:val="24"/>
          <w:szCs w:val="24"/>
        </w:rPr>
        <w:t>There was evidence of some between-subjects variation in ratings given to the Vowles statements</w:t>
      </w:r>
      <w:r w:rsidR="006D5F8C">
        <w:rPr>
          <w:rFonts w:cs="Times New Roman"/>
          <w:sz w:val="24"/>
          <w:szCs w:val="24"/>
        </w:rPr>
        <w:t>,</w:t>
      </w:r>
      <w:r w:rsidR="00AD0EA9">
        <w:rPr>
          <w:rFonts w:cs="Times New Roman"/>
          <w:sz w:val="24"/>
          <w:szCs w:val="24"/>
        </w:rPr>
        <w:t xml:space="preserve"> </w:t>
      </w:r>
      <w:r>
        <w:rPr>
          <w:rFonts w:cs="Times New Roman"/>
          <w:sz w:val="24"/>
          <w:szCs w:val="24"/>
        </w:rPr>
        <w:t xml:space="preserve">although the overall trend for all four statements was towards agreement. </w:t>
      </w:r>
    </w:p>
    <w:p w14:paraId="14A63D19" w14:textId="1418DF84" w:rsidR="00C30E2B" w:rsidRDefault="001B588D" w:rsidP="00A57ED8">
      <w:pPr>
        <w:pStyle w:val="ListParagraph"/>
        <w:numPr>
          <w:ilvl w:val="0"/>
          <w:numId w:val="40"/>
        </w:numPr>
        <w:spacing w:after="20" w:line="276" w:lineRule="auto"/>
        <w:rPr>
          <w:rFonts w:cs="Times New Roman"/>
          <w:sz w:val="24"/>
          <w:szCs w:val="24"/>
        </w:rPr>
      </w:pPr>
      <w:r>
        <w:rPr>
          <w:rFonts w:cs="Times New Roman"/>
          <w:sz w:val="24"/>
          <w:szCs w:val="24"/>
        </w:rPr>
        <w:t>By far, the most common sentencing decision was s.45A. Prison sentences were very infrequently recommended.</w:t>
      </w:r>
    </w:p>
    <w:p w14:paraId="506F6FF0" w14:textId="49E4EB17" w:rsidR="001B588D" w:rsidRDefault="00060C66" w:rsidP="00A57ED8">
      <w:pPr>
        <w:pStyle w:val="ListParagraph"/>
        <w:numPr>
          <w:ilvl w:val="0"/>
          <w:numId w:val="40"/>
        </w:numPr>
        <w:spacing w:after="20" w:line="276" w:lineRule="auto"/>
        <w:rPr>
          <w:rFonts w:cs="Times New Roman"/>
          <w:sz w:val="24"/>
          <w:szCs w:val="24"/>
        </w:rPr>
      </w:pPr>
      <w:r>
        <w:rPr>
          <w:rFonts w:cs="Times New Roman"/>
          <w:sz w:val="24"/>
          <w:szCs w:val="24"/>
        </w:rPr>
        <w:t xml:space="preserve">Not </w:t>
      </w:r>
      <w:proofErr w:type="gramStart"/>
      <w:r>
        <w:rPr>
          <w:rFonts w:cs="Times New Roman"/>
          <w:sz w:val="24"/>
          <w:szCs w:val="24"/>
        </w:rPr>
        <w:t>all of</w:t>
      </w:r>
      <w:proofErr w:type="gramEnd"/>
      <w:r>
        <w:rPr>
          <w:rFonts w:cs="Times New Roman"/>
          <w:sz w:val="24"/>
          <w:szCs w:val="24"/>
        </w:rPr>
        <w:t xml:space="preserve"> the Vowles statements were predictive of the final sentence; ratings on Vowles 3 (the ‘need for punishment</w:t>
      </w:r>
      <w:r w:rsidR="009347D3">
        <w:rPr>
          <w:rFonts w:cs="Times New Roman"/>
          <w:sz w:val="24"/>
          <w:szCs w:val="24"/>
        </w:rPr>
        <w:t>’</w:t>
      </w:r>
      <w:r>
        <w:rPr>
          <w:rFonts w:cs="Times New Roman"/>
          <w:sz w:val="24"/>
          <w:szCs w:val="24"/>
        </w:rPr>
        <w:t xml:space="preserve">) were </w:t>
      </w:r>
      <w:r w:rsidR="00F952CC">
        <w:rPr>
          <w:rFonts w:cs="Times New Roman"/>
          <w:sz w:val="24"/>
          <w:szCs w:val="24"/>
        </w:rPr>
        <w:t>most strongly predictive</w:t>
      </w:r>
      <w:r w:rsidR="00722249">
        <w:rPr>
          <w:rFonts w:cs="Times New Roman"/>
          <w:sz w:val="24"/>
          <w:szCs w:val="24"/>
        </w:rPr>
        <w:t xml:space="preserve"> of the </w:t>
      </w:r>
      <w:proofErr w:type="gramStart"/>
      <w:r w:rsidR="00722249">
        <w:rPr>
          <w:rFonts w:cs="Times New Roman"/>
          <w:sz w:val="24"/>
          <w:szCs w:val="24"/>
        </w:rPr>
        <w:t>final outcome</w:t>
      </w:r>
      <w:proofErr w:type="gramEnd"/>
      <w:r w:rsidR="00837A1C">
        <w:rPr>
          <w:rFonts w:cs="Times New Roman"/>
          <w:sz w:val="24"/>
          <w:szCs w:val="24"/>
        </w:rPr>
        <w:t xml:space="preserve">, with greater endorsement of </w:t>
      </w:r>
      <w:r w:rsidR="00867E17">
        <w:rPr>
          <w:rFonts w:cs="Times New Roman"/>
          <w:sz w:val="24"/>
          <w:szCs w:val="24"/>
        </w:rPr>
        <w:t xml:space="preserve">Vowles 3 being </w:t>
      </w:r>
      <w:r w:rsidR="00E20C40">
        <w:rPr>
          <w:rFonts w:cs="Times New Roman"/>
          <w:sz w:val="24"/>
          <w:szCs w:val="24"/>
        </w:rPr>
        <w:t>associated with s.45</w:t>
      </w:r>
      <w:r w:rsidR="000B413E">
        <w:rPr>
          <w:rFonts w:cs="Times New Roman"/>
          <w:sz w:val="24"/>
          <w:szCs w:val="24"/>
        </w:rPr>
        <w:t xml:space="preserve">A disposal compared to a s.37 </w:t>
      </w:r>
      <w:r w:rsidR="00156789">
        <w:rPr>
          <w:rFonts w:cs="Times New Roman"/>
          <w:sz w:val="24"/>
          <w:szCs w:val="24"/>
        </w:rPr>
        <w:t xml:space="preserve">disposal. </w:t>
      </w:r>
    </w:p>
    <w:p w14:paraId="2AE52458" w14:textId="77777777" w:rsidR="00B268D5" w:rsidRDefault="00B268D5" w:rsidP="00A57ED8">
      <w:pPr>
        <w:spacing w:after="20" w:line="276" w:lineRule="auto"/>
        <w:rPr>
          <w:rFonts w:cs="Times New Roman"/>
          <w:sz w:val="24"/>
          <w:szCs w:val="24"/>
        </w:rPr>
      </w:pPr>
    </w:p>
    <w:p w14:paraId="450F3489" w14:textId="32B48EDD" w:rsidR="00074B85" w:rsidRDefault="00E973D8" w:rsidP="00A57ED8">
      <w:pPr>
        <w:spacing w:after="20" w:line="276" w:lineRule="auto"/>
        <w:rPr>
          <w:rFonts w:cs="Times New Roman"/>
          <w:sz w:val="24"/>
          <w:szCs w:val="24"/>
        </w:rPr>
      </w:pPr>
      <w:r>
        <w:rPr>
          <w:rFonts w:cs="Times New Roman"/>
          <w:sz w:val="24"/>
          <w:szCs w:val="24"/>
        </w:rPr>
        <w:t>These results should be considered as preliminary for several reasons including that this is one of the first studies in the area and that the sampling approach limit</w:t>
      </w:r>
      <w:r w:rsidR="002E450A">
        <w:rPr>
          <w:rFonts w:cs="Times New Roman"/>
          <w:sz w:val="24"/>
          <w:szCs w:val="24"/>
        </w:rPr>
        <w:t>ed</w:t>
      </w:r>
      <w:r>
        <w:rPr>
          <w:rFonts w:cs="Times New Roman"/>
          <w:sz w:val="24"/>
          <w:szCs w:val="24"/>
        </w:rPr>
        <w:t xml:space="preserve"> the generalisability of the findings. Additionally,</w:t>
      </w:r>
      <w:r w:rsidR="002E450A">
        <w:rPr>
          <w:rFonts w:cs="Times New Roman"/>
          <w:sz w:val="24"/>
          <w:szCs w:val="24"/>
        </w:rPr>
        <w:t xml:space="preserve"> the</w:t>
      </w:r>
      <w:r>
        <w:rPr>
          <w:rFonts w:cs="Times New Roman"/>
          <w:sz w:val="24"/>
          <w:szCs w:val="24"/>
        </w:rPr>
        <w:t xml:space="preserve"> overall sentence</w:t>
      </w:r>
      <w:r w:rsidR="002E450A">
        <w:rPr>
          <w:rFonts w:cs="Times New Roman"/>
          <w:sz w:val="24"/>
          <w:szCs w:val="24"/>
        </w:rPr>
        <w:t xml:space="preserve"> decision</w:t>
      </w:r>
      <w:r>
        <w:rPr>
          <w:rFonts w:cs="Times New Roman"/>
          <w:sz w:val="24"/>
          <w:szCs w:val="24"/>
        </w:rPr>
        <w:t xml:space="preserve"> was measured </w:t>
      </w:r>
      <w:r w:rsidR="006C0B09">
        <w:rPr>
          <w:rFonts w:cs="Times New Roman"/>
          <w:sz w:val="24"/>
          <w:szCs w:val="24"/>
        </w:rPr>
        <w:t>as</w:t>
      </w:r>
      <w:r w:rsidR="00074B85">
        <w:rPr>
          <w:rFonts w:cs="Times New Roman"/>
          <w:sz w:val="24"/>
          <w:szCs w:val="24"/>
        </w:rPr>
        <w:t xml:space="preserve"> a crude categorical outcome</w:t>
      </w:r>
      <w:r>
        <w:rPr>
          <w:rFonts w:cs="Times New Roman"/>
          <w:sz w:val="24"/>
          <w:szCs w:val="24"/>
        </w:rPr>
        <w:t xml:space="preserve">. While this </w:t>
      </w:r>
      <w:r w:rsidR="002E450A">
        <w:rPr>
          <w:rFonts w:cs="Times New Roman"/>
          <w:sz w:val="24"/>
          <w:szCs w:val="24"/>
        </w:rPr>
        <w:t>approach</w:t>
      </w:r>
      <w:r>
        <w:rPr>
          <w:rFonts w:cs="Times New Roman"/>
          <w:sz w:val="24"/>
          <w:szCs w:val="24"/>
        </w:rPr>
        <w:t xml:space="preserve"> represents real outcomes</w:t>
      </w:r>
      <w:r w:rsidR="002E450A">
        <w:rPr>
          <w:rFonts w:cs="Times New Roman"/>
          <w:sz w:val="24"/>
          <w:szCs w:val="24"/>
        </w:rPr>
        <w:t xml:space="preserve"> where only one </w:t>
      </w:r>
      <w:r w:rsidR="00E13CC1">
        <w:rPr>
          <w:rFonts w:cs="Times New Roman"/>
          <w:sz w:val="24"/>
          <w:szCs w:val="24"/>
        </w:rPr>
        <w:t>sentence can be chosen</w:t>
      </w:r>
      <w:r w:rsidR="00DA2115">
        <w:rPr>
          <w:rFonts w:cs="Times New Roman"/>
          <w:sz w:val="24"/>
          <w:szCs w:val="24"/>
        </w:rPr>
        <w:t>,</w:t>
      </w:r>
      <w:r>
        <w:rPr>
          <w:rFonts w:cs="Times New Roman"/>
          <w:sz w:val="24"/>
          <w:szCs w:val="24"/>
        </w:rPr>
        <w:t xml:space="preserve"> the </w:t>
      </w:r>
      <w:r w:rsidR="00DA2115">
        <w:rPr>
          <w:rFonts w:cs="Times New Roman"/>
          <w:sz w:val="24"/>
          <w:szCs w:val="24"/>
        </w:rPr>
        <w:t xml:space="preserve">predictive regression </w:t>
      </w:r>
      <w:r>
        <w:rPr>
          <w:rFonts w:cs="Times New Roman"/>
          <w:sz w:val="24"/>
          <w:szCs w:val="24"/>
        </w:rPr>
        <w:t xml:space="preserve">analyses were constrained </w:t>
      </w:r>
      <w:r w:rsidR="006C0B09">
        <w:rPr>
          <w:rFonts w:cs="Times New Roman"/>
          <w:sz w:val="24"/>
          <w:szCs w:val="24"/>
        </w:rPr>
        <w:t xml:space="preserve"> </w:t>
      </w:r>
      <w:r>
        <w:rPr>
          <w:rFonts w:cs="Times New Roman"/>
          <w:sz w:val="24"/>
          <w:szCs w:val="24"/>
        </w:rPr>
        <w:t xml:space="preserve"> by the</w:t>
      </w:r>
      <w:r w:rsidR="00AE5179">
        <w:rPr>
          <w:rFonts w:cs="Times New Roman"/>
          <w:sz w:val="24"/>
          <w:szCs w:val="24"/>
        </w:rPr>
        <w:t xml:space="preserve"> preference towards hybrid orders.</w:t>
      </w:r>
      <w:r w:rsidR="00E13CC1">
        <w:rPr>
          <w:rFonts w:cs="Times New Roman"/>
          <w:sz w:val="24"/>
          <w:szCs w:val="24"/>
        </w:rPr>
        <w:t xml:space="preserve"> This meant </w:t>
      </w:r>
      <w:r w:rsidR="00AE2A38">
        <w:rPr>
          <w:rFonts w:cs="Times New Roman"/>
          <w:sz w:val="24"/>
          <w:szCs w:val="24"/>
        </w:rPr>
        <w:t>that</w:t>
      </w:r>
      <w:r w:rsidR="00773C6C">
        <w:rPr>
          <w:rFonts w:cs="Times New Roman"/>
          <w:sz w:val="24"/>
          <w:szCs w:val="24"/>
        </w:rPr>
        <w:t xml:space="preserve"> the regression </w:t>
      </w:r>
      <w:r w:rsidR="00FC6C45">
        <w:rPr>
          <w:rFonts w:cs="Times New Roman"/>
          <w:sz w:val="24"/>
          <w:szCs w:val="24"/>
        </w:rPr>
        <w:t xml:space="preserve">had to be limited to a crude binary comparison between </w:t>
      </w:r>
      <w:r w:rsidR="00AE2A38">
        <w:rPr>
          <w:rFonts w:cs="Times New Roman"/>
          <w:sz w:val="24"/>
          <w:szCs w:val="24"/>
        </w:rPr>
        <w:t>‘</w:t>
      </w:r>
      <w:r w:rsidR="00FC6C45">
        <w:rPr>
          <w:rFonts w:cs="Times New Roman"/>
          <w:sz w:val="24"/>
          <w:szCs w:val="24"/>
        </w:rPr>
        <w:t>hybrid order</w:t>
      </w:r>
      <w:r w:rsidR="00AE2A38">
        <w:rPr>
          <w:rFonts w:cs="Times New Roman"/>
          <w:sz w:val="24"/>
          <w:szCs w:val="24"/>
        </w:rPr>
        <w:t>’</w:t>
      </w:r>
      <w:r w:rsidR="00FC6C45">
        <w:rPr>
          <w:rFonts w:cs="Times New Roman"/>
          <w:sz w:val="24"/>
          <w:szCs w:val="24"/>
        </w:rPr>
        <w:t xml:space="preserve"> and </w:t>
      </w:r>
      <w:r w:rsidR="00AE2A38">
        <w:rPr>
          <w:rFonts w:cs="Times New Roman"/>
          <w:sz w:val="24"/>
          <w:szCs w:val="24"/>
        </w:rPr>
        <w:t>‘</w:t>
      </w:r>
      <w:r w:rsidR="00FC6C45">
        <w:rPr>
          <w:rFonts w:cs="Times New Roman"/>
          <w:sz w:val="24"/>
          <w:szCs w:val="24"/>
        </w:rPr>
        <w:t>hospital order</w:t>
      </w:r>
      <w:r w:rsidR="00AE2A38">
        <w:rPr>
          <w:rFonts w:cs="Times New Roman"/>
          <w:sz w:val="24"/>
          <w:szCs w:val="24"/>
        </w:rPr>
        <w:t>’</w:t>
      </w:r>
      <w:r w:rsidR="00D94109">
        <w:rPr>
          <w:rFonts w:cs="Times New Roman"/>
          <w:sz w:val="24"/>
          <w:szCs w:val="24"/>
        </w:rPr>
        <w:t>.</w:t>
      </w:r>
      <w:r w:rsidR="00AE5179">
        <w:rPr>
          <w:rFonts w:cs="Times New Roman"/>
          <w:sz w:val="24"/>
          <w:szCs w:val="24"/>
        </w:rPr>
        <w:t xml:space="preserve"> </w:t>
      </w:r>
    </w:p>
    <w:p w14:paraId="7D4CE501" w14:textId="1FE970B7" w:rsidR="00084AB0" w:rsidRPr="00886F07" w:rsidRDefault="009F7778" w:rsidP="00A57ED8">
      <w:pPr>
        <w:spacing w:after="20" w:line="276" w:lineRule="auto"/>
        <w:rPr>
          <w:rFonts w:cs="Times New Roman"/>
          <w:i/>
          <w:iCs/>
          <w:sz w:val="24"/>
          <w:szCs w:val="24"/>
        </w:rPr>
      </w:pPr>
      <w:r>
        <w:rPr>
          <w:rFonts w:cs="Times New Roman"/>
          <w:i/>
          <w:iCs/>
          <w:sz w:val="24"/>
          <w:szCs w:val="24"/>
        </w:rPr>
        <w:fldChar w:fldCharType="begin"/>
      </w:r>
      <w:r w:rsidR="00BB3B1F">
        <w:rPr>
          <w:rFonts w:cs="Times New Roman"/>
          <w:i/>
          <w:iCs/>
          <w:sz w:val="24"/>
          <w:szCs w:val="24"/>
        </w:rPr>
        <w:instrText xml:space="preserve"> ADDIN EN.CITE &lt;EndNote&gt;&lt;Cite Hidden="1"&gt;&lt;Year&gt;2015&lt;/Year&gt;&lt;RecNum&gt;203&lt;/RecNum&gt;&lt;record&gt;&lt;rec-number&gt;203&lt;/rec-number&gt;&lt;foreign-keys&gt;&lt;key app="EN" db-id="2ats9t0enpvff3ewzpd59fdbxwpt0ssftp2w" timestamp="1727905742"&gt;203&lt;/key&gt;&lt;/foreign-keys&gt;&lt;ref-type name="Case"&gt;7&lt;/ref-type&gt;&lt;contributors&gt;&lt;/contributors&gt;&lt;titles&gt;&lt;title&gt;R v Vowles and others [2015] &lt;/title&gt;&lt;/titles&gt;&lt;dates&gt;&lt;year&gt;2015&lt;/year&gt;&lt;/dates&gt;&lt;publisher&gt;EWCA Crim 45&lt;/publisher&gt;&lt;urls&gt;&lt;/urls&gt;&lt;/record&gt;&lt;/Cite&gt;&lt;Cite Hidden="1"&gt;&lt;Year&gt;2018&lt;/Year&gt;&lt;RecNum&gt;242&lt;/RecNum&gt;&lt;record&gt;&lt;rec-number&gt;242&lt;/rec-number&gt;&lt;foreign-keys&gt;&lt;key app="EN" db-id="2ats9t0enpvff3ewzpd59fdbxwpt0ssftp2w" timestamp="1733426547"&gt;242&lt;/key&gt;&lt;/foreign-keys&gt;&lt;ref-type name="Case"&gt;7&lt;/ref-type&gt;&lt;contributors&gt;&lt;/contributors&gt;&lt;titles&gt;&lt;title&gt;R v Edwards&lt;/title&gt;&lt;/titles&gt;&lt;dates&gt;&lt;year&gt;2018&lt;/year&gt;&lt;/dates&gt;&lt;publisher&gt;EWCA Crim 595&lt;/publisher&gt;&lt;urls&gt;&lt;/urls&gt;&lt;/record&gt;&lt;/Cite&gt;&lt;Cite Hidden="1"&gt;&lt;Year&gt;2020&lt;/Year&gt;&lt;RecNum&gt;243&lt;/RecNum&gt;&lt;record&gt;&lt;rec-number&gt;243&lt;/rec-number&gt;&lt;foreign-keys&gt;&lt;key app="EN" db-id="2ats9t0enpvff3ewzpd59fdbxwpt0ssftp2w" timestamp="1733426758"&gt;243&lt;/key&gt;&lt;/foreign-keys&gt;&lt;ref-type name="Case"&gt;7&lt;/ref-type&gt;&lt;contributors&gt;&lt;/contributors&gt;&lt;titles&gt;&lt;title&gt;R v Nelson&lt;/title&gt;&lt;/titles&gt;&lt;dates&gt;&lt;year&gt;2020&lt;/year&gt;&lt;/dates&gt;&lt;publisher&gt;EWCA Crim 1615&lt;/publisher&gt;&lt;urls&gt;&lt;/urls&gt;&lt;/record&gt;&lt;/Cite&gt;&lt;/EndNote&gt;</w:instrText>
      </w:r>
      <w:r>
        <w:rPr>
          <w:rFonts w:cs="Times New Roman"/>
          <w:i/>
          <w:iCs/>
          <w:sz w:val="24"/>
          <w:szCs w:val="24"/>
        </w:rPr>
        <w:fldChar w:fldCharType="separate"/>
      </w:r>
      <w:r>
        <w:rPr>
          <w:rFonts w:cs="Times New Roman"/>
          <w:i/>
          <w:iCs/>
          <w:sz w:val="24"/>
          <w:szCs w:val="24"/>
        </w:rPr>
        <w:fldChar w:fldCharType="end"/>
      </w:r>
    </w:p>
    <w:p w14:paraId="2E84E49F" w14:textId="77777777" w:rsidR="00726A60" w:rsidRDefault="00C54704" w:rsidP="00726A60">
      <w:pPr>
        <w:spacing w:after="20" w:line="276" w:lineRule="auto"/>
        <w:rPr>
          <w:rFonts w:cs="Times New Roman"/>
          <w:bCs/>
          <w:sz w:val="24"/>
          <w:szCs w:val="24"/>
        </w:rPr>
      </w:pPr>
      <w:r>
        <w:rPr>
          <w:rFonts w:cs="Times New Roman"/>
          <w:bCs/>
          <w:sz w:val="24"/>
          <w:szCs w:val="24"/>
        </w:rPr>
        <w:t>The present study therefore aimed to complete a partial replication of our original study and address some of these limitations.</w:t>
      </w:r>
      <w:r w:rsidR="00DA2115">
        <w:rPr>
          <w:rFonts w:cs="Times New Roman"/>
          <w:bCs/>
          <w:sz w:val="24"/>
          <w:szCs w:val="24"/>
        </w:rPr>
        <w:t xml:space="preserve"> The intention was to recruit a sample of Judges via the Judicial College. Despite consent to do so, pragmatically this was not possible. </w:t>
      </w:r>
      <w:r w:rsidR="00DA2115">
        <w:rPr>
          <w:rFonts w:cs="Times New Roman"/>
          <w:bCs/>
          <w:sz w:val="24"/>
          <w:szCs w:val="24"/>
        </w:rPr>
        <w:lastRenderedPageBreak/>
        <w:t xml:space="preserve">Therefore, a similar online method of sampling was used with added efforts to more accurately measure participants’ relevant legal experience. </w:t>
      </w:r>
      <w:r w:rsidR="00224A0D">
        <w:rPr>
          <w:rFonts w:cs="Times New Roman"/>
          <w:bCs/>
          <w:sz w:val="24"/>
          <w:szCs w:val="24"/>
        </w:rPr>
        <w:t>Measures</w:t>
      </w:r>
      <w:r w:rsidR="00DA2115">
        <w:rPr>
          <w:rFonts w:cs="Times New Roman"/>
          <w:bCs/>
          <w:sz w:val="24"/>
          <w:szCs w:val="24"/>
        </w:rPr>
        <w:t xml:space="preserve"> of self-rated confidence in each sentencing outcome and assessment of the four Vowles statements w</w:t>
      </w:r>
      <w:r w:rsidR="00224A0D">
        <w:rPr>
          <w:rFonts w:cs="Times New Roman"/>
          <w:bCs/>
          <w:sz w:val="24"/>
          <w:szCs w:val="24"/>
        </w:rPr>
        <w:t>ere</w:t>
      </w:r>
      <w:r w:rsidR="00DA2115">
        <w:rPr>
          <w:rFonts w:cs="Times New Roman"/>
          <w:bCs/>
          <w:sz w:val="24"/>
          <w:szCs w:val="24"/>
        </w:rPr>
        <w:t xml:space="preserve"> also added, under the assumption that greater experience would be related to greater confidence. </w:t>
      </w:r>
      <w:proofErr w:type="gramStart"/>
      <w:r w:rsidR="00726A60">
        <w:rPr>
          <w:rFonts w:cs="Times New Roman"/>
          <w:bCs/>
          <w:sz w:val="24"/>
          <w:szCs w:val="24"/>
        </w:rPr>
        <w:t>In order to</w:t>
      </w:r>
      <w:proofErr w:type="gramEnd"/>
      <w:r w:rsidR="00726A60">
        <w:rPr>
          <w:rFonts w:cs="Times New Roman"/>
          <w:bCs/>
          <w:sz w:val="24"/>
          <w:szCs w:val="24"/>
        </w:rPr>
        <w:t xml:space="preserve"> allow for further sensitivity analyses, participants were asked to rate how likely they would be to give each of the three sentencing options. </w:t>
      </w:r>
    </w:p>
    <w:p w14:paraId="3315BE14" w14:textId="242FE0FB" w:rsidR="00C84677" w:rsidRDefault="00C84677" w:rsidP="00A57ED8">
      <w:pPr>
        <w:spacing w:after="20" w:line="276" w:lineRule="auto"/>
        <w:rPr>
          <w:rFonts w:cs="Times New Roman"/>
          <w:bCs/>
          <w:sz w:val="24"/>
          <w:szCs w:val="24"/>
        </w:rPr>
      </w:pPr>
    </w:p>
    <w:p w14:paraId="0441D841" w14:textId="6464242C" w:rsidR="000C11E0" w:rsidRDefault="000C11E0" w:rsidP="000C11E0">
      <w:pPr>
        <w:pStyle w:val="Heading3"/>
      </w:pPr>
      <w:bookmarkStart w:id="2" w:name="_Toc166251392"/>
      <w:r w:rsidRPr="0039572D">
        <w:t>Research Questions</w:t>
      </w:r>
      <w:bookmarkEnd w:id="2"/>
    </w:p>
    <w:p w14:paraId="14286916" w14:textId="7FB26196" w:rsidR="00EF2712" w:rsidRPr="006F296A" w:rsidRDefault="00EF2712" w:rsidP="00A57ED8">
      <w:pPr>
        <w:pStyle w:val="ListParagraph"/>
        <w:numPr>
          <w:ilvl w:val="0"/>
          <w:numId w:val="42"/>
        </w:numPr>
        <w:spacing w:line="276" w:lineRule="auto"/>
        <w:rPr>
          <w:sz w:val="24"/>
          <w:szCs w:val="24"/>
        </w:rPr>
      </w:pPr>
      <w:r w:rsidRPr="006F296A">
        <w:rPr>
          <w:sz w:val="24"/>
          <w:szCs w:val="24"/>
        </w:rPr>
        <w:t xml:space="preserve">To what extent do proxy </w:t>
      </w:r>
      <w:proofErr w:type="gramStart"/>
      <w:r w:rsidRPr="006F296A">
        <w:rPr>
          <w:sz w:val="24"/>
          <w:szCs w:val="24"/>
        </w:rPr>
        <w:t>judges</w:t>
      </w:r>
      <w:proofErr w:type="gramEnd"/>
      <w:r w:rsidRPr="006F296A">
        <w:rPr>
          <w:sz w:val="24"/>
          <w:szCs w:val="24"/>
        </w:rPr>
        <w:t xml:space="preserve"> </w:t>
      </w:r>
      <w:r w:rsidR="008965EE" w:rsidRPr="006F296A">
        <w:rPr>
          <w:sz w:val="24"/>
          <w:szCs w:val="24"/>
        </w:rPr>
        <w:t>express agreement towards</w:t>
      </w:r>
      <w:r w:rsidRPr="006F296A">
        <w:rPr>
          <w:sz w:val="24"/>
          <w:szCs w:val="24"/>
        </w:rPr>
        <w:t xml:space="preserve"> the four Vowles statements</w:t>
      </w:r>
      <w:r w:rsidR="008965EE" w:rsidRPr="006F296A">
        <w:rPr>
          <w:sz w:val="24"/>
          <w:szCs w:val="24"/>
        </w:rPr>
        <w:t xml:space="preserve"> in relation to the </w:t>
      </w:r>
      <w:r w:rsidR="009B06DA" w:rsidRPr="006F296A">
        <w:rPr>
          <w:sz w:val="24"/>
          <w:szCs w:val="24"/>
        </w:rPr>
        <w:t>specified condition</w:t>
      </w:r>
      <w:r w:rsidR="009B62D3" w:rsidRPr="006F296A">
        <w:rPr>
          <w:sz w:val="24"/>
          <w:szCs w:val="24"/>
        </w:rPr>
        <w:t xml:space="preserve">, and to what extent do the </w:t>
      </w:r>
      <w:r w:rsidR="00D16357" w:rsidRPr="006F296A">
        <w:rPr>
          <w:sz w:val="24"/>
          <w:szCs w:val="24"/>
        </w:rPr>
        <w:t>ratings on the different statements</w:t>
      </w:r>
      <w:r w:rsidR="009B62D3" w:rsidRPr="006F296A">
        <w:rPr>
          <w:sz w:val="24"/>
          <w:szCs w:val="24"/>
        </w:rPr>
        <w:t xml:space="preserve"> relate to each other?</w:t>
      </w:r>
    </w:p>
    <w:p w14:paraId="04E13AF7" w14:textId="60B15601" w:rsidR="00EF2712" w:rsidRPr="006F296A" w:rsidRDefault="00EF2712" w:rsidP="00A57ED8">
      <w:pPr>
        <w:pStyle w:val="ListParagraph"/>
        <w:numPr>
          <w:ilvl w:val="0"/>
          <w:numId w:val="42"/>
        </w:numPr>
        <w:spacing w:line="276" w:lineRule="auto"/>
        <w:rPr>
          <w:sz w:val="24"/>
          <w:szCs w:val="24"/>
        </w:rPr>
      </w:pPr>
      <w:r w:rsidRPr="006F296A">
        <w:rPr>
          <w:sz w:val="24"/>
          <w:szCs w:val="24"/>
        </w:rPr>
        <w:t xml:space="preserve">Are there differences in the judgements made in relation to the Vowles statements </w:t>
      </w:r>
      <w:r w:rsidR="00C050FC" w:rsidRPr="006F296A">
        <w:rPr>
          <w:sz w:val="24"/>
          <w:szCs w:val="24"/>
        </w:rPr>
        <w:t>depending on the diagnosis (schizophrenia or emotionally unstable personality disorder)?</w:t>
      </w:r>
    </w:p>
    <w:p w14:paraId="4A0CFCF8" w14:textId="1128C105" w:rsidR="00C050FC" w:rsidRPr="006F296A" w:rsidRDefault="00A73ADE" w:rsidP="00A57ED8">
      <w:pPr>
        <w:pStyle w:val="ListParagraph"/>
        <w:numPr>
          <w:ilvl w:val="0"/>
          <w:numId w:val="42"/>
        </w:numPr>
        <w:spacing w:line="276" w:lineRule="auto"/>
        <w:rPr>
          <w:sz w:val="24"/>
          <w:szCs w:val="24"/>
        </w:rPr>
      </w:pPr>
      <w:r w:rsidRPr="006F296A">
        <w:rPr>
          <w:sz w:val="24"/>
          <w:szCs w:val="24"/>
        </w:rPr>
        <w:t>Does exposure to a different diagnosis in the vignette lead to differences in sentencing behaviour?</w:t>
      </w:r>
    </w:p>
    <w:p w14:paraId="7D893368" w14:textId="61069CC9" w:rsidR="00A73ADE" w:rsidRPr="006F296A" w:rsidRDefault="00A73ADE" w:rsidP="00A57ED8">
      <w:pPr>
        <w:pStyle w:val="ListParagraph"/>
        <w:numPr>
          <w:ilvl w:val="0"/>
          <w:numId w:val="42"/>
        </w:numPr>
        <w:spacing w:line="276" w:lineRule="auto"/>
        <w:rPr>
          <w:sz w:val="24"/>
          <w:szCs w:val="24"/>
        </w:rPr>
      </w:pPr>
      <w:r w:rsidRPr="006F296A">
        <w:rPr>
          <w:sz w:val="24"/>
          <w:szCs w:val="24"/>
        </w:rPr>
        <w:t xml:space="preserve">How does </w:t>
      </w:r>
      <w:r w:rsidR="00264FA8" w:rsidRPr="006F296A">
        <w:rPr>
          <w:sz w:val="24"/>
          <w:szCs w:val="24"/>
        </w:rPr>
        <w:t>exposure to a different diagnosis and agreement with each of the four Vowles statements relate to the final sentenc</w:t>
      </w:r>
      <w:r w:rsidR="00407792" w:rsidRPr="006F296A">
        <w:rPr>
          <w:sz w:val="24"/>
          <w:szCs w:val="24"/>
        </w:rPr>
        <w:t>e accorded?</w:t>
      </w:r>
    </w:p>
    <w:p w14:paraId="317EE1ED" w14:textId="77777777" w:rsidR="000C11E0" w:rsidRPr="0039572D" w:rsidRDefault="000C11E0" w:rsidP="000C11E0">
      <w:pPr>
        <w:spacing w:after="20" w:line="480" w:lineRule="auto"/>
        <w:jc w:val="center"/>
        <w:rPr>
          <w:rFonts w:cs="Times New Roman"/>
          <w:b/>
          <w:bCs/>
          <w:sz w:val="24"/>
          <w:szCs w:val="24"/>
          <w:u w:val="single"/>
        </w:rPr>
      </w:pPr>
    </w:p>
    <w:p w14:paraId="6BAE08CD" w14:textId="77777777" w:rsidR="000C11E0" w:rsidRPr="0039572D" w:rsidRDefault="000C11E0" w:rsidP="000C11E0">
      <w:pPr>
        <w:pStyle w:val="Heading2"/>
        <w:rPr>
          <w:rFonts w:asciiTheme="minorHAnsi" w:hAnsiTheme="minorHAnsi"/>
        </w:rPr>
      </w:pPr>
      <w:bookmarkStart w:id="3" w:name="_Toc166251393"/>
      <w:r w:rsidRPr="0039572D">
        <w:rPr>
          <w:rFonts w:asciiTheme="minorHAnsi" w:hAnsiTheme="minorHAnsi"/>
        </w:rPr>
        <w:t>Method</w:t>
      </w:r>
      <w:bookmarkEnd w:id="3"/>
    </w:p>
    <w:p w14:paraId="0E949A29" w14:textId="77777777" w:rsidR="000C11E0" w:rsidRPr="0039572D" w:rsidRDefault="000C11E0" w:rsidP="000C11E0">
      <w:pPr>
        <w:pStyle w:val="Heading3"/>
      </w:pPr>
      <w:bookmarkStart w:id="4" w:name="_Toc166251394"/>
      <w:r w:rsidRPr="0039572D">
        <w:t>Design</w:t>
      </w:r>
      <w:bookmarkEnd w:id="4"/>
    </w:p>
    <w:p w14:paraId="75EAC9C5" w14:textId="379B6006" w:rsidR="000C11E0" w:rsidRPr="0039572D" w:rsidRDefault="000C11E0" w:rsidP="00A57ED8">
      <w:pPr>
        <w:spacing w:after="20" w:line="276" w:lineRule="auto"/>
        <w:rPr>
          <w:rFonts w:cs="Times New Roman"/>
          <w:sz w:val="24"/>
          <w:szCs w:val="24"/>
        </w:rPr>
      </w:pPr>
      <w:r w:rsidRPr="0039572D">
        <w:rPr>
          <w:rFonts w:cs="Times New Roman"/>
          <w:sz w:val="24"/>
          <w:szCs w:val="24"/>
        </w:rPr>
        <w:t xml:space="preserve">The study </w:t>
      </w:r>
      <w:r w:rsidR="00E24D97">
        <w:rPr>
          <w:rFonts w:cs="Times New Roman"/>
          <w:sz w:val="24"/>
          <w:szCs w:val="24"/>
        </w:rPr>
        <w:t xml:space="preserve">broadly replicated </w:t>
      </w:r>
      <w:r w:rsidR="00951FBD">
        <w:rPr>
          <w:rFonts w:cs="Times New Roman"/>
          <w:sz w:val="24"/>
          <w:szCs w:val="24"/>
        </w:rPr>
        <w:t>the methodology</w:t>
      </w:r>
      <w:r w:rsidR="00E24D97">
        <w:rPr>
          <w:rFonts w:cs="Times New Roman"/>
          <w:sz w:val="24"/>
          <w:szCs w:val="24"/>
        </w:rPr>
        <w:t xml:space="preserve"> adopted by Baldwin et al (2025), using an</w:t>
      </w:r>
      <w:r w:rsidR="00370C9D">
        <w:rPr>
          <w:rFonts w:cs="Times New Roman"/>
          <w:sz w:val="24"/>
          <w:szCs w:val="24"/>
        </w:rPr>
        <w:t xml:space="preserve"> </w:t>
      </w:r>
      <w:r w:rsidRPr="0039572D">
        <w:rPr>
          <w:rFonts w:cs="Times New Roman"/>
          <w:sz w:val="24"/>
          <w:szCs w:val="24"/>
        </w:rPr>
        <w:t xml:space="preserve">online format, with a between-groups design. Participants were randomly allocated into one of two groups (schizophrenia vs. </w:t>
      </w:r>
      <w:r w:rsidR="00397AB8">
        <w:rPr>
          <w:rFonts w:cs="Times New Roman"/>
          <w:sz w:val="24"/>
          <w:szCs w:val="24"/>
        </w:rPr>
        <w:t>EUPD</w:t>
      </w:r>
      <w:r w:rsidRPr="0039572D">
        <w:rPr>
          <w:rFonts w:cs="Times New Roman"/>
          <w:sz w:val="24"/>
          <w:szCs w:val="24"/>
        </w:rPr>
        <w:t xml:space="preserve">), using the same vignette </w:t>
      </w:r>
      <w:r w:rsidR="00397AB8">
        <w:rPr>
          <w:rFonts w:cs="Times New Roman"/>
          <w:sz w:val="24"/>
          <w:szCs w:val="24"/>
        </w:rPr>
        <w:t>as in</w:t>
      </w:r>
      <w:r w:rsidRPr="0039572D">
        <w:rPr>
          <w:rFonts w:cs="Times New Roman"/>
          <w:sz w:val="24"/>
          <w:szCs w:val="24"/>
        </w:rPr>
        <w:t xml:space="preserve"> </w:t>
      </w:r>
      <w:r w:rsidR="0096442F">
        <w:rPr>
          <w:rFonts w:cs="Times New Roman"/>
          <w:sz w:val="24"/>
          <w:szCs w:val="24"/>
        </w:rPr>
        <w:t xml:space="preserve">Baldwin et al (2025). </w:t>
      </w:r>
      <w:r w:rsidR="00606167">
        <w:rPr>
          <w:rFonts w:cs="Times New Roman"/>
          <w:sz w:val="24"/>
          <w:szCs w:val="24"/>
        </w:rPr>
        <w:t xml:space="preserve">Unlike the original study, we did not use a control ‘Complex Mental Health Condition’ group, </w:t>
      </w:r>
      <w:r w:rsidR="0007324E">
        <w:rPr>
          <w:rFonts w:cs="Times New Roman"/>
          <w:sz w:val="24"/>
          <w:szCs w:val="24"/>
        </w:rPr>
        <w:t xml:space="preserve">because the original study had not suggested any between-group differences </w:t>
      </w:r>
      <w:proofErr w:type="gramStart"/>
      <w:r w:rsidR="0007324E">
        <w:rPr>
          <w:rFonts w:cs="Times New Roman"/>
          <w:sz w:val="24"/>
          <w:szCs w:val="24"/>
        </w:rPr>
        <w:t>as a result of</w:t>
      </w:r>
      <w:proofErr w:type="gramEnd"/>
      <w:r w:rsidR="0007324E">
        <w:rPr>
          <w:rFonts w:cs="Times New Roman"/>
          <w:sz w:val="24"/>
          <w:szCs w:val="24"/>
        </w:rPr>
        <w:t xml:space="preserve"> diagnosis, and </w:t>
      </w:r>
      <w:r w:rsidR="00826040">
        <w:rPr>
          <w:rFonts w:cs="Times New Roman"/>
          <w:sz w:val="24"/>
          <w:szCs w:val="24"/>
        </w:rPr>
        <w:t xml:space="preserve">the use of two conditions only would increase the power to detect any such differences in a different sample. </w:t>
      </w:r>
    </w:p>
    <w:p w14:paraId="20AC8C5E" w14:textId="77777777" w:rsidR="004023FA" w:rsidRDefault="004023FA" w:rsidP="00A57ED8">
      <w:pPr>
        <w:spacing w:after="20" w:line="276" w:lineRule="auto"/>
        <w:rPr>
          <w:rFonts w:cs="Times New Roman"/>
          <w:sz w:val="24"/>
          <w:szCs w:val="24"/>
        </w:rPr>
      </w:pPr>
    </w:p>
    <w:p w14:paraId="4B4B7138" w14:textId="1E0E8AA9" w:rsidR="000C11E0" w:rsidRPr="0039572D" w:rsidRDefault="00826040" w:rsidP="00A57ED8">
      <w:pPr>
        <w:spacing w:after="20" w:line="276" w:lineRule="auto"/>
        <w:rPr>
          <w:rFonts w:cs="Times New Roman"/>
          <w:sz w:val="24"/>
          <w:szCs w:val="24"/>
        </w:rPr>
      </w:pPr>
      <w:r>
        <w:rPr>
          <w:rFonts w:cs="Times New Roman"/>
          <w:sz w:val="24"/>
          <w:szCs w:val="24"/>
        </w:rPr>
        <w:t>As in Baldwin et al (2025), t</w:t>
      </w:r>
      <w:r w:rsidR="000C11E0" w:rsidRPr="0039572D">
        <w:rPr>
          <w:rFonts w:cs="Times New Roman"/>
          <w:sz w:val="24"/>
          <w:szCs w:val="24"/>
        </w:rPr>
        <w:t xml:space="preserve">he criminal charge within the vignettes was that of Grievous Bodily Harm (GBH) with intent under s.18 of the Offences Against the Person Act (1861). This was used as it is sufficiently serious to warrant a custodial sentence </w:t>
      </w:r>
      <w:r w:rsidR="00666799">
        <w:rPr>
          <w:rFonts w:cs="Times New Roman"/>
          <w:sz w:val="24"/>
          <w:szCs w:val="24"/>
        </w:rPr>
        <w:t>in England and Wales</w:t>
      </w:r>
      <w:r w:rsidR="000C11E0" w:rsidRPr="0039572D">
        <w:rPr>
          <w:rFonts w:cs="Times New Roman"/>
          <w:sz w:val="24"/>
          <w:szCs w:val="24"/>
        </w:rPr>
        <w:t xml:space="preserve"> but would also be eligible for consideration for a Hospital Order (under s.37 </w:t>
      </w:r>
      <w:r w:rsidR="00921BD4">
        <w:rPr>
          <w:rFonts w:cs="Times New Roman"/>
          <w:sz w:val="24"/>
          <w:szCs w:val="24"/>
        </w:rPr>
        <w:t>MHA)</w:t>
      </w:r>
      <w:r w:rsidR="000C11E0" w:rsidRPr="0039572D">
        <w:rPr>
          <w:rFonts w:cs="Times New Roman"/>
          <w:sz w:val="24"/>
          <w:szCs w:val="24"/>
        </w:rPr>
        <w:t xml:space="preserve"> and therefore also a Hybrid Order (under s.45A </w:t>
      </w:r>
      <w:r w:rsidR="00921BD4">
        <w:rPr>
          <w:rFonts w:cs="Times New Roman"/>
          <w:sz w:val="24"/>
          <w:szCs w:val="24"/>
        </w:rPr>
        <w:t>MHA</w:t>
      </w:r>
      <w:r w:rsidR="000C11E0" w:rsidRPr="0039572D">
        <w:rPr>
          <w:rFonts w:cs="Times New Roman"/>
          <w:sz w:val="24"/>
          <w:szCs w:val="24"/>
        </w:rPr>
        <w:t>). Moreover, the offence is sufficiently serious that it can be tried on indictment only, meaning that the only place such an offence would be considered is the Crown Court</w:t>
      </w:r>
      <w:r w:rsidR="00362C62">
        <w:rPr>
          <w:rFonts w:cs="Times New Roman"/>
          <w:sz w:val="24"/>
          <w:szCs w:val="24"/>
        </w:rPr>
        <w:t>.</w:t>
      </w:r>
    </w:p>
    <w:p w14:paraId="2843457D" w14:textId="4B16850A" w:rsidR="000C11E0" w:rsidRPr="0039572D" w:rsidRDefault="000C11E0" w:rsidP="00A57ED8">
      <w:pPr>
        <w:spacing w:after="20" w:line="276" w:lineRule="auto"/>
        <w:ind w:firstLine="720"/>
        <w:rPr>
          <w:rFonts w:cs="Times New Roman"/>
          <w:sz w:val="24"/>
          <w:szCs w:val="24"/>
        </w:rPr>
      </w:pPr>
    </w:p>
    <w:p w14:paraId="37CDA593" w14:textId="77777777" w:rsidR="000C11E0" w:rsidRPr="0039572D" w:rsidRDefault="000C11E0" w:rsidP="00A57ED8">
      <w:pPr>
        <w:pStyle w:val="Heading3"/>
        <w:spacing w:line="276" w:lineRule="auto"/>
      </w:pPr>
      <w:bookmarkStart w:id="5" w:name="_Toc166251395"/>
      <w:r w:rsidRPr="0039572D">
        <w:lastRenderedPageBreak/>
        <w:t>Participants</w:t>
      </w:r>
      <w:bookmarkEnd w:id="5"/>
    </w:p>
    <w:p w14:paraId="7161B1B7" w14:textId="68514321" w:rsidR="00ED1B93" w:rsidRDefault="000C11E0" w:rsidP="00A57ED8">
      <w:pPr>
        <w:spacing w:after="20" w:line="276" w:lineRule="auto"/>
        <w:rPr>
          <w:rFonts w:cs="Times New Roman"/>
          <w:sz w:val="24"/>
          <w:szCs w:val="24"/>
        </w:rPr>
      </w:pPr>
      <w:r w:rsidRPr="0039572D">
        <w:rPr>
          <w:rFonts w:cs="Times New Roman"/>
          <w:sz w:val="24"/>
          <w:szCs w:val="24"/>
        </w:rPr>
        <w:t xml:space="preserve">Participants were recruited via </w:t>
      </w:r>
      <w:r w:rsidR="00826040">
        <w:rPr>
          <w:rFonts w:cs="Times New Roman"/>
          <w:sz w:val="24"/>
          <w:szCs w:val="24"/>
        </w:rPr>
        <w:t>the same</w:t>
      </w:r>
      <w:r w:rsidR="0064135D">
        <w:rPr>
          <w:rFonts w:cs="Times New Roman"/>
          <w:sz w:val="24"/>
          <w:szCs w:val="24"/>
        </w:rPr>
        <w:t xml:space="preserve"> </w:t>
      </w:r>
      <w:r w:rsidRPr="0039572D">
        <w:rPr>
          <w:rFonts w:cs="Times New Roman"/>
          <w:sz w:val="24"/>
          <w:szCs w:val="24"/>
        </w:rPr>
        <w:t>recruitment service (Prolific</w:t>
      </w:r>
      <w:r w:rsidR="00826040">
        <w:rPr>
          <w:rFonts w:cs="Times New Roman"/>
          <w:sz w:val="24"/>
          <w:szCs w:val="24"/>
        </w:rPr>
        <w:t>.com</w:t>
      </w:r>
      <w:r w:rsidRPr="0039572D">
        <w:rPr>
          <w:rFonts w:cs="Times New Roman"/>
          <w:sz w:val="24"/>
          <w:szCs w:val="24"/>
        </w:rPr>
        <w:t>)</w:t>
      </w:r>
      <w:r w:rsidR="00826040">
        <w:rPr>
          <w:rFonts w:cs="Times New Roman"/>
          <w:sz w:val="24"/>
          <w:szCs w:val="24"/>
        </w:rPr>
        <w:t xml:space="preserve"> as used in the original study.</w:t>
      </w:r>
      <w:r w:rsidRPr="0039572D">
        <w:rPr>
          <w:rFonts w:cs="Times New Roman"/>
          <w:sz w:val="24"/>
          <w:szCs w:val="24"/>
        </w:rPr>
        <w:t xml:space="preserve"> Prolific avoids some of the issues with online recruitment (e.g. the use of ‘bots’) </w:t>
      </w:r>
      <w:r w:rsidR="00677D55">
        <w:rPr>
          <w:rFonts w:cs="Times New Roman"/>
          <w:sz w:val="24"/>
          <w:szCs w:val="24"/>
        </w:rPr>
        <w:t xml:space="preserve">as it </w:t>
      </w:r>
      <w:r w:rsidRPr="0039572D">
        <w:rPr>
          <w:rFonts w:cs="Times New Roman"/>
          <w:sz w:val="24"/>
          <w:szCs w:val="24"/>
        </w:rPr>
        <w:t>requires potential participants to submit government-approved ID at the point of registration</w:t>
      </w:r>
      <w:r w:rsidR="00ED1B93">
        <w:rPr>
          <w:rFonts w:cs="Times New Roman"/>
          <w:sz w:val="24"/>
          <w:szCs w:val="24"/>
        </w:rPr>
        <w:t xml:space="preserve">. </w:t>
      </w:r>
      <w:r w:rsidR="00B478C4">
        <w:rPr>
          <w:rFonts w:cs="Times New Roman"/>
          <w:sz w:val="24"/>
          <w:szCs w:val="24"/>
        </w:rPr>
        <w:t>Whilst Baldwin et al (2025) obtained a somewhat larger sample (</w:t>
      </w:r>
      <w:r w:rsidR="00BE534C">
        <w:rPr>
          <w:rFonts w:cs="Times New Roman"/>
          <w:sz w:val="24"/>
          <w:szCs w:val="24"/>
        </w:rPr>
        <w:t>n=179</w:t>
      </w:r>
      <w:r w:rsidR="00666799">
        <w:rPr>
          <w:rFonts w:cs="Times New Roman"/>
          <w:sz w:val="24"/>
          <w:szCs w:val="24"/>
        </w:rPr>
        <w:t xml:space="preserve"> vs n=12</w:t>
      </w:r>
      <w:r w:rsidR="002B0F26">
        <w:rPr>
          <w:rFonts w:cs="Times New Roman"/>
          <w:sz w:val="24"/>
          <w:szCs w:val="24"/>
        </w:rPr>
        <w:t>2</w:t>
      </w:r>
      <w:r w:rsidR="00BE534C">
        <w:rPr>
          <w:rFonts w:cs="Times New Roman"/>
          <w:sz w:val="24"/>
          <w:szCs w:val="24"/>
        </w:rPr>
        <w:t xml:space="preserve">), because our study did not also include a ‘Complex Mental Health Condition’ group, we had a similar number of participants in </w:t>
      </w:r>
      <w:r w:rsidR="005343C1">
        <w:rPr>
          <w:rFonts w:cs="Times New Roman"/>
          <w:sz w:val="24"/>
          <w:szCs w:val="24"/>
        </w:rPr>
        <w:t>each condition</w:t>
      </w:r>
      <w:r w:rsidR="00CB3957">
        <w:rPr>
          <w:rFonts w:cs="Times New Roman"/>
          <w:sz w:val="24"/>
          <w:szCs w:val="24"/>
        </w:rPr>
        <w:t xml:space="preserve">, and thus similar statistical power to detect effects. </w:t>
      </w:r>
      <w:r w:rsidR="005343C1">
        <w:rPr>
          <w:rFonts w:cs="Times New Roman"/>
          <w:sz w:val="24"/>
          <w:szCs w:val="24"/>
        </w:rPr>
        <w:t xml:space="preserve"> </w:t>
      </w:r>
    </w:p>
    <w:p w14:paraId="29D84E07" w14:textId="77777777" w:rsidR="004023FA" w:rsidRDefault="004023FA" w:rsidP="00A57ED8">
      <w:pPr>
        <w:spacing w:after="20" w:line="276" w:lineRule="auto"/>
        <w:rPr>
          <w:rFonts w:cs="Times New Roman"/>
          <w:sz w:val="24"/>
          <w:szCs w:val="24"/>
        </w:rPr>
      </w:pPr>
    </w:p>
    <w:p w14:paraId="624FBC34" w14:textId="10893DA8" w:rsidR="00D3766F" w:rsidRDefault="235378E9" w:rsidP="00A57ED8">
      <w:pPr>
        <w:spacing w:after="20" w:line="276" w:lineRule="auto"/>
        <w:rPr>
          <w:rFonts w:cs="Times New Roman"/>
          <w:sz w:val="24"/>
          <w:szCs w:val="24"/>
        </w:rPr>
      </w:pPr>
      <w:r w:rsidRPr="235378E9">
        <w:rPr>
          <w:rFonts w:cs="Times New Roman"/>
          <w:sz w:val="24"/>
          <w:szCs w:val="24"/>
        </w:rPr>
        <w:t xml:space="preserve">The present study attempted to improve the approach to recruitment to generate a fresh sample that was more legally qualified and therefore likely better representative of the judges who will carry out the sentencing exercise. To this end, recruitment was approached in </w:t>
      </w:r>
      <w:r w:rsidRPr="00E840C1">
        <w:rPr>
          <w:sz w:val="24"/>
          <w:szCs w:val="24"/>
        </w:rPr>
        <w:t>stages. The study was</w:t>
      </w:r>
      <w:r w:rsidR="00E840C1">
        <w:rPr>
          <w:sz w:val="24"/>
          <w:szCs w:val="24"/>
        </w:rPr>
        <w:t xml:space="preserve"> a UK only sample which was</w:t>
      </w:r>
      <w:r w:rsidRPr="00E840C1">
        <w:rPr>
          <w:sz w:val="24"/>
          <w:szCs w:val="24"/>
        </w:rPr>
        <w:t xml:space="preserve"> initially opened to those with a law degree currently working in a legal</w:t>
      </w:r>
      <w:r w:rsidRPr="235378E9">
        <w:rPr>
          <w:rFonts w:cs="Times New Roman"/>
          <w:sz w:val="24"/>
          <w:szCs w:val="24"/>
        </w:rPr>
        <w:t xml:space="preserve"> setting, namely those working as judges, barristers, or solicitors. Once recruitment by this approach was exhausted, it was then re-opened to capture those who worked as professionals within the criminal justice system including those who worked within the police and prison service. Finally, it was opened again to encompass other legal professionals, such as law students and legal executives. Given the sampling challenges described in Baldwin et al (2025), we recorded more specific detail about occupation types for those in the ‘other’ categories </w:t>
      </w:r>
      <w:proofErr w:type="gramStart"/>
      <w:r w:rsidRPr="235378E9">
        <w:rPr>
          <w:rFonts w:cs="Times New Roman"/>
          <w:sz w:val="24"/>
          <w:szCs w:val="24"/>
        </w:rPr>
        <w:t>and also</w:t>
      </w:r>
      <w:proofErr w:type="gramEnd"/>
      <w:r w:rsidRPr="235378E9">
        <w:rPr>
          <w:rFonts w:cs="Times New Roman"/>
          <w:sz w:val="24"/>
          <w:szCs w:val="24"/>
        </w:rPr>
        <w:t xml:space="preserve"> whether the participant reporting </w:t>
      </w:r>
      <w:r w:rsidR="002B0F26" w:rsidRPr="235378E9">
        <w:rPr>
          <w:rFonts w:cs="Times New Roman"/>
          <w:sz w:val="24"/>
          <w:szCs w:val="24"/>
        </w:rPr>
        <w:t>ha</w:t>
      </w:r>
      <w:r w:rsidR="002B0F26">
        <w:rPr>
          <w:rFonts w:cs="Times New Roman"/>
          <w:sz w:val="24"/>
          <w:szCs w:val="24"/>
        </w:rPr>
        <w:t>d</w:t>
      </w:r>
      <w:r w:rsidR="002B0F26" w:rsidRPr="235378E9">
        <w:rPr>
          <w:rFonts w:cs="Times New Roman"/>
          <w:sz w:val="24"/>
          <w:szCs w:val="24"/>
        </w:rPr>
        <w:t xml:space="preserve"> </w:t>
      </w:r>
      <w:r w:rsidRPr="235378E9">
        <w:rPr>
          <w:rFonts w:cs="Times New Roman"/>
          <w:sz w:val="24"/>
          <w:szCs w:val="24"/>
        </w:rPr>
        <w:t xml:space="preserve">knowledge of s.37 or s.45A. </w:t>
      </w:r>
    </w:p>
    <w:p w14:paraId="7A727ED8" w14:textId="77777777" w:rsidR="008E7212" w:rsidRDefault="008E7212" w:rsidP="00A57ED8">
      <w:pPr>
        <w:spacing w:after="20" w:line="276" w:lineRule="auto"/>
        <w:rPr>
          <w:rFonts w:cs="Times New Roman"/>
          <w:sz w:val="24"/>
          <w:szCs w:val="24"/>
        </w:rPr>
      </w:pPr>
    </w:p>
    <w:p w14:paraId="722FF20D" w14:textId="6AD49A6E" w:rsidR="00EF6D89" w:rsidRDefault="00EF6D89" w:rsidP="00A57ED8">
      <w:pPr>
        <w:spacing w:after="20" w:line="276" w:lineRule="auto"/>
        <w:rPr>
          <w:rFonts w:cs="Times New Roman"/>
          <w:sz w:val="24"/>
          <w:szCs w:val="24"/>
        </w:rPr>
      </w:pPr>
      <w:r>
        <w:rPr>
          <w:rFonts w:cs="Times New Roman"/>
          <w:sz w:val="24"/>
          <w:szCs w:val="24"/>
        </w:rPr>
        <w:t xml:space="preserve">In total, we recruited 124 participants, of which </w:t>
      </w:r>
      <w:r w:rsidR="00794417">
        <w:rPr>
          <w:rFonts w:cs="Times New Roman"/>
          <w:sz w:val="24"/>
          <w:szCs w:val="24"/>
        </w:rPr>
        <w:t>two</w:t>
      </w:r>
      <w:r>
        <w:rPr>
          <w:rFonts w:cs="Times New Roman"/>
          <w:sz w:val="24"/>
          <w:szCs w:val="24"/>
        </w:rPr>
        <w:t xml:space="preserve"> failed a knowledge check (getting more than one</w:t>
      </w:r>
      <w:r w:rsidR="008E7212">
        <w:rPr>
          <w:rFonts w:cs="Times New Roman"/>
          <w:sz w:val="24"/>
          <w:szCs w:val="24"/>
        </w:rPr>
        <w:t xml:space="preserve"> of three</w:t>
      </w:r>
      <w:r>
        <w:rPr>
          <w:rFonts w:cs="Times New Roman"/>
          <w:sz w:val="24"/>
          <w:szCs w:val="24"/>
        </w:rPr>
        <w:t xml:space="preserve"> multiple choice question</w:t>
      </w:r>
      <w:r w:rsidR="008E7212">
        <w:rPr>
          <w:rFonts w:cs="Times New Roman"/>
          <w:sz w:val="24"/>
          <w:szCs w:val="24"/>
        </w:rPr>
        <w:t>s</w:t>
      </w:r>
      <w:r>
        <w:rPr>
          <w:rFonts w:cs="Times New Roman"/>
          <w:sz w:val="24"/>
          <w:szCs w:val="24"/>
        </w:rPr>
        <w:t xml:space="preserve"> wrong in relation to key study information), leaving a sample of 122 for analysis. </w:t>
      </w:r>
      <w:r w:rsidR="0089218D">
        <w:rPr>
          <w:rFonts w:cs="Times New Roman"/>
          <w:sz w:val="24"/>
          <w:szCs w:val="24"/>
        </w:rPr>
        <w:t xml:space="preserve">62 had been randomised into the EUPD vignette and 60 into the schizophrenia vignette. </w:t>
      </w:r>
      <w:r w:rsidR="00E120C8">
        <w:rPr>
          <w:rFonts w:cs="Times New Roman"/>
          <w:sz w:val="24"/>
          <w:szCs w:val="24"/>
        </w:rPr>
        <w:t xml:space="preserve">Table 1 shows the demographic data for the sample </w:t>
      </w:r>
      <w:r w:rsidR="0042543A">
        <w:rPr>
          <w:rFonts w:cs="Times New Roman"/>
          <w:sz w:val="24"/>
          <w:szCs w:val="24"/>
        </w:rPr>
        <w:t xml:space="preserve">as compared to the original study. </w:t>
      </w:r>
    </w:p>
    <w:p w14:paraId="1861CDFE" w14:textId="30CA987A" w:rsidR="006F296A" w:rsidRDefault="00A57ED8" w:rsidP="00732AC3">
      <w:pPr>
        <w:tabs>
          <w:tab w:val="left" w:pos="1883"/>
        </w:tabs>
        <w:spacing w:after="20" w:line="480" w:lineRule="auto"/>
        <w:rPr>
          <w:rFonts w:cs="Times New Roman"/>
          <w:sz w:val="24"/>
          <w:szCs w:val="24"/>
        </w:rPr>
      </w:pPr>
      <w:r>
        <w:rPr>
          <w:rFonts w:cs="Times New Roman"/>
          <w:sz w:val="24"/>
          <w:szCs w:val="24"/>
        </w:rPr>
        <w:tab/>
      </w:r>
    </w:p>
    <w:p w14:paraId="681EF7EC" w14:textId="77777777" w:rsidR="00CA4F69" w:rsidRDefault="00CA4F69" w:rsidP="00732AC3">
      <w:pPr>
        <w:tabs>
          <w:tab w:val="left" w:pos="1883"/>
        </w:tabs>
        <w:spacing w:after="20" w:line="480" w:lineRule="auto"/>
        <w:rPr>
          <w:rFonts w:cs="Times New Roman"/>
          <w:sz w:val="24"/>
          <w:szCs w:val="24"/>
        </w:rPr>
      </w:pPr>
    </w:p>
    <w:p w14:paraId="0B225011" w14:textId="77777777" w:rsidR="00CA4F69" w:rsidRDefault="00CA4F69" w:rsidP="00732AC3">
      <w:pPr>
        <w:tabs>
          <w:tab w:val="left" w:pos="1883"/>
        </w:tabs>
        <w:spacing w:after="20" w:line="480" w:lineRule="auto"/>
        <w:rPr>
          <w:rFonts w:cs="Times New Roman"/>
          <w:sz w:val="24"/>
          <w:szCs w:val="24"/>
        </w:rPr>
      </w:pPr>
    </w:p>
    <w:p w14:paraId="47DA2714" w14:textId="77777777" w:rsidR="00CA4F69" w:rsidRDefault="00CA4F69" w:rsidP="00732AC3">
      <w:pPr>
        <w:tabs>
          <w:tab w:val="left" w:pos="1883"/>
        </w:tabs>
        <w:spacing w:after="20" w:line="480" w:lineRule="auto"/>
        <w:rPr>
          <w:rFonts w:cs="Times New Roman"/>
          <w:sz w:val="24"/>
          <w:szCs w:val="24"/>
        </w:rPr>
      </w:pPr>
    </w:p>
    <w:p w14:paraId="3FE63AFE" w14:textId="77777777" w:rsidR="00CA4F69" w:rsidRDefault="00CA4F69" w:rsidP="00732AC3">
      <w:pPr>
        <w:tabs>
          <w:tab w:val="left" w:pos="1883"/>
        </w:tabs>
        <w:spacing w:after="20" w:line="480" w:lineRule="auto"/>
        <w:rPr>
          <w:rFonts w:cs="Times New Roman"/>
          <w:sz w:val="24"/>
          <w:szCs w:val="24"/>
        </w:rPr>
      </w:pPr>
    </w:p>
    <w:p w14:paraId="6566FF61" w14:textId="77777777" w:rsidR="00CA4F69" w:rsidRDefault="00CA4F69" w:rsidP="00732AC3">
      <w:pPr>
        <w:tabs>
          <w:tab w:val="left" w:pos="1883"/>
        </w:tabs>
        <w:spacing w:after="20" w:line="480" w:lineRule="auto"/>
        <w:rPr>
          <w:rFonts w:cs="Times New Roman"/>
          <w:sz w:val="24"/>
          <w:szCs w:val="24"/>
        </w:rPr>
      </w:pPr>
    </w:p>
    <w:p w14:paraId="0A95E596" w14:textId="77777777" w:rsidR="00CA4F69" w:rsidRDefault="00CA4F69" w:rsidP="00732AC3">
      <w:pPr>
        <w:tabs>
          <w:tab w:val="left" w:pos="1883"/>
        </w:tabs>
        <w:spacing w:after="20" w:line="480" w:lineRule="auto"/>
        <w:rPr>
          <w:rFonts w:cs="Times New Roman"/>
          <w:sz w:val="24"/>
          <w:szCs w:val="24"/>
        </w:rPr>
      </w:pPr>
    </w:p>
    <w:p w14:paraId="4BA3B0AA" w14:textId="77777777" w:rsidR="00CA4F69" w:rsidRDefault="00CA4F69" w:rsidP="00732AC3">
      <w:pPr>
        <w:tabs>
          <w:tab w:val="left" w:pos="1883"/>
        </w:tabs>
        <w:spacing w:after="20" w:line="480" w:lineRule="auto"/>
        <w:rPr>
          <w:rFonts w:cs="Times New Roman"/>
          <w:sz w:val="24"/>
          <w:szCs w:val="24"/>
        </w:rPr>
      </w:pPr>
    </w:p>
    <w:p w14:paraId="40ECCCE0" w14:textId="77777777" w:rsidR="00CA4F69" w:rsidRDefault="00CA4F69" w:rsidP="00732AC3">
      <w:pPr>
        <w:tabs>
          <w:tab w:val="left" w:pos="1883"/>
        </w:tabs>
        <w:spacing w:after="20" w:line="480" w:lineRule="auto"/>
        <w:rPr>
          <w:rFonts w:cs="Times New Roman"/>
          <w:sz w:val="24"/>
          <w:szCs w:val="24"/>
        </w:rPr>
      </w:pPr>
    </w:p>
    <w:p w14:paraId="18788BB8" w14:textId="301C2C2C" w:rsidR="00EC5CA1" w:rsidRDefault="00EC5CA1" w:rsidP="00EC5CA1">
      <w:pPr>
        <w:pStyle w:val="Caption"/>
        <w:keepNext/>
      </w:pPr>
      <w:bookmarkStart w:id="6" w:name="_Ref204615398"/>
      <w:r>
        <w:t xml:space="preserve">Table </w:t>
      </w:r>
      <w:r>
        <w:fldChar w:fldCharType="begin"/>
      </w:r>
      <w:r>
        <w:instrText>SEQ Table \* ARABIC</w:instrText>
      </w:r>
      <w:r>
        <w:fldChar w:fldCharType="separate"/>
      </w:r>
      <w:r w:rsidR="00041D2F">
        <w:rPr>
          <w:noProof/>
        </w:rPr>
        <w:t>1</w:t>
      </w:r>
      <w:r>
        <w:fldChar w:fldCharType="end"/>
      </w:r>
      <w:bookmarkEnd w:id="6"/>
      <w:r>
        <w:t>: Demographics of obtained sample</w:t>
      </w:r>
      <w:r w:rsidR="0042543A">
        <w:t xml:space="preserve"> compared to the original study</w:t>
      </w:r>
      <w:r>
        <w:t xml:space="preserve">. Please note in the current sample 'other legal professionals' included (as specific job title) legal executive, paralegal, police officer, lawyer, apprentice/trainee solicitor amongst </w:t>
      </w:r>
      <w:proofErr w:type="gramStart"/>
      <w:r>
        <w:t>others</w:t>
      </w:r>
      <w:r w:rsidR="00FB136C">
        <w:t>.</w:t>
      </w:r>
      <w:r w:rsidR="009A2A60">
        <w:t>*</w:t>
      </w:r>
      <w:proofErr w:type="gramEnd"/>
      <w:r w:rsidR="009A2A60">
        <w:t xml:space="preserve"> “Other Non-Legal Professionals” included </w:t>
      </w:r>
      <w:r w:rsidR="006E79BB">
        <w:t xml:space="preserve">relevant officers, clerks and </w:t>
      </w:r>
      <w:proofErr w:type="gramStart"/>
      <w:r w:rsidR="006E79BB">
        <w:t xml:space="preserve">administrators </w:t>
      </w:r>
      <w:r w:rsidR="00FB136C">
        <w:t xml:space="preserve"> </w:t>
      </w:r>
      <w:r w:rsidR="007A55CF">
        <w:t>*</w:t>
      </w:r>
      <w:proofErr w:type="gramEnd"/>
      <w:r w:rsidR="007A55CF">
        <w:t xml:space="preserve">* </w:t>
      </w:r>
      <w:r w:rsidR="0029683C">
        <w:t>“</w:t>
      </w:r>
      <w:r w:rsidR="00FB136C">
        <w:t>Non legal professionals</w:t>
      </w:r>
      <w:r w:rsidR="0029683C">
        <w:t>”</w:t>
      </w:r>
      <w:r w:rsidR="00FB136C">
        <w:t xml:space="preserve"> </w:t>
      </w:r>
      <w:r w:rsidR="007A55CF">
        <w:t>included police officers and police staff, prison service staff, forensic analysts</w:t>
      </w:r>
      <w:r w:rsidR="0029683C">
        <w:t xml:space="preserve">, probation officers amongst others. </w:t>
      </w:r>
      <w:r w:rsidR="00BC4A38">
        <w:t xml:space="preserve">*** The specific question asked was “Do you have knowledge of what section 37 / 45A </w:t>
      </w:r>
      <w:r w:rsidR="004D7E4F">
        <w:t>is?”</w:t>
      </w:r>
    </w:p>
    <w:tbl>
      <w:tblPr>
        <w:tblStyle w:val="TableGrid"/>
        <w:tblW w:w="0" w:type="auto"/>
        <w:tblLayout w:type="fixed"/>
        <w:tblLook w:val="04A0" w:firstRow="1" w:lastRow="0" w:firstColumn="1" w:lastColumn="0" w:noHBand="0" w:noVBand="1"/>
      </w:tblPr>
      <w:tblGrid>
        <w:gridCol w:w="1555"/>
        <w:gridCol w:w="1559"/>
        <w:gridCol w:w="1559"/>
        <w:gridCol w:w="1368"/>
        <w:gridCol w:w="1490"/>
        <w:gridCol w:w="1490"/>
      </w:tblGrid>
      <w:tr w:rsidR="00E120C8" w:rsidRPr="00456F60" w14:paraId="36C88D45" w14:textId="77777777" w:rsidTr="235378E9">
        <w:tc>
          <w:tcPr>
            <w:tcW w:w="1555" w:type="dxa"/>
            <w:shd w:val="clear" w:color="auto" w:fill="000000" w:themeFill="text1"/>
          </w:tcPr>
          <w:p w14:paraId="321CC531" w14:textId="27C69B00" w:rsidR="008F0C95" w:rsidRPr="00595E42" w:rsidRDefault="008F0C95" w:rsidP="00BC4A38">
            <w:pPr>
              <w:ind w:left="0" w:firstLine="0"/>
              <w:rPr>
                <w:rFonts w:cs="Times New Roman"/>
                <w:b/>
                <w:bCs/>
                <w:sz w:val="20"/>
                <w:szCs w:val="20"/>
              </w:rPr>
            </w:pPr>
            <w:r w:rsidRPr="00595E42">
              <w:rPr>
                <w:rFonts w:cs="Times New Roman"/>
                <w:b/>
                <w:bCs/>
                <w:sz w:val="20"/>
                <w:szCs w:val="20"/>
              </w:rPr>
              <w:t>Age</w:t>
            </w:r>
          </w:p>
        </w:tc>
        <w:tc>
          <w:tcPr>
            <w:tcW w:w="1559" w:type="dxa"/>
            <w:shd w:val="clear" w:color="auto" w:fill="000000" w:themeFill="text1"/>
          </w:tcPr>
          <w:p w14:paraId="14C5BD2C" w14:textId="1A46A9DE" w:rsidR="008F0C95" w:rsidRPr="00595E42" w:rsidRDefault="008F0C95" w:rsidP="00BC4A38">
            <w:pPr>
              <w:ind w:left="0" w:firstLine="0"/>
              <w:rPr>
                <w:rFonts w:cs="Times New Roman"/>
                <w:b/>
                <w:bCs/>
                <w:sz w:val="20"/>
                <w:szCs w:val="20"/>
              </w:rPr>
            </w:pPr>
            <w:r w:rsidRPr="00595E42">
              <w:rPr>
                <w:rFonts w:cs="Times New Roman"/>
                <w:b/>
                <w:bCs/>
                <w:sz w:val="20"/>
                <w:szCs w:val="20"/>
              </w:rPr>
              <w:t>Mean (SD)</w:t>
            </w:r>
          </w:p>
        </w:tc>
        <w:tc>
          <w:tcPr>
            <w:tcW w:w="1559" w:type="dxa"/>
            <w:tcBorders>
              <w:right w:val="single" w:sz="4" w:space="0" w:color="auto"/>
            </w:tcBorders>
            <w:shd w:val="clear" w:color="auto" w:fill="000000" w:themeFill="text1"/>
          </w:tcPr>
          <w:p w14:paraId="201541A0" w14:textId="55455B34" w:rsidR="008F0C95" w:rsidRPr="00595E42" w:rsidRDefault="008F0C95" w:rsidP="00BC4A38">
            <w:pPr>
              <w:ind w:left="0" w:firstLine="0"/>
              <w:rPr>
                <w:rFonts w:cs="Times New Roman"/>
                <w:b/>
                <w:bCs/>
                <w:sz w:val="20"/>
                <w:szCs w:val="20"/>
              </w:rPr>
            </w:pPr>
            <w:r w:rsidRPr="00595E42">
              <w:rPr>
                <w:rFonts w:cs="Times New Roman"/>
                <w:b/>
                <w:bCs/>
                <w:sz w:val="20"/>
                <w:szCs w:val="20"/>
              </w:rPr>
              <w:t>Range</w:t>
            </w:r>
          </w:p>
        </w:tc>
        <w:tc>
          <w:tcPr>
            <w:tcW w:w="1368" w:type="dxa"/>
            <w:tcBorders>
              <w:top w:val="nil"/>
              <w:left w:val="single" w:sz="4" w:space="0" w:color="auto"/>
              <w:bottom w:val="nil"/>
              <w:right w:val="nil"/>
            </w:tcBorders>
            <w:shd w:val="clear" w:color="auto" w:fill="FFFFFF" w:themeFill="background1"/>
          </w:tcPr>
          <w:p w14:paraId="6A834A00" w14:textId="77777777" w:rsidR="008F0C95" w:rsidRPr="00456F60" w:rsidRDefault="008F0C95"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49BAD427" w14:textId="77777777" w:rsidR="008F0C95" w:rsidRPr="00456F60" w:rsidRDefault="008F0C95"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1F69BEC7" w14:textId="77777777" w:rsidR="008F0C95" w:rsidRPr="00456F60" w:rsidRDefault="008F0C95" w:rsidP="00BC4A38">
            <w:pPr>
              <w:ind w:left="0" w:firstLine="0"/>
              <w:rPr>
                <w:rFonts w:cs="Times New Roman"/>
                <w:sz w:val="20"/>
                <w:szCs w:val="20"/>
              </w:rPr>
            </w:pPr>
          </w:p>
        </w:tc>
      </w:tr>
      <w:tr w:rsidR="00E120C8" w:rsidRPr="00456F60" w14:paraId="71D7D746" w14:textId="77777777" w:rsidTr="235378E9">
        <w:tc>
          <w:tcPr>
            <w:tcW w:w="1555" w:type="dxa"/>
          </w:tcPr>
          <w:p w14:paraId="46E053A7" w14:textId="11F44684" w:rsidR="008F0C95" w:rsidRPr="00456F60" w:rsidRDefault="008F0C95" w:rsidP="00BC4A38">
            <w:pPr>
              <w:ind w:left="0" w:firstLine="0"/>
              <w:rPr>
                <w:rFonts w:cs="Times New Roman"/>
                <w:sz w:val="20"/>
                <w:szCs w:val="20"/>
              </w:rPr>
            </w:pPr>
            <w:r w:rsidRPr="00456F60">
              <w:rPr>
                <w:rFonts w:cs="Times New Roman"/>
                <w:sz w:val="20"/>
                <w:szCs w:val="20"/>
              </w:rPr>
              <w:t>Present study</w:t>
            </w:r>
          </w:p>
        </w:tc>
        <w:tc>
          <w:tcPr>
            <w:tcW w:w="1559" w:type="dxa"/>
          </w:tcPr>
          <w:p w14:paraId="26F6015D" w14:textId="338CD843" w:rsidR="008F0C95" w:rsidRPr="00456F60" w:rsidRDefault="00595E42" w:rsidP="00BC4A38">
            <w:pPr>
              <w:ind w:left="0" w:firstLine="0"/>
              <w:rPr>
                <w:rFonts w:cs="Times New Roman"/>
                <w:sz w:val="20"/>
                <w:szCs w:val="20"/>
              </w:rPr>
            </w:pPr>
            <w:r>
              <w:rPr>
                <w:rFonts w:cs="Times New Roman"/>
                <w:sz w:val="20"/>
                <w:szCs w:val="20"/>
              </w:rPr>
              <w:t>32.19 (10.24)</w:t>
            </w:r>
          </w:p>
        </w:tc>
        <w:tc>
          <w:tcPr>
            <w:tcW w:w="1559" w:type="dxa"/>
            <w:tcBorders>
              <w:right w:val="single" w:sz="4" w:space="0" w:color="auto"/>
            </w:tcBorders>
          </w:tcPr>
          <w:p w14:paraId="61FB80E8" w14:textId="73617101" w:rsidR="008F0C95" w:rsidRPr="00456F60" w:rsidRDefault="00595E42" w:rsidP="00BC4A38">
            <w:pPr>
              <w:ind w:left="0" w:firstLine="0"/>
              <w:rPr>
                <w:rFonts w:cs="Times New Roman"/>
                <w:sz w:val="20"/>
                <w:szCs w:val="20"/>
              </w:rPr>
            </w:pPr>
            <w:r>
              <w:rPr>
                <w:rFonts w:cs="Times New Roman"/>
                <w:sz w:val="20"/>
                <w:szCs w:val="20"/>
              </w:rPr>
              <w:t>18-59</w:t>
            </w:r>
          </w:p>
        </w:tc>
        <w:tc>
          <w:tcPr>
            <w:tcW w:w="1368" w:type="dxa"/>
            <w:tcBorders>
              <w:top w:val="nil"/>
              <w:left w:val="single" w:sz="4" w:space="0" w:color="auto"/>
              <w:bottom w:val="nil"/>
              <w:right w:val="nil"/>
            </w:tcBorders>
            <w:shd w:val="clear" w:color="auto" w:fill="FFFFFF" w:themeFill="background1"/>
          </w:tcPr>
          <w:p w14:paraId="088D4084" w14:textId="77777777" w:rsidR="008F0C95" w:rsidRPr="00456F60" w:rsidRDefault="008F0C95"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2DF0C193" w14:textId="77777777" w:rsidR="008F0C95" w:rsidRPr="00456F60" w:rsidRDefault="008F0C95"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083EF208" w14:textId="77777777" w:rsidR="008F0C95" w:rsidRPr="00456F60" w:rsidRDefault="008F0C95" w:rsidP="00BC4A38">
            <w:pPr>
              <w:ind w:left="0" w:firstLine="0"/>
              <w:rPr>
                <w:rFonts w:cs="Times New Roman"/>
                <w:sz w:val="20"/>
                <w:szCs w:val="20"/>
              </w:rPr>
            </w:pPr>
          </w:p>
        </w:tc>
      </w:tr>
      <w:tr w:rsidR="00E120C8" w:rsidRPr="00456F60" w14:paraId="1FA82AD8" w14:textId="77777777" w:rsidTr="235378E9">
        <w:tc>
          <w:tcPr>
            <w:tcW w:w="1555" w:type="dxa"/>
          </w:tcPr>
          <w:p w14:paraId="006A8561" w14:textId="5BC6BEDD" w:rsidR="008F0C95" w:rsidRPr="00456F60" w:rsidRDefault="008F0C95" w:rsidP="00BC4A38">
            <w:pPr>
              <w:ind w:left="0" w:firstLine="0"/>
              <w:rPr>
                <w:rFonts w:cs="Times New Roman"/>
                <w:sz w:val="20"/>
                <w:szCs w:val="20"/>
              </w:rPr>
            </w:pPr>
            <w:r>
              <w:rPr>
                <w:rFonts w:cs="Times New Roman"/>
                <w:sz w:val="20"/>
                <w:szCs w:val="20"/>
              </w:rPr>
              <w:t>Baldwin et al</w:t>
            </w:r>
          </w:p>
        </w:tc>
        <w:tc>
          <w:tcPr>
            <w:tcW w:w="1559" w:type="dxa"/>
          </w:tcPr>
          <w:p w14:paraId="118B91EA" w14:textId="4E357C44" w:rsidR="008F0C95" w:rsidRPr="00456F60" w:rsidRDefault="00595E42" w:rsidP="00BC4A38">
            <w:pPr>
              <w:ind w:left="0" w:firstLine="0"/>
              <w:rPr>
                <w:rFonts w:cs="Times New Roman"/>
                <w:sz w:val="20"/>
                <w:szCs w:val="20"/>
              </w:rPr>
            </w:pPr>
            <w:r>
              <w:rPr>
                <w:rFonts w:cs="Times New Roman"/>
                <w:sz w:val="20"/>
                <w:szCs w:val="20"/>
              </w:rPr>
              <w:t>33.98 (10.30)</w:t>
            </w:r>
          </w:p>
        </w:tc>
        <w:tc>
          <w:tcPr>
            <w:tcW w:w="1559" w:type="dxa"/>
            <w:tcBorders>
              <w:bottom w:val="single" w:sz="4" w:space="0" w:color="auto"/>
              <w:right w:val="single" w:sz="4" w:space="0" w:color="auto"/>
            </w:tcBorders>
          </w:tcPr>
          <w:p w14:paraId="11F721F0" w14:textId="2AA8254C" w:rsidR="008F0C95" w:rsidRPr="00456F60" w:rsidRDefault="00595E42" w:rsidP="00BC4A38">
            <w:pPr>
              <w:ind w:left="0" w:firstLine="0"/>
              <w:rPr>
                <w:rFonts w:cs="Times New Roman"/>
                <w:sz w:val="20"/>
                <w:szCs w:val="20"/>
              </w:rPr>
            </w:pPr>
            <w:r>
              <w:rPr>
                <w:rFonts w:cs="Times New Roman"/>
                <w:sz w:val="20"/>
                <w:szCs w:val="20"/>
              </w:rPr>
              <w:t>18-69</w:t>
            </w:r>
          </w:p>
        </w:tc>
        <w:tc>
          <w:tcPr>
            <w:tcW w:w="1368" w:type="dxa"/>
            <w:tcBorders>
              <w:top w:val="nil"/>
              <w:left w:val="single" w:sz="4" w:space="0" w:color="auto"/>
              <w:bottom w:val="nil"/>
              <w:right w:val="nil"/>
            </w:tcBorders>
            <w:shd w:val="clear" w:color="auto" w:fill="FFFFFF" w:themeFill="background1"/>
          </w:tcPr>
          <w:p w14:paraId="50DDBFAD" w14:textId="77777777" w:rsidR="008F0C95" w:rsidRPr="00456F60" w:rsidRDefault="008F0C95"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660F3CFB" w14:textId="77777777" w:rsidR="008F0C95" w:rsidRPr="00456F60" w:rsidRDefault="008F0C95"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71A34558" w14:textId="77777777" w:rsidR="008F0C95" w:rsidRPr="00456F60" w:rsidRDefault="008F0C95" w:rsidP="00BC4A38">
            <w:pPr>
              <w:ind w:left="0" w:firstLine="0"/>
              <w:rPr>
                <w:rFonts w:cs="Times New Roman"/>
                <w:sz w:val="20"/>
                <w:szCs w:val="20"/>
              </w:rPr>
            </w:pPr>
          </w:p>
        </w:tc>
      </w:tr>
      <w:tr w:rsidR="00E120C8" w:rsidRPr="00456F60" w14:paraId="39110E44" w14:textId="77777777" w:rsidTr="235378E9">
        <w:tc>
          <w:tcPr>
            <w:tcW w:w="1555" w:type="dxa"/>
            <w:shd w:val="clear" w:color="auto" w:fill="000000" w:themeFill="text1"/>
          </w:tcPr>
          <w:p w14:paraId="11806D46" w14:textId="788A56E9" w:rsidR="008F0C95" w:rsidRPr="00595E42" w:rsidRDefault="00595E42" w:rsidP="00BC4A38">
            <w:pPr>
              <w:ind w:left="0" w:firstLine="0"/>
              <w:rPr>
                <w:rFonts w:cs="Times New Roman"/>
                <w:b/>
                <w:bCs/>
                <w:sz w:val="20"/>
                <w:szCs w:val="20"/>
              </w:rPr>
            </w:pPr>
            <w:r>
              <w:rPr>
                <w:rFonts w:cs="Times New Roman"/>
                <w:b/>
                <w:bCs/>
                <w:sz w:val="20"/>
                <w:szCs w:val="20"/>
              </w:rPr>
              <w:t>Gender</w:t>
            </w:r>
          </w:p>
        </w:tc>
        <w:tc>
          <w:tcPr>
            <w:tcW w:w="1559" w:type="dxa"/>
            <w:shd w:val="clear" w:color="auto" w:fill="000000" w:themeFill="text1"/>
          </w:tcPr>
          <w:p w14:paraId="06ECD0E1" w14:textId="087D34A5" w:rsidR="008F0C95" w:rsidRPr="00104ADD" w:rsidRDefault="00BE61B0" w:rsidP="00BC4A38">
            <w:pPr>
              <w:ind w:left="0" w:firstLine="0"/>
              <w:rPr>
                <w:rFonts w:cs="Times New Roman"/>
                <w:b/>
                <w:bCs/>
                <w:sz w:val="20"/>
                <w:szCs w:val="20"/>
              </w:rPr>
            </w:pPr>
            <w:r>
              <w:rPr>
                <w:rFonts w:cs="Times New Roman"/>
                <w:b/>
                <w:bCs/>
                <w:sz w:val="20"/>
                <w:szCs w:val="20"/>
              </w:rPr>
              <w:t>F</w:t>
            </w:r>
            <w:r w:rsidR="008C1214" w:rsidRPr="00104ADD">
              <w:rPr>
                <w:rFonts w:cs="Times New Roman"/>
                <w:b/>
                <w:bCs/>
                <w:sz w:val="20"/>
                <w:szCs w:val="20"/>
              </w:rPr>
              <w:t>emale</w:t>
            </w:r>
            <w:r>
              <w:rPr>
                <w:rFonts w:cs="Times New Roman"/>
                <w:b/>
                <w:bCs/>
                <w:sz w:val="20"/>
                <w:szCs w:val="20"/>
              </w:rPr>
              <w:t xml:space="preserve"> (n (%))</w:t>
            </w:r>
          </w:p>
        </w:tc>
        <w:tc>
          <w:tcPr>
            <w:tcW w:w="1559" w:type="dxa"/>
            <w:tcBorders>
              <w:right w:val="single" w:sz="4" w:space="0" w:color="auto"/>
            </w:tcBorders>
            <w:shd w:val="clear" w:color="auto" w:fill="000000" w:themeFill="text1"/>
          </w:tcPr>
          <w:p w14:paraId="527BD3DC" w14:textId="39DF59AD" w:rsidR="008F0C95" w:rsidRPr="00456F60" w:rsidRDefault="00513BD4" w:rsidP="00BC4A38">
            <w:pPr>
              <w:ind w:left="0" w:firstLine="0"/>
              <w:rPr>
                <w:rFonts w:cs="Times New Roman"/>
                <w:sz w:val="20"/>
                <w:szCs w:val="20"/>
              </w:rPr>
            </w:pPr>
            <w:r>
              <w:rPr>
                <w:rFonts w:cs="Times New Roman"/>
                <w:b/>
                <w:bCs/>
                <w:sz w:val="20"/>
                <w:szCs w:val="20"/>
              </w:rPr>
              <w:t>Male (n (%))</w:t>
            </w:r>
          </w:p>
        </w:tc>
        <w:tc>
          <w:tcPr>
            <w:tcW w:w="1368" w:type="dxa"/>
            <w:tcBorders>
              <w:top w:val="nil"/>
              <w:left w:val="single" w:sz="4" w:space="0" w:color="auto"/>
              <w:bottom w:val="nil"/>
              <w:right w:val="nil"/>
            </w:tcBorders>
            <w:shd w:val="clear" w:color="auto" w:fill="FFFFFF" w:themeFill="background1"/>
          </w:tcPr>
          <w:p w14:paraId="737B8FFC" w14:textId="77777777" w:rsidR="008F0C95" w:rsidRPr="00456F60" w:rsidRDefault="008F0C95"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664FBA6B" w14:textId="77777777" w:rsidR="008F0C95" w:rsidRPr="00456F60" w:rsidRDefault="008F0C95"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1BAF8F16" w14:textId="77777777" w:rsidR="008F0C95" w:rsidRPr="00456F60" w:rsidRDefault="008F0C95" w:rsidP="00BC4A38">
            <w:pPr>
              <w:ind w:left="0" w:firstLine="0"/>
              <w:rPr>
                <w:rFonts w:cs="Times New Roman"/>
                <w:sz w:val="20"/>
                <w:szCs w:val="20"/>
              </w:rPr>
            </w:pPr>
          </w:p>
        </w:tc>
      </w:tr>
      <w:tr w:rsidR="00E120C8" w:rsidRPr="00456F60" w14:paraId="35809356" w14:textId="77777777" w:rsidTr="235378E9">
        <w:tc>
          <w:tcPr>
            <w:tcW w:w="1555" w:type="dxa"/>
          </w:tcPr>
          <w:p w14:paraId="5E5D2749" w14:textId="3B5B9286" w:rsidR="002A78F2" w:rsidRPr="00456F60" w:rsidRDefault="002A78F2" w:rsidP="00BC4A38">
            <w:pPr>
              <w:ind w:left="0" w:firstLine="0"/>
              <w:rPr>
                <w:rFonts w:cs="Times New Roman"/>
                <w:sz w:val="20"/>
                <w:szCs w:val="20"/>
              </w:rPr>
            </w:pPr>
            <w:r w:rsidRPr="00456F60">
              <w:rPr>
                <w:rFonts w:cs="Times New Roman"/>
                <w:sz w:val="20"/>
                <w:szCs w:val="20"/>
              </w:rPr>
              <w:t>Present study</w:t>
            </w:r>
          </w:p>
        </w:tc>
        <w:tc>
          <w:tcPr>
            <w:tcW w:w="1559" w:type="dxa"/>
          </w:tcPr>
          <w:p w14:paraId="36B8FA88" w14:textId="2AEFE5C7" w:rsidR="002A78F2" w:rsidRPr="00456F60" w:rsidRDefault="00B521A4" w:rsidP="00BC4A38">
            <w:pPr>
              <w:ind w:left="0" w:firstLine="0"/>
              <w:rPr>
                <w:rFonts w:cs="Times New Roman"/>
                <w:sz w:val="20"/>
                <w:szCs w:val="20"/>
              </w:rPr>
            </w:pPr>
            <w:r>
              <w:rPr>
                <w:rFonts w:cs="Times New Roman"/>
                <w:sz w:val="20"/>
                <w:szCs w:val="20"/>
              </w:rPr>
              <w:t>66 (54.1%)</w:t>
            </w:r>
          </w:p>
        </w:tc>
        <w:tc>
          <w:tcPr>
            <w:tcW w:w="1559" w:type="dxa"/>
            <w:tcBorders>
              <w:right w:val="single" w:sz="4" w:space="0" w:color="auto"/>
            </w:tcBorders>
          </w:tcPr>
          <w:p w14:paraId="6ED0A890" w14:textId="3673781C" w:rsidR="002A78F2" w:rsidRPr="00456F60" w:rsidRDefault="008962E4" w:rsidP="00BC4A38">
            <w:pPr>
              <w:ind w:left="0" w:firstLine="0"/>
              <w:rPr>
                <w:rFonts w:cs="Times New Roman"/>
                <w:sz w:val="20"/>
                <w:szCs w:val="20"/>
              </w:rPr>
            </w:pPr>
            <w:r>
              <w:rPr>
                <w:rFonts w:cs="Times New Roman"/>
                <w:sz w:val="20"/>
                <w:szCs w:val="20"/>
              </w:rPr>
              <w:t>54 (44.3%)</w:t>
            </w:r>
          </w:p>
        </w:tc>
        <w:tc>
          <w:tcPr>
            <w:tcW w:w="1368" w:type="dxa"/>
            <w:tcBorders>
              <w:top w:val="nil"/>
              <w:left w:val="single" w:sz="4" w:space="0" w:color="auto"/>
              <w:bottom w:val="nil"/>
              <w:right w:val="nil"/>
            </w:tcBorders>
            <w:shd w:val="clear" w:color="auto" w:fill="FFFFFF" w:themeFill="background1"/>
          </w:tcPr>
          <w:p w14:paraId="55DF8489" w14:textId="77777777" w:rsidR="002A78F2" w:rsidRPr="00456F60" w:rsidRDefault="002A78F2"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7AEC6F15" w14:textId="77777777" w:rsidR="002A78F2" w:rsidRPr="00456F60" w:rsidRDefault="002A78F2"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5B6E675F" w14:textId="77777777" w:rsidR="002A78F2" w:rsidRPr="00456F60" w:rsidRDefault="002A78F2" w:rsidP="00BC4A38">
            <w:pPr>
              <w:ind w:left="0" w:firstLine="0"/>
              <w:rPr>
                <w:rFonts w:cs="Times New Roman"/>
                <w:sz w:val="20"/>
                <w:szCs w:val="20"/>
              </w:rPr>
            </w:pPr>
          </w:p>
        </w:tc>
      </w:tr>
      <w:tr w:rsidR="00E120C8" w:rsidRPr="00456F60" w14:paraId="381949B8" w14:textId="77777777" w:rsidTr="235378E9">
        <w:tc>
          <w:tcPr>
            <w:tcW w:w="1555" w:type="dxa"/>
          </w:tcPr>
          <w:p w14:paraId="20A10C55" w14:textId="4310F8BE" w:rsidR="002A78F2" w:rsidRPr="00456F60" w:rsidRDefault="002A78F2" w:rsidP="00BC4A38">
            <w:pPr>
              <w:ind w:left="0" w:firstLine="0"/>
              <w:rPr>
                <w:rFonts w:cs="Times New Roman"/>
                <w:sz w:val="20"/>
                <w:szCs w:val="20"/>
              </w:rPr>
            </w:pPr>
            <w:r>
              <w:rPr>
                <w:rFonts w:cs="Times New Roman"/>
                <w:sz w:val="20"/>
                <w:szCs w:val="20"/>
              </w:rPr>
              <w:t>Baldwin et al</w:t>
            </w:r>
          </w:p>
        </w:tc>
        <w:tc>
          <w:tcPr>
            <w:tcW w:w="1559" w:type="dxa"/>
          </w:tcPr>
          <w:p w14:paraId="5D62D44C" w14:textId="3047993D" w:rsidR="002A78F2" w:rsidRPr="00456F60" w:rsidRDefault="00995DAE" w:rsidP="00BC4A38">
            <w:pPr>
              <w:ind w:left="0" w:firstLine="0"/>
              <w:rPr>
                <w:rFonts w:cs="Times New Roman"/>
                <w:sz w:val="20"/>
                <w:szCs w:val="20"/>
              </w:rPr>
            </w:pPr>
            <w:r>
              <w:rPr>
                <w:rFonts w:cs="Times New Roman"/>
                <w:sz w:val="20"/>
                <w:szCs w:val="20"/>
              </w:rPr>
              <w:t>137 (</w:t>
            </w:r>
            <w:r w:rsidR="00A7486D">
              <w:rPr>
                <w:rFonts w:cs="Times New Roman"/>
                <w:sz w:val="20"/>
                <w:szCs w:val="20"/>
              </w:rPr>
              <w:t>76.5%)</w:t>
            </w:r>
          </w:p>
        </w:tc>
        <w:tc>
          <w:tcPr>
            <w:tcW w:w="1559" w:type="dxa"/>
            <w:tcBorders>
              <w:right w:val="single" w:sz="4" w:space="0" w:color="auto"/>
            </w:tcBorders>
          </w:tcPr>
          <w:p w14:paraId="015307BD" w14:textId="112C13C4" w:rsidR="002A78F2" w:rsidRPr="00456F60" w:rsidRDefault="00E120C8" w:rsidP="00BC4A38">
            <w:pPr>
              <w:ind w:left="0" w:firstLine="0"/>
              <w:rPr>
                <w:rFonts w:cs="Times New Roman"/>
                <w:sz w:val="20"/>
                <w:szCs w:val="20"/>
              </w:rPr>
            </w:pPr>
            <w:r>
              <w:rPr>
                <w:rFonts w:cs="Times New Roman"/>
                <w:sz w:val="20"/>
                <w:szCs w:val="20"/>
              </w:rPr>
              <w:t>42 (23.5%)</w:t>
            </w:r>
          </w:p>
        </w:tc>
        <w:tc>
          <w:tcPr>
            <w:tcW w:w="1368" w:type="dxa"/>
            <w:tcBorders>
              <w:top w:val="nil"/>
              <w:left w:val="single" w:sz="4" w:space="0" w:color="auto"/>
              <w:bottom w:val="nil"/>
              <w:right w:val="nil"/>
            </w:tcBorders>
            <w:shd w:val="clear" w:color="auto" w:fill="FFFFFF" w:themeFill="background1"/>
          </w:tcPr>
          <w:p w14:paraId="695C86DE" w14:textId="77777777" w:rsidR="002A78F2" w:rsidRPr="00456F60" w:rsidRDefault="002A78F2"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1DAEEF1C" w14:textId="77777777" w:rsidR="002A78F2" w:rsidRPr="00456F60" w:rsidRDefault="002A78F2"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5B17B8CC" w14:textId="77777777" w:rsidR="002A78F2" w:rsidRPr="00456F60" w:rsidRDefault="002A78F2" w:rsidP="00BC4A38">
            <w:pPr>
              <w:ind w:left="0" w:firstLine="0"/>
              <w:rPr>
                <w:rFonts w:cs="Times New Roman"/>
                <w:sz w:val="20"/>
                <w:szCs w:val="20"/>
              </w:rPr>
            </w:pPr>
          </w:p>
        </w:tc>
      </w:tr>
      <w:tr w:rsidR="001F12CD" w:rsidRPr="00456F60" w14:paraId="1B34980A" w14:textId="77777777" w:rsidTr="235378E9">
        <w:tc>
          <w:tcPr>
            <w:tcW w:w="1555" w:type="dxa"/>
            <w:shd w:val="clear" w:color="auto" w:fill="000000" w:themeFill="text1"/>
          </w:tcPr>
          <w:p w14:paraId="13870122" w14:textId="74BE6DDA" w:rsidR="00104ADD" w:rsidRPr="001F12CD" w:rsidRDefault="00104ADD" w:rsidP="00BC4A38">
            <w:pPr>
              <w:ind w:left="0" w:firstLine="0"/>
              <w:rPr>
                <w:rFonts w:cs="Times New Roman"/>
                <w:b/>
                <w:bCs/>
                <w:sz w:val="20"/>
                <w:szCs w:val="20"/>
              </w:rPr>
            </w:pPr>
            <w:r w:rsidRPr="001F12CD">
              <w:rPr>
                <w:rFonts w:cs="Times New Roman"/>
                <w:b/>
                <w:bCs/>
                <w:sz w:val="20"/>
                <w:szCs w:val="20"/>
              </w:rPr>
              <w:t>Ethnicity</w:t>
            </w:r>
          </w:p>
        </w:tc>
        <w:tc>
          <w:tcPr>
            <w:tcW w:w="1559" w:type="dxa"/>
            <w:shd w:val="clear" w:color="auto" w:fill="000000" w:themeFill="text1"/>
          </w:tcPr>
          <w:p w14:paraId="3D43429B" w14:textId="7C0FF2A1" w:rsidR="00104ADD" w:rsidRPr="001F12CD" w:rsidRDefault="00BE61B0" w:rsidP="00BC4A38">
            <w:pPr>
              <w:ind w:left="0" w:firstLine="0"/>
              <w:rPr>
                <w:rFonts w:cs="Times New Roman"/>
                <w:b/>
                <w:bCs/>
                <w:sz w:val="18"/>
                <w:szCs w:val="18"/>
              </w:rPr>
            </w:pPr>
            <w:r w:rsidRPr="001F12CD">
              <w:rPr>
                <w:rFonts w:cs="Times New Roman"/>
                <w:b/>
                <w:bCs/>
                <w:sz w:val="18"/>
                <w:szCs w:val="18"/>
              </w:rPr>
              <w:t>White (n (%))</w:t>
            </w:r>
          </w:p>
        </w:tc>
        <w:tc>
          <w:tcPr>
            <w:tcW w:w="1559" w:type="dxa"/>
            <w:shd w:val="clear" w:color="auto" w:fill="000000" w:themeFill="text1"/>
          </w:tcPr>
          <w:p w14:paraId="585EFFDB" w14:textId="2B8BD86C" w:rsidR="00104ADD" w:rsidRPr="001F12CD" w:rsidRDefault="00111F30" w:rsidP="00BC4A38">
            <w:pPr>
              <w:ind w:left="0" w:firstLine="0"/>
              <w:rPr>
                <w:rFonts w:cs="Times New Roman"/>
                <w:b/>
                <w:bCs/>
                <w:sz w:val="18"/>
                <w:szCs w:val="18"/>
              </w:rPr>
            </w:pPr>
            <w:r w:rsidRPr="001F12CD">
              <w:rPr>
                <w:rFonts w:cs="Times New Roman"/>
                <w:b/>
                <w:bCs/>
                <w:sz w:val="18"/>
                <w:szCs w:val="18"/>
              </w:rPr>
              <w:t>Black</w:t>
            </w:r>
            <w:r w:rsidR="001F12CD" w:rsidRPr="001F12CD">
              <w:rPr>
                <w:rFonts w:cs="Times New Roman"/>
                <w:b/>
                <w:bCs/>
                <w:sz w:val="18"/>
                <w:szCs w:val="18"/>
              </w:rPr>
              <w:t xml:space="preserve"> (n (%))</w:t>
            </w:r>
          </w:p>
        </w:tc>
        <w:tc>
          <w:tcPr>
            <w:tcW w:w="1368" w:type="dxa"/>
            <w:tcBorders>
              <w:top w:val="nil"/>
            </w:tcBorders>
            <w:shd w:val="clear" w:color="auto" w:fill="000000" w:themeFill="text1"/>
          </w:tcPr>
          <w:p w14:paraId="4F8A4A20" w14:textId="58370A1A" w:rsidR="00104ADD" w:rsidRPr="001F12CD" w:rsidRDefault="00FF52F0" w:rsidP="00BC4A38">
            <w:pPr>
              <w:ind w:left="0" w:firstLine="0"/>
              <w:rPr>
                <w:rFonts w:cs="Times New Roman"/>
                <w:b/>
                <w:bCs/>
                <w:sz w:val="18"/>
                <w:szCs w:val="18"/>
              </w:rPr>
            </w:pPr>
            <w:r w:rsidRPr="001F12CD">
              <w:rPr>
                <w:rFonts w:cs="Times New Roman"/>
                <w:b/>
                <w:bCs/>
                <w:sz w:val="18"/>
                <w:szCs w:val="18"/>
              </w:rPr>
              <w:t>Asian</w:t>
            </w:r>
            <w:r w:rsidR="001F12CD" w:rsidRPr="001F12CD">
              <w:rPr>
                <w:rFonts w:cs="Times New Roman"/>
                <w:b/>
                <w:bCs/>
                <w:sz w:val="18"/>
                <w:szCs w:val="18"/>
              </w:rPr>
              <w:t xml:space="preserve"> (n (%))</w:t>
            </w:r>
          </w:p>
        </w:tc>
        <w:tc>
          <w:tcPr>
            <w:tcW w:w="1490" w:type="dxa"/>
            <w:tcBorders>
              <w:top w:val="nil"/>
            </w:tcBorders>
            <w:shd w:val="clear" w:color="auto" w:fill="000000" w:themeFill="text1"/>
          </w:tcPr>
          <w:p w14:paraId="074A981A" w14:textId="4BF9F2D5" w:rsidR="00104ADD" w:rsidRPr="001F12CD" w:rsidRDefault="00FF52F0" w:rsidP="00BC4A38">
            <w:pPr>
              <w:ind w:left="0" w:firstLine="0"/>
              <w:rPr>
                <w:rFonts w:cs="Times New Roman"/>
                <w:b/>
                <w:bCs/>
                <w:sz w:val="18"/>
                <w:szCs w:val="18"/>
              </w:rPr>
            </w:pPr>
            <w:r w:rsidRPr="001F12CD">
              <w:rPr>
                <w:rFonts w:cs="Times New Roman"/>
                <w:b/>
                <w:bCs/>
                <w:sz w:val="18"/>
                <w:szCs w:val="18"/>
              </w:rPr>
              <w:t>Mixed/Multiple</w:t>
            </w:r>
            <w:r w:rsidR="001F12CD" w:rsidRPr="001F12CD">
              <w:rPr>
                <w:rFonts w:cs="Times New Roman"/>
                <w:b/>
                <w:bCs/>
                <w:sz w:val="18"/>
                <w:szCs w:val="18"/>
              </w:rPr>
              <w:t xml:space="preserve"> (n (%))</w:t>
            </w:r>
          </w:p>
        </w:tc>
        <w:tc>
          <w:tcPr>
            <w:tcW w:w="1490" w:type="dxa"/>
            <w:tcBorders>
              <w:top w:val="nil"/>
            </w:tcBorders>
            <w:shd w:val="clear" w:color="auto" w:fill="000000" w:themeFill="text1"/>
          </w:tcPr>
          <w:p w14:paraId="53B9D531" w14:textId="5D519F93" w:rsidR="00104ADD" w:rsidRPr="001F12CD" w:rsidRDefault="00FF52F0" w:rsidP="00BC4A38">
            <w:pPr>
              <w:ind w:left="0" w:firstLine="0"/>
              <w:rPr>
                <w:rFonts w:cs="Times New Roman"/>
                <w:b/>
                <w:bCs/>
                <w:sz w:val="18"/>
                <w:szCs w:val="18"/>
              </w:rPr>
            </w:pPr>
            <w:r w:rsidRPr="001F12CD">
              <w:rPr>
                <w:rFonts w:cs="Times New Roman"/>
                <w:b/>
                <w:bCs/>
                <w:sz w:val="18"/>
                <w:szCs w:val="18"/>
              </w:rPr>
              <w:t>Other</w:t>
            </w:r>
            <w:r w:rsidR="001F12CD" w:rsidRPr="001F12CD">
              <w:rPr>
                <w:rFonts w:cs="Times New Roman"/>
                <w:b/>
                <w:bCs/>
                <w:sz w:val="18"/>
                <w:szCs w:val="18"/>
              </w:rPr>
              <w:t xml:space="preserve"> (n (%))</w:t>
            </w:r>
          </w:p>
        </w:tc>
      </w:tr>
      <w:tr w:rsidR="001F12CD" w:rsidRPr="00456F60" w14:paraId="16080F0C" w14:textId="77777777" w:rsidTr="235378E9">
        <w:tc>
          <w:tcPr>
            <w:tcW w:w="1555" w:type="dxa"/>
          </w:tcPr>
          <w:p w14:paraId="64BEAFDB" w14:textId="375A666B" w:rsidR="00104ADD" w:rsidRPr="00A609E4" w:rsidRDefault="00E031A7" w:rsidP="00BC4A38">
            <w:pPr>
              <w:ind w:left="0" w:firstLine="0"/>
              <w:rPr>
                <w:rFonts w:cs="Times New Roman"/>
                <w:sz w:val="20"/>
                <w:szCs w:val="20"/>
              </w:rPr>
            </w:pPr>
            <w:r w:rsidRPr="00A609E4">
              <w:rPr>
                <w:rFonts w:cs="Times New Roman"/>
                <w:sz w:val="20"/>
                <w:szCs w:val="20"/>
              </w:rPr>
              <w:t>Baldwin et al</w:t>
            </w:r>
          </w:p>
        </w:tc>
        <w:tc>
          <w:tcPr>
            <w:tcW w:w="1559" w:type="dxa"/>
          </w:tcPr>
          <w:p w14:paraId="026D4645" w14:textId="21D66029" w:rsidR="00104ADD" w:rsidRPr="00A609E4" w:rsidRDefault="00D8402F" w:rsidP="00BC4A38">
            <w:pPr>
              <w:ind w:left="0" w:firstLine="0"/>
              <w:rPr>
                <w:rFonts w:cs="Times New Roman"/>
                <w:sz w:val="20"/>
                <w:szCs w:val="20"/>
              </w:rPr>
            </w:pPr>
            <w:r w:rsidRPr="00A609E4">
              <w:rPr>
                <w:rFonts w:cs="Times New Roman"/>
                <w:sz w:val="20"/>
                <w:szCs w:val="20"/>
              </w:rPr>
              <w:t>151 (84.4%)</w:t>
            </w:r>
          </w:p>
        </w:tc>
        <w:tc>
          <w:tcPr>
            <w:tcW w:w="1559" w:type="dxa"/>
          </w:tcPr>
          <w:p w14:paraId="352D7326" w14:textId="54E76282" w:rsidR="00104ADD" w:rsidRPr="00456F60" w:rsidRDefault="00D8402F" w:rsidP="00BC4A38">
            <w:pPr>
              <w:ind w:left="0" w:firstLine="0"/>
              <w:rPr>
                <w:rFonts w:cs="Times New Roman"/>
                <w:sz w:val="20"/>
                <w:szCs w:val="20"/>
              </w:rPr>
            </w:pPr>
            <w:r>
              <w:rPr>
                <w:rFonts w:cs="Times New Roman"/>
                <w:sz w:val="20"/>
                <w:szCs w:val="20"/>
              </w:rPr>
              <w:t>3 (1.7%)</w:t>
            </w:r>
          </w:p>
        </w:tc>
        <w:tc>
          <w:tcPr>
            <w:tcW w:w="1368" w:type="dxa"/>
          </w:tcPr>
          <w:p w14:paraId="2BA7477C" w14:textId="67756671" w:rsidR="00104ADD" w:rsidRPr="00456F60" w:rsidRDefault="00D8402F" w:rsidP="00BC4A38">
            <w:pPr>
              <w:ind w:left="0" w:firstLine="0"/>
              <w:rPr>
                <w:rFonts w:cs="Times New Roman"/>
                <w:sz w:val="20"/>
                <w:szCs w:val="20"/>
              </w:rPr>
            </w:pPr>
            <w:r>
              <w:rPr>
                <w:rFonts w:cs="Times New Roman"/>
                <w:sz w:val="20"/>
                <w:szCs w:val="20"/>
              </w:rPr>
              <w:t>15 (8.4%)</w:t>
            </w:r>
          </w:p>
        </w:tc>
        <w:tc>
          <w:tcPr>
            <w:tcW w:w="1490" w:type="dxa"/>
          </w:tcPr>
          <w:p w14:paraId="4B6E1FE3" w14:textId="143E167A" w:rsidR="00104ADD" w:rsidRPr="00456F60" w:rsidRDefault="00D8402F" w:rsidP="00BC4A38">
            <w:pPr>
              <w:ind w:left="0" w:firstLine="0"/>
              <w:rPr>
                <w:rFonts w:cs="Times New Roman"/>
                <w:sz w:val="20"/>
                <w:szCs w:val="20"/>
              </w:rPr>
            </w:pPr>
            <w:r>
              <w:rPr>
                <w:rFonts w:cs="Times New Roman"/>
                <w:sz w:val="20"/>
                <w:szCs w:val="20"/>
              </w:rPr>
              <w:t>7 (3.9%)</w:t>
            </w:r>
          </w:p>
        </w:tc>
        <w:tc>
          <w:tcPr>
            <w:tcW w:w="1490" w:type="dxa"/>
          </w:tcPr>
          <w:p w14:paraId="5ACA1803" w14:textId="58B939C2" w:rsidR="00104ADD" w:rsidRPr="00456F60" w:rsidRDefault="00D8402F" w:rsidP="00BC4A38">
            <w:pPr>
              <w:ind w:left="0" w:firstLine="0"/>
              <w:rPr>
                <w:rFonts w:cs="Times New Roman"/>
                <w:sz w:val="20"/>
                <w:szCs w:val="20"/>
              </w:rPr>
            </w:pPr>
            <w:r>
              <w:rPr>
                <w:rFonts w:cs="Times New Roman"/>
                <w:sz w:val="20"/>
                <w:szCs w:val="20"/>
              </w:rPr>
              <w:t>2 (1.1%)</w:t>
            </w:r>
          </w:p>
        </w:tc>
      </w:tr>
      <w:tr w:rsidR="001F12CD" w:rsidRPr="00456F60" w14:paraId="24DA7CED" w14:textId="77777777" w:rsidTr="235378E9">
        <w:tc>
          <w:tcPr>
            <w:tcW w:w="1555" w:type="dxa"/>
          </w:tcPr>
          <w:p w14:paraId="28EF0B55" w14:textId="50778AA2" w:rsidR="00104ADD" w:rsidRPr="00A609E4" w:rsidRDefault="00E031A7" w:rsidP="00BC4A38">
            <w:pPr>
              <w:ind w:left="0" w:firstLine="0"/>
              <w:rPr>
                <w:rFonts w:cs="Times New Roman"/>
                <w:sz w:val="20"/>
                <w:szCs w:val="20"/>
              </w:rPr>
            </w:pPr>
            <w:r w:rsidRPr="00A609E4">
              <w:rPr>
                <w:rFonts w:cs="Times New Roman"/>
                <w:sz w:val="20"/>
                <w:szCs w:val="20"/>
              </w:rPr>
              <w:t>Pres</w:t>
            </w:r>
            <w:r w:rsidR="00E120C8" w:rsidRPr="00A609E4">
              <w:rPr>
                <w:rFonts w:cs="Times New Roman"/>
                <w:sz w:val="20"/>
                <w:szCs w:val="20"/>
              </w:rPr>
              <w:t>e</w:t>
            </w:r>
            <w:r w:rsidRPr="00A609E4">
              <w:rPr>
                <w:rFonts w:cs="Times New Roman"/>
                <w:sz w:val="20"/>
                <w:szCs w:val="20"/>
              </w:rPr>
              <w:t>nt Study</w:t>
            </w:r>
          </w:p>
        </w:tc>
        <w:tc>
          <w:tcPr>
            <w:tcW w:w="1559" w:type="dxa"/>
          </w:tcPr>
          <w:p w14:paraId="75927D4A" w14:textId="085C9AA6" w:rsidR="00104ADD" w:rsidRPr="00A609E4" w:rsidRDefault="00E031A7" w:rsidP="00BC4A38">
            <w:pPr>
              <w:ind w:left="0" w:firstLine="0"/>
              <w:rPr>
                <w:rFonts w:cs="Times New Roman"/>
                <w:sz w:val="20"/>
                <w:szCs w:val="20"/>
              </w:rPr>
            </w:pPr>
            <w:r w:rsidRPr="00A609E4">
              <w:rPr>
                <w:rFonts w:cs="Times New Roman"/>
                <w:sz w:val="20"/>
                <w:szCs w:val="20"/>
              </w:rPr>
              <w:t>83 (68.0%)</w:t>
            </w:r>
          </w:p>
        </w:tc>
        <w:tc>
          <w:tcPr>
            <w:tcW w:w="1559" w:type="dxa"/>
          </w:tcPr>
          <w:p w14:paraId="0FDD6FAE" w14:textId="701E453F" w:rsidR="00104ADD" w:rsidRPr="00456F60" w:rsidRDefault="00E031A7" w:rsidP="00BC4A38">
            <w:pPr>
              <w:ind w:left="0" w:firstLine="0"/>
              <w:rPr>
                <w:rFonts w:cs="Times New Roman"/>
                <w:sz w:val="20"/>
                <w:szCs w:val="20"/>
              </w:rPr>
            </w:pPr>
            <w:r>
              <w:rPr>
                <w:rFonts w:cs="Times New Roman"/>
                <w:sz w:val="20"/>
                <w:szCs w:val="20"/>
              </w:rPr>
              <w:t>13 (10.6%)</w:t>
            </w:r>
          </w:p>
        </w:tc>
        <w:tc>
          <w:tcPr>
            <w:tcW w:w="1368" w:type="dxa"/>
          </w:tcPr>
          <w:p w14:paraId="3D1219FD" w14:textId="30939907" w:rsidR="00104ADD" w:rsidRPr="00456F60" w:rsidRDefault="00E031A7" w:rsidP="00BC4A38">
            <w:pPr>
              <w:ind w:left="0" w:firstLine="0"/>
              <w:rPr>
                <w:rFonts w:cs="Times New Roman"/>
                <w:sz w:val="20"/>
                <w:szCs w:val="20"/>
              </w:rPr>
            </w:pPr>
            <w:r>
              <w:rPr>
                <w:rFonts w:cs="Times New Roman"/>
                <w:sz w:val="20"/>
                <w:szCs w:val="20"/>
              </w:rPr>
              <w:t>15 (12.3%)</w:t>
            </w:r>
          </w:p>
        </w:tc>
        <w:tc>
          <w:tcPr>
            <w:tcW w:w="1490" w:type="dxa"/>
          </w:tcPr>
          <w:p w14:paraId="7A7BC617" w14:textId="0052EDCF" w:rsidR="00104ADD" w:rsidRPr="00456F60" w:rsidRDefault="001F12CD" w:rsidP="00BC4A38">
            <w:pPr>
              <w:ind w:left="0" w:firstLine="0"/>
              <w:rPr>
                <w:rFonts w:cs="Times New Roman"/>
                <w:sz w:val="20"/>
                <w:szCs w:val="20"/>
              </w:rPr>
            </w:pPr>
            <w:r>
              <w:rPr>
                <w:rFonts w:cs="Times New Roman"/>
                <w:sz w:val="20"/>
                <w:szCs w:val="20"/>
              </w:rPr>
              <w:t>9 (7.4%)</w:t>
            </w:r>
          </w:p>
        </w:tc>
        <w:tc>
          <w:tcPr>
            <w:tcW w:w="1490" w:type="dxa"/>
            <w:tcBorders>
              <w:bottom w:val="single" w:sz="4" w:space="0" w:color="auto"/>
            </w:tcBorders>
          </w:tcPr>
          <w:p w14:paraId="796B4F9F" w14:textId="39AA364C" w:rsidR="00104ADD" w:rsidRPr="00456F60" w:rsidRDefault="001F12CD" w:rsidP="00BC4A38">
            <w:pPr>
              <w:ind w:left="0" w:firstLine="0"/>
              <w:rPr>
                <w:rFonts w:cs="Times New Roman"/>
                <w:sz w:val="20"/>
                <w:szCs w:val="20"/>
              </w:rPr>
            </w:pPr>
            <w:r>
              <w:rPr>
                <w:rFonts w:cs="Times New Roman"/>
                <w:sz w:val="20"/>
                <w:szCs w:val="20"/>
              </w:rPr>
              <w:t>2 (1.6%)</w:t>
            </w:r>
          </w:p>
        </w:tc>
      </w:tr>
      <w:tr w:rsidR="00E120C8" w:rsidRPr="00456F60" w14:paraId="28C3550D" w14:textId="77777777" w:rsidTr="235378E9">
        <w:tc>
          <w:tcPr>
            <w:tcW w:w="1555" w:type="dxa"/>
            <w:shd w:val="clear" w:color="auto" w:fill="000000" w:themeFill="text1"/>
          </w:tcPr>
          <w:p w14:paraId="3A4469C7" w14:textId="13DC3221" w:rsidR="00E120C8" w:rsidRPr="00A609E4" w:rsidRDefault="00A63CEE" w:rsidP="00BC4A38">
            <w:pPr>
              <w:ind w:left="0" w:firstLine="0"/>
              <w:rPr>
                <w:rFonts w:cs="Times New Roman"/>
                <w:b/>
                <w:bCs/>
                <w:sz w:val="18"/>
                <w:szCs w:val="18"/>
              </w:rPr>
            </w:pPr>
            <w:r w:rsidRPr="00A609E4">
              <w:rPr>
                <w:rFonts w:cs="Times New Roman"/>
                <w:b/>
                <w:bCs/>
                <w:sz w:val="18"/>
                <w:szCs w:val="18"/>
              </w:rPr>
              <w:t>Professional status</w:t>
            </w:r>
          </w:p>
        </w:tc>
        <w:tc>
          <w:tcPr>
            <w:tcW w:w="1559" w:type="dxa"/>
            <w:shd w:val="clear" w:color="auto" w:fill="000000" w:themeFill="text1"/>
          </w:tcPr>
          <w:p w14:paraId="6D9AD314" w14:textId="6B7B3B43" w:rsidR="00E120C8" w:rsidRPr="00A609E4" w:rsidRDefault="00A63CEE" w:rsidP="00BC4A38">
            <w:pPr>
              <w:ind w:left="0" w:firstLine="0"/>
              <w:rPr>
                <w:rFonts w:cs="Times New Roman"/>
                <w:b/>
                <w:bCs/>
                <w:sz w:val="18"/>
                <w:szCs w:val="18"/>
              </w:rPr>
            </w:pPr>
            <w:r w:rsidRPr="00A609E4">
              <w:rPr>
                <w:rFonts w:cs="Times New Roman"/>
                <w:b/>
                <w:bCs/>
                <w:sz w:val="18"/>
                <w:szCs w:val="18"/>
              </w:rPr>
              <w:t>Barrister, Judge or Solicitor</w:t>
            </w:r>
          </w:p>
        </w:tc>
        <w:tc>
          <w:tcPr>
            <w:tcW w:w="1559" w:type="dxa"/>
            <w:shd w:val="clear" w:color="auto" w:fill="000000" w:themeFill="text1"/>
          </w:tcPr>
          <w:p w14:paraId="67A093A9" w14:textId="4D720919" w:rsidR="00E120C8" w:rsidRPr="00A609E4" w:rsidRDefault="00713810" w:rsidP="00BC4A38">
            <w:pPr>
              <w:ind w:left="0" w:firstLine="0"/>
              <w:rPr>
                <w:rFonts w:cs="Times New Roman"/>
                <w:b/>
                <w:bCs/>
                <w:sz w:val="18"/>
                <w:szCs w:val="18"/>
              </w:rPr>
            </w:pPr>
            <w:r w:rsidRPr="00A609E4">
              <w:rPr>
                <w:rFonts w:cs="Times New Roman"/>
                <w:b/>
                <w:bCs/>
                <w:sz w:val="18"/>
                <w:szCs w:val="18"/>
              </w:rPr>
              <w:t>Law student</w:t>
            </w:r>
          </w:p>
        </w:tc>
        <w:tc>
          <w:tcPr>
            <w:tcW w:w="1368" w:type="dxa"/>
            <w:shd w:val="clear" w:color="auto" w:fill="000000" w:themeFill="text1"/>
          </w:tcPr>
          <w:p w14:paraId="164D9BBB" w14:textId="0B755C21" w:rsidR="00E120C8" w:rsidRPr="00A609E4" w:rsidRDefault="00713810" w:rsidP="00BC4A38">
            <w:pPr>
              <w:ind w:left="0" w:firstLine="0"/>
              <w:rPr>
                <w:rFonts w:cs="Times New Roman"/>
                <w:b/>
                <w:bCs/>
                <w:sz w:val="18"/>
                <w:szCs w:val="18"/>
              </w:rPr>
            </w:pPr>
            <w:r w:rsidRPr="00A609E4">
              <w:rPr>
                <w:rFonts w:cs="Times New Roman"/>
                <w:b/>
                <w:bCs/>
                <w:sz w:val="18"/>
                <w:szCs w:val="18"/>
              </w:rPr>
              <w:t>Other Legal Professionals</w:t>
            </w:r>
          </w:p>
        </w:tc>
        <w:tc>
          <w:tcPr>
            <w:tcW w:w="1490" w:type="dxa"/>
            <w:tcBorders>
              <w:right w:val="single" w:sz="4" w:space="0" w:color="auto"/>
            </w:tcBorders>
            <w:shd w:val="clear" w:color="auto" w:fill="000000" w:themeFill="text1"/>
          </w:tcPr>
          <w:p w14:paraId="3A5C0689" w14:textId="045B7C8A" w:rsidR="00E120C8" w:rsidRPr="00A609E4" w:rsidRDefault="00713810" w:rsidP="00BC4A38">
            <w:pPr>
              <w:ind w:left="0" w:firstLine="0"/>
              <w:rPr>
                <w:rFonts w:cs="Times New Roman"/>
                <w:b/>
                <w:bCs/>
                <w:sz w:val="18"/>
                <w:szCs w:val="18"/>
              </w:rPr>
            </w:pPr>
            <w:r w:rsidRPr="00A609E4">
              <w:rPr>
                <w:rFonts w:cs="Times New Roman"/>
                <w:b/>
                <w:bCs/>
                <w:sz w:val="18"/>
                <w:szCs w:val="18"/>
              </w:rPr>
              <w:t>Other Non-Legal Professionals</w:t>
            </w:r>
          </w:p>
        </w:tc>
        <w:tc>
          <w:tcPr>
            <w:tcW w:w="1490" w:type="dxa"/>
            <w:tcBorders>
              <w:top w:val="single" w:sz="4" w:space="0" w:color="auto"/>
              <w:left w:val="single" w:sz="4" w:space="0" w:color="auto"/>
              <w:bottom w:val="nil"/>
              <w:right w:val="nil"/>
            </w:tcBorders>
            <w:shd w:val="clear" w:color="auto" w:fill="FFFFFF" w:themeFill="background1"/>
          </w:tcPr>
          <w:p w14:paraId="7773990C" w14:textId="77777777" w:rsidR="00E120C8" w:rsidRPr="00A609E4" w:rsidRDefault="00E120C8" w:rsidP="00BC4A38">
            <w:pPr>
              <w:ind w:left="0" w:firstLine="0"/>
              <w:rPr>
                <w:rFonts w:cs="Times New Roman"/>
                <w:b/>
                <w:bCs/>
                <w:sz w:val="18"/>
                <w:szCs w:val="18"/>
              </w:rPr>
            </w:pPr>
          </w:p>
        </w:tc>
      </w:tr>
      <w:tr w:rsidR="00295C67" w:rsidRPr="00456F60" w14:paraId="73797774" w14:textId="77777777" w:rsidTr="235378E9">
        <w:tc>
          <w:tcPr>
            <w:tcW w:w="1555" w:type="dxa"/>
          </w:tcPr>
          <w:p w14:paraId="5DD8D00F" w14:textId="5386EB45" w:rsidR="00295C67" w:rsidRPr="00A609E4" w:rsidRDefault="00295C67" w:rsidP="00BC4A38">
            <w:pPr>
              <w:ind w:left="0" w:firstLine="0"/>
              <w:rPr>
                <w:rFonts w:cs="Times New Roman"/>
                <w:sz w:val="20"/>
                <w:szCs w:val="20"/>
              </w:rPr>
            </w:pPr>
            <w:r w:rsidRPr="00A609E4">
              <w:rPr>
                <w:rFonts w:cs="Times New Roman"/>
                <w:sz w:val="20"/>
                <w:szCs w:val="20"/>
              </w:rPr>
              <w:t>Present study</w:t>
            </w:r>
          </w:p>
        </w:tc>
        <w:tc>
          <w:tcPr>
            <w:tcW w:w="1559" w:type="dxa"/>
          </w:tcPr>
          <w:p w14:paraId="61B2B7BF" w14:textId="329C0BD3" w:rsidR="00295C67" w:rsidRPr="00A609E4" w:rsidRDefault="00610EF9" w:rsidP="00BC4A38">
            <w:pPr>
              <w:ind w:left="0" w:firstLine="0"/>
              <w:rPr>
                <w:rFonts w:cs="Times New Roman"/>
                <w:sz w:val="20"/>
                <w:szCs w:val="20"/>
              </w:rPr>
            </w:pPr>
            <w:r w:rsidRPr="00A609E4">
              <w:rPr>
                <w:rFonts w:cs="Times New Roman"/>
                <w:sz w:val="20"/>
                <w:szCs w:val="20"/>
              </w:rPr>
              <w:t>22 (18.1%)</w:t>
            </w:r>
          </w:p>
        </w:tc>
        <w:tc>
          <w:tcPr>
            <w:tcW w:w="1559" w:type="dxa"/>
          </w:tcPr>
          <w:p w14:paraId="20401499" w14:textId="15B37E1D" w:rsidR="00295C67" w:rsidRPr="00A609E4" w:rsidRDefault="001413AD" w:rsidP="00BC4A38">
            <w:pPr>
              <w:ind w:left="0" w:firstLine="0"/>
              <w:rPr>
                <w:rFonts w:cs="Times New Roman"/>
                <w:sz w:val="20"/>
                <w:szCs w:val="20"/>
              </w:rPr>
            </w:pPr>
            <w:r w:rsidRPr="00A609E4">
              <w:rPr>
                <w:rFonts w:cs="Times New Roman"/>
                <w:sz w:val="20"/>
                <w:szCs w:val="20"/>
              </w:rPr>
              <w:t>38 (</w:t>
            </w:r>
            <w:r w:rsidR="00E82975" w:rsidRPr="00A609E4">
              <w:rPr>
                <w:rFonts w:cs="Times New Roman"/>
                <w:sz w:val="20"/>
                <w:szCs w:val="20"/>
              </w:rPr>
              <w:t>31.2%)</w:t>
            </w:r>
          </w:p>
        </w:tc>
        <w:tc>
          <w:tcPr>
            <w:tcW w:w="1368" w:type="dxa"/>
          </w:tcPr>
          <w:p w14:paraId="5562EEDF" w14:textId="49851279" w:rsidR="00295C67" w:rsidRPr="00A609E4" w:rsidRDefault="235378E9" w:rsidP="00BC4A38">
            <w:pPr>
              <w:ind w:left="0" w:firstLine="0"/>
              <w:rPr>
                <w:rFonts w:cs="Times New Roman"/>
                <w:sz w:val="20"/>
                <w:szCs w:val="20"/>
              </w:rPr>
            </w:pPr>
            <w:r w:rsidRPr="235378E9">
              <w:rPr>
                <w:rFonts w:cs="Times New Roman"/>
                <w:sz w:val="20"/>
                <w:szCs w:val="20"/>
              </w:rPr>
              <w:t>22 (18.0</w:t>
            </w:r>
            <w:proofErr w:type="gramStart"/>
            <w:r w:rsidRPr="235378E9">
              <w:rPr>
                <w:rFonts w:cs="Times New Roman"/>
                <w:sz w:val="20"/>
                <w:szCs w:val="20"/>
              </w:rPr>
              <w:t>%)*</w:t>
            </w:r>
            <w:proofErr w:type="gramEnd"/>
          </w:p>
        </w:tc>
        <w:tc>
          <w:tcPr>
            <w:tcW w:w="1490" w:type="dxa"/>
            <w:tcBorders>
              <w:right w:val="single" w:sz="4" w:space="0" w:color="auto"/>
            </w:tcBorders>
          </w:tcPr>
          <w:p w14:paraId="4F72D12E" w14:textId="56807DAC" w:rsidR="00295C67" w:rsidRPr="00A609E4" w:rsidRDefault="00FB136C" w:rsidP="00BC4A38">
            <w:pPr>
              <w:ind w:left="0" w:firstLine="0"/>
              <w:rPr>
                <w:rFonts w:cs="Times New Roman"/>
                <w:sz w:val="20"/>
                <w:szCs w:val="20"/>
              </w:rPr>
            </w:pPr>
            <w:r>
              <w:rPr>
                <w:rFonts w:cs="Times New Roman"/>
                <w:sz w:val="20"/>
                <w:szCs w:val="20"/>
              </w:rPr>
              <w:t>40</w:t>
            </w:r>
            <w:r w:rsidR="00E82975" w:rsidRPr="00A609E4">
              <w:rPr>
                <w:rFonts w:cs="Times New Roman"/>
                <w:sz w:val="20"/>
                <w:szCs w:val="20"/>
              </w:rPr>
              <w:t xml:space="preserve"> (</w:t>
            </w:r>
            <w:r>
              <w:rPr>
                <w:rFonts w:cs="Times New Roman"/>
                <w:sz w:val="20"/>
                <w:szCs w:val="20"/>
              </w:rPr>
              <w:t>32</w:t>
            </w:r>
            <w:r w:rsidR="00E82975" w:rsidRPr="00A609E4">
              <w:rPr>
                <w:rFonts w:cs="Times New Roman"/>
                <w:sz w:val="20"/>
                <w:szCs w:val="20"/>
              </w:rPr>
              <w:t>.</w:t>
            </w:r>
            <w:r>
              <w:rPr>
                <w:rFonts w:cs="Times New Roman"/>
                <w:sz w:val="20"/>
                <w:szCs w:val="20"/>
              </w:rPr>
              <w:t>8</w:t>
            </w:r>
            <w:proofErr w:type="gramStart"/>
            <w:r w:rsidR="00E82975" w:rsidRPr="00A609E4">
              <w:rPr>
                <w:rFonts w:cs="Times New Roman"/>
                <w:sz w:val="20"/>
                <w:szCs w:val="20"/>
              </w:rPr>
              <w:t>%)</w:t>
            </w:r>
            <w:r w:rsidR="005D2CDC">
              <w:rPr>
                <w:rFonts w:cs="Times New Roman"/>
                <w:sz w:val="20"/>
                <w:szCs w:val="20"/>
              </w:rPr>
              <w:t>*</w:t>
            </w:r>
            <w:proofErr w:type="gramEnd"/>
            <w:r w:rsidR="005D2CDC">
              <w:rPr>
                <w:rFonts w:cs="Times New Roman"/>
                <w:sz w:val="20"/>
                <w:szCs w:val="20"/>
              </w:rPr>
              <w:t>*</w:t>
            </w:r>
          </w:p>
        </w:tc>
        <w:tc>
          <w:tcPr>
            <w:tcW w:w="1490" w:type="dxa"/>
            <w:tcBorders>
              <w:top w:val="nil"/>
              <w:left w:val="single" w:sz="4" w:space="0" w:color="auto"/>
              <w:bottom w:val="nil"/>
              <w:right w:val="nil"/>
            </w:tcBorders>
            <w:shd w:val="clear" w:color="auto" w:fill="FFFFFF" w:themeFill="background1"/>
          </w:tcPr>
          <w:p w14:paraId="02CFA855" w14:textId="77777777" w:rsidR="00295C67" w:rsidRPr="00A609E4" w:rsidRDefault="00295C67" w:rsidP="00BC4A38">
            <w:pPr>
              <w:ind w:left="0" w:firstLine="0"/>
              <w:rPr>
                <w:rFonts w:cs="Times New Roman"/>
                <w:sz w:val="20"/>
                <w:szCs w:val="20"/>
              </w:rPr>
            </w:pPr>
          </w:p>
        </w:tc>
      </w:tr>
      <w:tr w:rsidR="00295C67" w:rsidRPr="00456F60" w14:paraId="18BD36EA" w14:textId="77777777" w:rsidTr="235378E9">
        <w:tc>
          <w:tcPr>
            <w:tcW w:w="1555" w:type="dxa"/>
          </w:tcPr>
          <w:p w14:paraId="25D7860E" w14:textId="79FC8603" w:rsidR="00295C67" w:rsidRPr="00A609E4" w:rsidRDefault="00295C67" w:rsidP="00BC4A38">
            <w:pPr>
              <w:ind w:left="0" w:firstLine="0"/>
              <w:rPr>
                <w:rFonts w:cs="Times New Roman"/>
                <w:sz w:val="20"/>
                <w:szCs w:val="20"/>
              </w:rPr>
            </w:pPr>
            <w:r w:rsidRPr="00A609E4">
              <w:rPr>
                <w:rFonts w:cs="Times New Roman"/>
                <w:sz w:val="20"/>
                <w:szCs w:val="20"/>
              </w:rPr>
              <w:t>Baldwin et al</w:t>
            </w:r>
          </w:p>
        </w:tc>
        <w:tc>
          <w:tcPr>
            <w:tcW w:w="1559" w:type="dxa"/>
          </w:tcPr>
          <w:p w14:paraId="583E8786" w14:textId="7C4CC725" w:rsidR="00295C67" w:rsidRPr="00A609E4" w:rsidRDefault="00C91727" w:rsidP="00BC4A38">
            <w:pPr>
              <w:ind w:left="0" w:firstLine="0"/>
              <w:rPr>
                <w:rFonts w:cs="Times New Roman"/>
                <w:sz w:val="20"/>
                <w:szCs w:val="20"/>
              </w:rPr>
            </w:pPr>
            <w:r w:rsidRPr="00A609E4">
              <w:rPr>
                <w:rFonts w:cs="Times New Roman"/>
                <w:sz w:val="20"/>
                <w:szCs w:val="20"/>
              </w:rPr>
              <w:t>48 (26.8%)</w:t>
            </w:r>
          </w:p>
        </w:tc>
        <w:tc>
          <w:tcPr>
            <w:tcW w:w="1559" w:type="dxa"/>
          </w:tcPr>
          <w:p w14:paraId="71E2019C" w14:textId="2D988BF1" w:rsidR="00295C67" w:rsidRPr="00A609E4" w:rsidRDefault="001413AD" w:rsidP="00BC4A38">
            <w:pPr>
              <w:ind w:left="0" w:firstLine="0"/>
              <w:rPr>
                <w:rFonts w:cs="Times New Roman"/>
                <w:sz w:val="20"/>
                <w:szCs w:val="20"/>
              </w:rPr>
            </w:pPr>
            <w:r w:rsidRPr="00A609E4">
              <w:rPr>
                <w:rFonts w:cs="Times New Roman"/>
                <w:sz w:val="20"/>
                <w:szCs w:val="20"/>
              </w:rPr>
              <w:t>15 (8.4%)</w:t>
            </w:r>
          </w:p>
        </w:tc>
        <w:tc>
          <w:tcPr>
            <w:tcW w:w="1368" w:type="dxa"/>
          </w:tcPr>
          <w:p w14:paraId="0664A706" w14:textId="63CE8C16" w:rsidR="00295C67" w:rsidRPr="00A609E4" w:rsidRDefault="001878C3" w:rsidP="00BC4A38">
            <w:pPr>
              <w:ind w:left="0" w:firstLine="0"/>
              <w:rPr>
                <w:rFonts w:cs="Times New Roman"/>
                <w:sz w:val="20"/>
                <w:szCs w:val="20"/>
              </w:rPr>
            </w:pPr>
            <w:r w:rsidRPr="00A609E4">
              <w:rPr>
                <w:rFonts w:cs="Times New Roman"/>
                <w:sz w:val="20"/>
                <w:szCs w:val="20"/>
              </w:rPr>
              <w:t>68 (38.0%)</w:t>
            </w:r>
          </w:p>
        </w:tc>
        <w:tc>
          <w:tcPr>
            <w:tcW w:w="1490" w:type="dxa"/>
            <w:tcBorders>
              <w:bottom w:val="single" w:sz="4" w:space="0" w:color="auto"/>
              <w:right w:val="single" w:sz="4" w:space="0" w:color="auto"/>
            </w:tcBorders>
          </w:tcPr>
          <w:p w14:paraId="5E6853A4" w14:textId="30EB9DAC" w:rsidR="00295C67" w:rsidRPr="00A609E4" w:rsidRDefault="001878C3" w:rsidP="00BC4A38">
            <w:pPr>
              <w:ind w:left="0" w:firstLine="0"/>
              <w:rPr>
                <w:rFonts w:cs="Times New Roman"/>
                <w:sz w:val="20"/>
                <w:szCs w:val="20"/>
              </w:rPr>
            </w:pPr>
            <w:r w:rsidRPr="00A609E4">
              <w:rPr>
                <w:rFonts w:cs="Times New Roman"/>
                <w:sz w:val="20"/>
                <w:szCs w:val="20"/>
              </w:rPr>
              <w:t>48 (26.8%)</w:t>
            </w:r>
          </w:p>
        </w:tc>
        <w:tc>
          <w:tcPr>
            <w:tcW w:w="1490" w:type="dxa"/>
            <w:tcBorders>
              <w:top w:val="nil"/>
              <w:left w:val="single" w:sz="4" w:space="0" w:color="auto"/>
              <w:bottom w:val="nil"/>
              <w:right w:val="nil"/>
            </w:tcBorders>
            <w:shd w:val="clear" w:color="auto" w:fill="FFFFFF" w:themeFill="background1"/>
          </w:tcPr>
          <w:p w14:paraId="635D98D6" w14:textId="77777777" w:rsidR="00295C67" w:rsidRPr="00A609E4" w:rsidRDefault="00295C67" w:rsidP="00BC4A38">
            <w:pPr>
              <w:ind w:left="0" w:firstLine="0"/>
              <w:rPr>
                <w:rFonts w:cs="Times New Roman"/>
                <w:sz w:val="20"/>
                <w:szCs w:val="20"/>
              </w:rPr>
            </w:pPr>
          </w:p>
        </w:tc>
      </w:tr>
      <w:tr w:rsidR="00AB734E" w:rsidRPr="00456F60" w14:paraId="5D01FCEE" w14:textId="77777777" w:rsidTr="235378E9">
        <w:tc>
          <w:tcPr>
            <w:tcW w:w="1555" w:type="dxa"/>
            <w:shd w:val="clear" w:color="auto" w:fill="000000" w:themeFill="text1"/>
          </w:tcPr>
          <w:p w14:paraId="0102D403" w14:textId="5E53072E" w:rsidR="00AB734E" w:rsidRPr="00D2240B" w:rsidRDefault="00BC4A38" w:rsidP="00BC4A38">
            <w:pPr>
              <w:ind w:left="0" w:firstLine="0"/>
              <w:rPr>
                <w:rFonts w:cs="Times New Roman"/>
                <w:b/>
                <w:bCs/>
                <w:sz w:val="20"/>
                <w:szCs w:val="20"/>
              </w:rPr>
            </w:pPr>
            <w:r>
              <w:rPr>
                <w:rFonts w:cs="Times New Roman"/>
                <w:b/>
                <w:bCs/>
                <w:sz w:val="20"/>
                <w:szCs w:val="20"/>
              </w:rPr>
              <w:t>s.37/45A Knowledge ***</w:t>
            </w:r>
          </w:p>
        </w:tc>
        <w:tc>
          <w:tcPr>
            <w:tcW w:w="1559" w:type="dxa"/>
            <w:shd w:val="clear" w:color="auto" w:fill="000000" w:themeFill="text1"/>
          </w:tcPr>
          <w:p w14:paraId="648C2206" w14:textId="1F7D20FF" w:rsidR="00AB734E" w:rsidRPr="00AF6A16" w:rsidRDefault="004D7E4F" w:rsidP="00BC4A38">
            <w:pPr>
              <w:ind w:left="0" w:firstLine="0"/>
              <w:rPr>
                <w:rFonts w:cs="Times New Roman"/>
                <w:b/>
                <w:bCs/>
                <w:sz w:val="20"/>
                <w:szCs w:val="20"/>
              </w:rPr>
            </w:pPr>
            <w:r w:rsidRPr="00AF6A16">
              <w:rPr>
                <w:rFonts w:cs="Times New Roman"/>
                <w:b/>
                <w:bCs/>
                <w:sz w:val="20"/>
                <w:szCs w:val="20"/>
              </w:rPr>
              <w:t>Yes</w:t>
            </w:r>
          </w:p>
        </w:tc>
        <w:tc>
          <w:tcPr>
            <w:tcW w:w="1559" w:type="dxa"/>
            <w:shd w:val="clear" w:color="auto" w:fill="000000" w:themeFill="text1"/>
          </w:tcPr>
          <w:p w14:paraId="6F021D17" w14:textId="064F7F05" w:rsidR="00AB734E" w:rsidRPr="00AF6A16" w:rsidRDefault="004D7E4F" w:rsidP="00BC4A38">
            <w:pPr>
              <w:ind w:left="0" w:firstLine="0"/>
              <w:rPr>
                <w:rFonts w:cs="Times New Roman"/>
                <w:b/>
                <w:bCs/>
                <w:sz w:val="20"/>
                <w:szCs w:val="20"/>
              </w:rPr>
            </w:pPr>
            <w:r w:rsidRPr="00AF6A16">
              <w:rPr>
                <w:rFonts w:cs="Times New Roman"/>
                <w:b/>
                <w:bCs/>
                <w:sz w:val="20"/>
                <w:szCs w:val="20"/>
              </w:rPr>
              <w:t>No</w:t>
            </w:r>
          </w:p>
        </w:tc>
        <w:tc>
          <w:tcPr>
            <w:tcW w:w="1368" w:type="dxa"/>
            <w:shd w:val="clear" w:color="auto" w:fill="000000" w:themeFill="text1"/>
          </w:tcPr>
          <w:p w14:paraId="3F22E9A6" w14:textId="44407554" w:rsidR="00AB734E" w:rsidRPr="00AF6A16" w:rsidRDefault="004D7E4F" w:rsidP="00BC4A38">
            <w:pPr>
              <w:ind w:left="0" w:firstLine="0"/>
              <w:rPr>
                <w:rFonts w:cs="Times New Roman"/>
                <w:b/>
                <w:bCs/>
                <w:sz w:val="20"/>
                <w:szCs w:val="20"/>
              </w:rPr>
            </w:pPr>
            <w:r w:rsidRPr="00AF6A16">
              <w:rPr>
                <w:rFonts w:cs="Times New Roman"/>
                <w:b/>
                <w:bCs/>
                <w:sz w:val="20"/>
                <w:szCs w:val="20"/>
              </w:rPr>
              <w:t>Not Sure</w:t>
            </w:r>
          </w:p>
        </w:tc>
        <w:tc>
          <w:tcPr>
            <w:tcW w:w="1490" w:type="dxa"/>
            <w:tcBorders>
              <w:bottom w:val="nil"/>
              <w:right w:val="nil"/>
            </w:tcBorders>
            <w:shd w:val="clear" w:color="auto" w:fill="FFFFFF" w:themeFill="background1"/>
          </w:tcPr>
          <w:p w14:paraId="396A6D88" w14:textId="77777777" w:rsidR="00AB734E" w:rsidRPr="00AF6A16" w:rsidRDefault="00AB734E" w:rsidP="00BC4A38">
            <w:pPr>
              <w:ind w:left="0" w:firstLine="0"/>
              <w:rPr>
                <w:rFonts w:cs="Times New Roman"/>
                <w:b/>
                <w:bCs/>
                <w:sz w:val="20"/>
                <w:szCs w:val="20"/>
              </w:rPr>
            </w:pPr>
          </w:p>
        </w:tc>
        <w:tc>
          <w:tcPr>
            <w:tcW w:w="1490" w:type="dxa"/>
            <w:tcBorders>
              <w:top w:val="nil"/>
              <w:left w:val="nil"/>
              <w:bottom w:val="nil"/>
              <w:right w:val="nil"/>
            </w:tcBorders>
            <w:shd w:val="clear" w:color="auto" w:fill="FFFFFF" w:themeFill="background1"/>
          </w:tcPr>
          <w:p w14:paraId="42F8C748" w14:textId="77777777" w:rsidR="00AB734E" w:rsidRPr="00A609E4" w:rsidRDefault="00AB734E" w:rsidP="00BC4A38">
            <w:pPr>
              <w:ind w:left="0" w:firstLine="0"/>
              <w:rPr>
                <w:rFonts w:cs="Times New Roman"/>
                <w:sz w:val="20"/>
                <w:szCs w:val="20"/>
              </w:rPr>
            </w:pPr>
          </w:p>
        </w:tc>
      </w:tr>
      <w:tr w:rsidR="00AB734E" w:rsidRPr="00456F60" w14:paraId="60FFCCAC" w14:textId="77777777" w:rsidTr="235378E9">
        <w:tc>
          <w:tcPr>
            <w:tcW w:w="1555" w:type="dxa"/>
          </w:tcPr>
          <w:p w14:paraId="48131C56" w14:textId="644FB0D8" w:rsidR="00AB734E" w:rsidRPr="00A609E4" w:rsidRDefault="004D7E4F" w:rsidP="00BC4A38">
            <w:pPr>
              <w:ind w:left="0" w:firstLine="0"/>
              <w:rPr>
                <w:rFonts w:cs="Times New Roman"/>
                <w:sz w:val="20"/>
                <w:szCs w:val="20"/>
              </w:rPr>
            </w:pPr>
            <w:r w:rsidRPr="00A609E4">
              <w:rPr>
                <w:rFonts w:cs="Times New Roman"/>
                <w:sz w:val="20"/>
                <w:szCs w:val="20"/>
              </w:rPr>
              <w:t>Present study</w:t>
            </w:r>
          </w:p>
        </w:tc>
        <w:tc>
          <w:tcPr>
            <w:tcW w:w="1559" w:type="dxa"/>
          </w:tcPr>
          <w:p w14:paraId="2032E018" w14:textId="74C5838F" w:rsidR="00AB734E" w:rsidRPr="00A609E4" w:rsidRDefault="00AF6A16" w:rsidP="00BC4A38">
            <w:pPr>
              <w:ind w:left="0" w:firstLine="0"/>
              <w:rPr>
                <w:rFonts w:cs="Times New Roman"/>
                <w:sz w:val="20"/>
                <w:szCs w:val="20"/>
              </w:rPr>
            </w:pPr>
            <w:r>
              <w:rPr>
                <w:rFonts w:cs="Times New Roman"/>
                <w:sz w:val="20"/>
                <w:szCs w:val="20"/>
              </w:rPr>
              <w:t>52 (42.6%)</w:t>
            </w:r>
          </w:p>
        </w:tc>
        <w:tc>
          <w:tcPr>
            <w:tcW w:w="1559" w:type="dxa"/>
          </w:tcPr>
          <w:p w14:paraId="5ACBABD2" w14:textId="3AB6689F" w:rsidR="00AB734E" w:rsidRPr="00A609E4" w:rsidRDefault="00AF6A16" w:rsidP="00BC4A38">
            <w:pPr>
              <w:ind w:left="0" w:firstLine="0"/>
              <w:rPr>
                <w:rFonts w:cs="Times New Roman"/>
                <w:sz w:val="20"/>
                <w:szCs w:val="20"/>
              </w:rPr>
            </w:pPr>
            <w:r>
              <w:rPr>
                <w:rFonts w:cs="Times New Roman"/>
                <w:sz w:val="20"/>
                <w:szCs w:val="20"/>
              </w:rPr>
              <w:t>53 (43.4%)</w:t>
            </w:r>
          </w:p>
        </w:tc>
        <w:tc>
          <w:tcPr>
            <w:tcW w:w="1368" w:type="dxa"/>
          </w:tcPr>
          <w:p w14:paraId="528B6C7B" w14:textId="5D5D24DC" w:rsidR="00AB734E" w:rsidRPr="00A609E4" w:rsidRDefault="00AF6A16" w:rsidP="00BC4A38">
            <w:pPr>
              <w:ind w:left="0" w:firstLine="0"/>
              <w:rPr>
                <w:rFonts w:cs="Times New Roman"/>
                <w:sz w:val="20"/>
                <w:szCs w:val="20"/>
              </w:rPr>
            </w:pPr>
            <w:r>
              <w:rPr>
                <w:rFonts w:cs="Times New Roman"/>
                <w:sz w:val="20"/>
                <w:szCs w:val="20"/>
              </w:rPr>
              <w:t>17 (13.9%)</w:t>
            </w:r>
          </w:p>
        </w:tc>
        <w:tc>
          <w:tcPr>
            <w:tcW w:w="1490" w:type="dxa"/>
            <w:tcBorders>
              <w:top w:val="nil"/>
              <w:bottom w:val="nil"/>
              <w:right w:val="nil"/>
            </w:tcBorders>
            <w:shd w:val="clear" w:color="auto" w:fill="FFFFFF" w:themeFill="background1"/>
          </w:tcPr>
          <w:p w14:paraId="49CD98AE" w14:textId="77777777" w:rsidR="00AB734E" w:rsidRPr="00A609E4" w:rsidRDefault="00AB734E" w:rsidP="00BC4A38">
            <w:pPr>
              <w:ind w:left="0" w:firstLine="0"/>
              <w:rPr>
                <w:rFonts w:cs="Times New Roman"/>
                <w:sz w:val="20"/>
                <w:szCs w:val="20"/>
              </w:rPr>
            </w:pPr>
          </w:p>
        </w:tc>
        <w:tc>
          <w:tcPr>
            <w:tcW w:w="1490" w:type="dxa"/>
            <w:tcBorders>
              <w:top w:val="nil"/>
              <w:left w:val="nil"/>
              <w:bottom w:val="nil"/>
              <w:right w:val="nil"/>
            </w:tcBorders>
            <w:shd w:val="clear" w:color="auto" w:fill="FFFFFF" w:themeFill="background1"/>
          </w:tcPr>
          <w:p w14:paraId="6F67178F" w14:textId="77777777" w:rsidR="00AB734E" w:rsidRPr="00A609E4" w:rsidRDefault="00AB734E" w:rsidP="00BC4A38">
            <w:pPr>
              <w:ind w:left="0" w:firstLine="0"/>
              <w:rPr>
                <w:rFonts w:cs="Times New Roman"/>
                <w:sz w:val="20"/>
                <w:szCs w:val="20"/>
              </w:rPr>
            </w:pPr>
          </w:p>
        </w:tc>
      </w:tr>
    </w:tbl>
    <w:p w14:paraId="255E3E3D" w14:textId="77777777" w:rsidR="005A3FDD" w:rsidRDefault="005A3FDD" w:rsidP="00D74768">
      <w:pPr>
        <w:spacing w:after="20" w:line="480" w:lineRule="auto"/>
        <w:ind w:firstLine="720"/>
        <w:rPr>
          <w:rFonts w:cs="Times New Roman"/>
          <w:sz w:val="24"/>
          <w:szCs w:val="24"/>
        </w:rPr>
      </w:pPr>
    </w:p>
    <w:p w14:paraId="3F18725C" w14:textId="0709466D" w:rsidR="0042543A" w:rsidRDefault="0042543A" w:rsidP="00A57ED8">
      <w:pPr>
        <w:spacing w:after="20" w:line="276" w:lineRule="auto"/>
        <w:rPr>
          <w:rFonts w:cs="Times New Roman"/>
          <w:sz w:val="24"/>
          <w:szCs w:val="24"/>
        </w:rPr>
      </w:pPr>
      <w:r>
        <w:rPr>
          <w:rFonts w:cs="Times New Roman"/>
          <w:sz w:val="24"/>
          <w:szCs w:val="24"/>
        </w:rPr>
        <w:t xml:space="preserve">As can be seen from </w:t>
      </w:r>
      <w:r>
        <w:rPr>
          <w:rFonts w:cs="Times New Roman"/>
          <w:sz w:val="24"/>
          <w:szCs w:val="24"/>
        </w:rPr>
        <w:fldChar w:fldCharType="begin"/>
      </w:r>
      <w:r>
        <w:rPr>
          <w:rFonts w:cs="Times New Roman"/>
          <w:sz w:val="24"/>
          <w:szCs w:val="24"/>
        </w:rPr>
        <w:instrText xml:space="preserve"> REF _Ref204615398 \h </w:instrText>
      </w:r>
      <w:r w:rsidR="00A57ED8">
        <w:rPr>
          <w:rFonts w:cs="Times New Roman"/>
          <w:sz w:val="24"/>
          <w:szCs w:val="24"/>
        </w:rPr>
        <w:instrText xml:space="preserve"> \* MERGEFORMAT </w:instrText>
      </w:r>
      <w:r>
        <w:rPr>
          <w:rFonts w:cs="Times New Roman"/>
          <w:sz w:val="24"/>
          <w:szCs w:val="24"/>
        </w:rPr>
      </w:r>
      <w:r>
        <w:rPr>
          <w:rFonts w:cs="Times New Roman"/>
          <w:sz w:val="24"/>
          <w:szCs w:val="24"/>
        </w:rPr>
        <w:fldChar w:fldCharType="separate"/>
      </w:r>
      <w:r>
        <w:t xml:space="preserve">Table </w:t>
      </w:r>
      <w:r>
        <w:rPr>
          <w:noProof/>
        </w:rPr>
        <w:t>1</w:t>
      </w:r>
      <w:r>
        <w:rPr>
          <w:rFonts w:cs="Times New Roman"/>
          <w:sz w:val="24"/>
          <w:szCs w:val="24"/>
        </w:rPr>
        <w:fldChar w:fldCharType="end"/>
      </w:r>
      <w:r w:rsidR="00A47726">
        <w:rPr>
          <w:rFonts w:cs="Times New Roman"/>
          <w:sz w:val="24"/>
          <w:szCs w:val="24"/>
        </w:rPr>
        <w:t xml:space="preserve">, </w:t>
      </w:r>
      <w:r w:rsidR="00985C73">
        <w:rPr>
          <w:rFonts w:cs="Times New Roman"/>
          <w:sz w:val="24"/>
          <w:szCs w:val="24"/>
        </w:rPr>
        <w:t xml:space="preserve">in </w:t>
      </w:r>
      <w:r w:rsidR="00A47726">
        <w:rPr>
          <w:rFonts w:cs="Times New Roman"/>
          <w:sz w:val="24"/>
          <w:szCs w:val="24"/>
        </w:rPr>
        <w:t xml:space="preserve">comparing the two samples, the present sample was </w:t>
      </w:r>
      <w:r w:rsidR="00D77681">
        <w:rPr>
          <w:rFonts w:cs="Times New Roman"/>
          <w:sz w:val="24"/>
          <w:szCs w:val="24"/>
        </w:rPr>
        <w:t xml:space="preserve">of a very similar age to that obtained by Baldwin et al (2025), but included a somewhat more balanced gender split. </w:t>
      </w:r>
      <w:r w:rsidR="006D6880">
        <w:rPr>
          <w:rFonts w:cs="Times New Roman"/>
          <w:sz w:val="24"/>
          <w:szCs w:val="24"/>
        </w:rPr>
        <w:t xml:space="preserve">Both studies included a majority of participants of White ethnicity, with </w:t>
      </w:r>
      <w:r w:rsidR="00985C73">
        <w:rPr>
          <w:rFonts w:cs="Times New Roman"/>
          <w:sz w:val="24"/>
          <w:szCs w:val="24"/>
        </w:rPr>
        <w:t xml:space="preserve">Baldwin et al being slightly over-representative and our sample being slightly under-representative of the England and Wales Population </w:t>
      </w:r>
      <w:r w:rsidR="00D53846">
        <w:rPr>
          <w:rFonts w:cs="Times New Roman"/>
          <w:sz w:val="24"/>
          <w:szCs w:val="24"/>
        </w:rPr>
        <w:fldChar w:fldCharType="begin"/>
      </w:r>
      <w:r w:rsidR="009C5742">
        <w:rPr>
          <w:rFonts w:cs="Times New Roman"/>
          <w:sz w:val="24"/>
          <w:szCs w:val="24"/>
        </w:rPr>
        <w:instrText xml:space="preserve"> ADDIN EN.CITE &lt;EndNote&gt;&lt;Cite&gt;&lt;Author&gt;Office for National Statistics&lt;/Author&gt;&lt;Year&gt;2022&lt;/Year&gt;&lt;RecNum&gt;323&lt;/RecNum&gt;&lt;DisplayText&gt;(Office for National Statistics, 2022)&lt;/DisplayText&gt;&lt;record&gt;&lt;rec-number&gt;323&lt;/rec-number&gt;&lt;foreign-keys&gt;&lt;key app="EN" db-id="2ats9t0enpvff3ewzpd59fdbxwpt0ssftp2w" timestamp="1760530148"&gt;323&lt;/key&gt;&lt;/foreign-keys&gt;&lt;ref-type name="Web Page"&gt;12&lt;/ref-type&gt;&lt;contributors&gt;&lt;authors&gt;&lt;author&gt;Office for National Statistics,&lt;/author&gt;&lt;/authors&gt;&lt;/contributors&gt;&lt;titles&gt;&lt;title&gt;Population for England and Wales&lt;/title&gt;&lt;/titles&gt;&lt;dates&gt;&lt;year&gt;2022&lt;/year&gt;&lt;/dates&gt;&lt;publisher&gt;Office of National Statistics&lt;/publisher&gt;&lt;urls&gt;&lt;related-urls&gt;&lt;url&gt;https://www.ethnicity-facts-figures.service.gov.uk/uk-population-by-ethnicity/national-and-regional-populations/population-of-england-and-wales/latest/&lt;/url&gt;&lt;/related-urls&gt;&lt;/urls&gt;&lt;/record&gt;&lt;/Cite&gt;&lt;/EndNote&gt;</w:instrText>
      </w:r>
      <w:r w:rsidR="00D53846">
        <w:rPr>
          <w:rFonts w:cs="Times New Roman"/>
          <w:sz w:val="24"/>
          <w:szCs w:val="24"/>
        </w:rPr>
        <w:fldChar w:fldCharType="separate"/>
      </w:r>
      <w:r w:rsidR="009C5742">
        <w:rPr>
          <w:rFonts w:cs="Times New Roman"/>
          <w:noProof/>
          <w:sz w:val="24"/>
          <w:szCs w:val="24"/>
        </w:rPr>
        <w:t>(Office for National Statistics, 2022)</w:t>
      </w:r>
      <w:r w:rsidR="00D53846">
        <w:rPr>
          <w:rFonts w:cs="Times New Roman"/>
          <w:sz w:val="24"/>
          <w:szCs w:val="24"/>
        </w:rPr>
        <w:fldChar w:fldCharType="end"/>
      </w:r>
      <w:r w:rsidR="00B625C0">
        <w:rPr>
          <w:rFonts w:cs="Times New Roman"/>
          <w:sz w:val="24"/>
          <w:szCs w:val="24"/>
        </w:rPr>
        <w:t xml:space="preserve"> which is 81.7%. In terms of professional status, however, despite our different approach to recruitment, it cannot be said that we obtained a convincingly </w:t>
      </w:r>
      <w:r w:rsidR="00847130">
        <w:rPr>
          <w:rFonts w:cs="Times New Roman"/>
          <w:sz w:val="24"/>
          <w:szCs w:val="24"/>
        </w:rPr>
        <w:t xml:space="preserve">‘more legal’ sample and in fact the number of those </w:t>
      </w:r>
      <w:r w:rsidR="00996E17">
        <w:rPr>
          <w:rFonts w:cs="Times New Roman"/>
          <w:sz w:val="24"/>
          <w:szCs w:val="24"/>
        </w:rPr>
        <w:t xml:space="preserve">working as barristers, judges or solicitors was even </w:t>
      </w:r>
      <w:r w:rsidR="00E31A82">
        <w:rPr>
          <w:rFonts w:cs="Times New Roman"/>
          <w:sz w:val="24"/>
          <w:szCs w:val="24"/>
        </w:rPr>
        <w:t xml:space="preserve">somewhat </w:t>
      </w:r>
      <w:r w:rsidR="00996E17">
        <w:rPr>
          <w:rFonts w:cs="Times New Roman"/>
          <w:sz w:val="24"/>
          <w:szCs w:val="24"/>
        </w:rPr>
        <w:t>lower</w:t>
      </w:r>
      <w:r w:rsidR="00F3692B">
        <w:rPr>
          <w:rFonts w:cs="Times New Roman"/>
          <w:sz w:val="24"/>
          <w:szCs w:val="24"/>
        </w:rPr>
        <w:t xml:space="preserve"> (though the number of law students was notably higher)</w:t>
      </w:r>
      <w:r w:rsidR="00996E17">
        <w:rPr>
          <w:rFonts w:cs="Times New Roman"/>
          <w:sz w:val="24"/>
          <w:szCs w:val="24"/>
        </w:rPr>
        <w:t>.</w:t>
      </w:r>
      <w:r w:rsidR="00A1744B">
        <w:rPr>
          <w:rFonts w:cs="Times New Roman"/>
          <w:sz w:val="24"/>
          <w:szCs w:val="24"/>
        </w:rPr>
        <w:t xml:space="preserve"> However, recording of knowledge of s.37/45A allows the </w:t>
      </w:r>
      <w:r w:rsidR="001113FB">
        <w:rPr>
          <w:rFonts w:cs="Times New Roman"/>
          <w:sz w:val="24"/>
          <w:szCs w:val="24"/>
        </w:rPr>
        <w:t>potential</w:t>
      </w:r>
      <w:r w:rsidR="00921BD4">
        <w:rPr>
          <w:rFonts w:cs="Times New Roman"/>
          <w:sz w:val="24"/>
          <w:szCs w:val="24"/>
        </w:rPr>
        <w:t xml:space="preserve"> impact</w:t>
      </w:r>
      <w:r w:rsidR="001113FB">
        <w:rPr>
          <w:rFonts w:cs="Times New Roman"/>
          <w:sz w:val="24"/>
          <w:szCs w:val="24"/>
        </w:rPr>
        <w:t xml:space="preserve"> </w:t>
      </w:r>
      <w:r w:rsidR="00921BD4">
        <w:rPr>
          <w:rFonts w:cs="Times New Roman"/>
          <w:sz w:val="24"/>
          <w:szCs w:val="24"/>
        </w:rPr>
        <w:t>of</w:t>
      </w:r>
      <w:r w:rsidR="001113FB">
        <w:rPr>
          <w:rFonts w:cs="Times New Roman"/>
          <w:sz w:val="24"/>
          <w:szCs w:val="24"/>
        </w:rPr>
        <w:t xml:space="preserve"> this to be considered in sensitivity analyses. </w:t>
      </w:r>
    </w:p>
    <w:p w14:paraId="56D61250" w14:textId="77777777" w:rsidR="00E31A82" w:rsidRDefault="00E31A82" w:rsidP="00A57ED8">
      <w:pPr>
        <w:spacing w:after="20" w:line="276" w:lineRule="auto"/>
        <w:rPr>
          <w:rFonts w:cs="Times New Roman"/>
          <w:sz w:val="24"/>
          <w:szCs w:val="24"/>
        </w:rPr>
      </w:pPr>
    </w:p>
    <w:p w14:paraId="634F9C1B" w14:textId="5F9CA668" w:rsidR="000C11E0" w:rsidRPr="0039572D" w:rsidRDefault="000C11E0" w:rsidP="00A57ED8">
      <w:pPr>
        <w:pStyle w:val="Heading3"/>
        <w:spacing w:line="276" w:lineRule="auto"/>
      </w:pPr>
      <w:bookmarkStart w:id="7" w:name="_Toc166251396"/>
      <w:r w:rsidRPr="0039572D">
        <w:t>Measures and Materials</w:t>
      </w:r>
      <w:bookmarkEnd w:id="7"/>
    </w:p>
    <w:p w14:paraId="776AF3A1" w14:textId="77777777" w:rsidR="006A31DA" w:rsidRDefault="006A31DA" w:rsidP="00A57ED8">
      <w:pPr>
        <w:spacing w:after="20" w:line="276" w:lineRule="auto"/>
        <w:rPr>
          <w:rFonts w:cs="Times New Roman"/>
          <w:b/>
          <w:bCs/>
          <w:sz w:val="24"/>
          <w:szCs w:val="24"/>
        </w:rPr>
      </w:pPr>
    </w:p>
    <w:p w14:paraId="7C87E84A" w14:textId="6E45F1E7" w:rsidR="006A31DA" w:rsidRPr="006A31DA" w:rsidRDefault="006A31DA" w:rsidP="00A57ED8">
      <w:pPr>
        <w:spacing w:after="20" w:line="276" w:lineRule="auto"/>
        <w:rPr>
          <w:rFonts w:cs="Times New Roman"/>
          <w:b/>
          <w:bCs/>
          <w:i/>
          <w:iCs/>
          <w:sz w:val="24"/>
          <w:szCs w:val="24"/>
        </w:rPr>
      </w:pPr>
      <w:r>
        <w:rPr>
          <w:rFonts w:cs="Times New Roman"/>
          <w:b/>
          <w:bCs/>
          <w:i/>
          <w:iCs/>
          <w:sz w:val="24"/>
          <w:szCs w:val="24"/>
        </w:rPr>
        <w:t>Vowles Statements - Endorsement</w:t>
      </w:r>
    </w:p>
    <w:p w14:paraId="58F99DBB" w14:textId="1C10EE04" w:rsidR="00207DFF" w:rsidRDefault="000C11E0" w:rsidP="00A57ED8">
      <w:pPr>
        <w:spacing w:after="20" w:line="276" w:lineRule="auto"/>
        <w:rPr>
          <w:rFonts w:cs="Times New Roman"/>
          <w:color w:val="000000" w:themeColor="text1"/>
          <w:sz w:val="24"/>
          <w:szCs w:val="24"/>
        </w:rPr>
      </w:pPr>
      <w:r w:rsidRPr="0039572D">
        <w:rPr>
          <w:rFonts w:cs="Times New Roman"/>
          <w:sz w:val="24"/>
          <w:szCs w:val="24"/>
        </w:rPr>
        <w:t xml:space="preserve">We assessed the level of agreement with each of the four Vowles </w:t>
      </w:r>
      <w:r w:rsidR="00921BD4">
        <w:rPr>
          <w:rFonts w:cs="Times New Roman"/>
          <w:sz w:val="24"/>
          <w:szCs w:val="24"/>
        </w:rPr>
        <w:t>statements via a 6</w:t>
      </w:r>
      <w:r w:rsidRPr="0039572D">
        <w:rPr>
          <w:rFonts w:cs="Times New Roman"/>
          <w:sz w:val="24"/>
          <w:szCs w:val="24"/>
        </w:rPr>
        <w:t xml:space="preserve">-point Likert </w:t>
      </w:r>
      <w:r w:rsidRPr="0039572D">
        <w:rPr>
          <w:rFonts w:cs="Times New Roman"/>
          <w:color w:val="000000" w:themeColor="text1"/>
          <w:sz w:val="24"/>
          <w:szCs w:val="24"/>
        </w:rPr>
        <w:t xml:space="preserve">scale, ranging from ‘Strongly Disagree’ to ‘Strongly Agree’. </w:t>
      </w:r>
      <w:r w:rsidR="00207DFF">
        <w:rPr>
          <w:rFonts w:cs="Times New Roman"/>
          <w:color w:val="000000" w:themeColor="text1"/>
          <w:sz w:val="24"/>
          <w:szCs w:val="24"/>
        </w:rPr>
        <w:t xml:space="preserve">In a slight adaptation from Baldwin et al (2025), we removed the middle ‘Neither Agree nor </w:t>
      </w:r>
      <w:r w:rsidR="00207DFF">
        <w:rPr>
          <w:rFonts w:cs="Times New Roman"/>
          <w:color w:val="000000" w:themeColor="text1"/>
          <w:sz w:val="24"/>
          <w:szCs w:val="24"/>
        </w:rPr>
        <w:lastRenderedPageBreak/>
        <w:t xml:space="preserve">Disagree’ option to </w:t>
      </w:r>
      <w:r w:rsidR="00886B8A">
        <w:rPr>
          <w:rFonts w:cs="Times New Roman"/>
          <w:color w:val="000000" w:themeColor="text1"/>
          <w:sz w:val="24"/>
          <w:szCs w:val="24"/>
        </w:rPr>
        <w:t>require participants to indicate some level of directionality in their choice</w:t>
      </w:r>
      <w:r w:rsidR="00EF0D95">
        <w:rPr>
          <w:rFonts w:cs="Times New Roman"/>
          <w:color w:val="000000" w:themeColor="text1"/>
          <w:sz w:val="24"/>
          <w:szCs w:val="24"/>
        </w:rPr>
        <w:t xml:space="preserve"> (Krosnick, 1991)</w:t>
      </w:r>
      <w:r w:rsidR="00886B8A">
        <w:rPr>
          <w:rFonts w:cs="Times New Roman"/>
          <w:color w:val="000000" w:themeColor="text1"/>
          <w:sz w:val="24"/>
          <w:szCs w:val="24"/>
        </w:rPr>
        <w:t xml:space="preserve">. </w:t>
      </w:r>
      <w:r w:rsidR="00AE0F47">
        <w:rPr>
          <w:rFonts w:cs="Times New Roman"/>
          <w:color w:val="000000" w:themeColor="text1"/>
          <w:sz w:val="24"/>
          <w:szCs w:val="24"/>
        </w:rPr>
        <w:t xml:space="preserve">This resulted in four variables, </w:t>
      </w:r>
      <w:r w:rsidR="008924B7">
        <w:rPr>
          <w:rFonts w:cs="Times New Roman"/>
          <w:color w:val="000000" w:themeColor="text1"/>
          <w:sz w:val="24"/>
          <w:szCs w:val="24"/>
        </w:rPr>
        <w:t xml:space="preserve">Vowles 1… Vowles 4, which were used as independent variables. </w:t>
      </w:r>
    </w:p>
    <w:p w14:paraId="7AC5763D" w14:textId="77777777" w:rsidR="006A31DA" w:rsidRDefault="006A31DA" w:rsidP="00A57ED8">
      <w:pPr>
        <w:spacing w:after="20" w:line="276" w:lineRule="auto"/>
        <w:rPr>
          <w:rFonts w:cs="Times New Roman"/>
          <w:color w:val="000000" w:themeColor="text1"/>
          <w:sz w:val="24"/>
          <w:szCs w:val="24"/>
        </w:rPr>
      </w:pPr>
    </w:p>
    <w:p w14:paraId="113C31F2" w14:textId="2477C374" w:rsidR="006A31DA" w:rsidRPr="006A31DA" w:rsidRDefault="006A31DA" w:rsidP="00A57ED8">
      <w:pPr>
        <w:spacing w:after="20" w:line="276" w:lineRule="auto"/>
        <w:rPr>
          <w:rFonts w:cs="Times New Roman"/>
          <w:b/>
          <w:bCs/>
          <w:i/>
          <w:iCs/>
          <w:color w:val="000000" w:themeColor="text1"/>
          <w:sz w:val="24"/>
          <w:szCs w:val="24"/>
        </w:rPr>
      </w:pPr>
      <w:r>
        <w:rPr>
          <w:rFonts w:cs="Times New Roman"/>
          <w:b/>
          <w:bCs/>
          <w:i/>
          <w:iCs/>
          <w:color w:val="000000" w:themeColor="text1"/>
          <w:sz w:val="24"/>
          <w:szCs w:val="24"/>
        </w:rPr>
        <w:t>Vowles Statements - Confidence</w:t>
      </w:r>
    </w:p>
    <w:p w14:paraId="4DC67CB9" w14:textId="5AE908E6" w:rsidR="007A59EC" w:rsidRDefault="002B0F26" w:rsidP="00A57ED8">
      <w:pPr>
        <w:spacing w:after="20" w:line="276" w:lineRule="auto"/>
        <w:rPr>
          <w:rFonts w:cs="Times New Roman"/>
          <w:color w:val="000000" w:themeColor="text1"/>
          <w:sz w:val="24"/>
          <w:szCs w:val="24"/>
        </w:rPr>
      </w:pPr>
      <w:r>
        <w:rPr>
          <w:rFonts w:cs="Times New Roman"/>
          <w:color w:val="000000" w:themeColor="text1"/>
          <w:sz w:val="24"/>
          <w:szCs w:val="24"/>
        </w:rPr>
        <w:t xml:space="preserve">We </w:t>
      </w:r>
      <w:r w:rsidR="007A59EC">
        <w:rPr>
          <w:rFonts w:cs="Times New Roman"/>
          <w:color w:val="000000" w:themeColor="text1"/>
          <w:sz w:val="24"/>
          <w:szCs w:val="24"/>
        </w:rPr>
        <w:t>also measured</w:t>
      </w:r>
      <w:r w:rsidR="009C61CA">
        <w:rPr>
          <w:rFonts w:cs="Times New Roman"/>
          <w:color w:val="000000" w:themeColor="text1"/>
          <w:sz w:val="24"/>
          <w:szCs w:val="24"/>
        </w:rPr>
        <w:t>,</w:t>
      </w:r>
      <w:r w:rsidR="000C11E0" w:rsidRPr="0039572D">
        <w:rPr>
          <w:rFonts w:cs="Times New Roman"/>
          <w:color w:val="000000" w:themeColor="text1"/>
          <w:sz w:val="24"/>
          <w:szCs w:val="24"/>
        </w:rPr>
        <w:t xml:space="preserve"> via a </w:t>
      </w:r>
      <w:r w:rsidR="007A59EC">
        <w:rPr>
          <w:rFonts w:cs="Times New Roman"/>
          <w:color w:val="000000" w:themeColor="text1"/>
          <w:sz w:val="24"/>
          <w:szCs w:val="24"/>
        </w:rPr>
        <w:t xml:space="preserve">similar </w:t>
      </w:r>
      <w:r w:rsidR="000C11E0" w:rsidRPr="0039572D">
        <w:rPr>
          <w:rFonts w:cs="Times New Roman"/>
          <w:color w:val="000000" w:themeColor="text1"/>
          <w:sz w:val="24"/>
          <w:szCs w:val="24"/>
        </w:rPr>
        <w:t xml:space="preserve">6-point Likert scale, how confident </w:t>
      </w:r>
      <w:r w:rsidR="007A59EC">
        <w:rPr>
          <w:rFonts w:cs="Times New Roman"/>
          <w:color w:val="000000" w:themeColor="text1"/>
          <w:sz w:val="24"/>
          <w:szCs w:val="24"/>
        </w:rPr>
        <w:t>participants</w:t>
      </w:r>
      <w:r w:rsidR="000C11E0" w:rsidRPr="0039572D">
        <w:rPr>
          <w:rFonts w:cs="Times New Roman"/>
          <w:color w:val="000000" w:themeColor="text1"/>
          <w:sz w:val="24"/>
          <w:szCs w:val="24"/>
        </w:rPr>
        <w:t xml:space="preserve"> were in using the criteria to </w:t>
      </w:r>
      <w:proofErr w:type="gramStart"/>
      <w:r w:rsidR="00A32F36">
        <w:rPr>
          <w:rFonts w:cs="Times New Roman"/>
          <w:color w:val="000000" w:themeColor="text1"/>
          <w:sz w:val="24"/>
          <w:szCs w:val="24"/>
        </w:rPr>
        <w:t>make a decision</w:t>
      </w:r>
      <w:proofErr w:type="gramEnd"/>
      <w:r w:rsidR="00A32F36">
        <w:rPr>
          <w:rFonts w:cs="Times New Roman"/>
          <w:color w:val="000000" w:themeColor="text1"/>
          <w:sz w:val="24"/>
          <w:szCs w:val="24"/>
        </w:rPr>
        <w:t xml:space="preserve"> in relation to the Vowles statements</w:t>
      </w:r>
      <w:r w:rsidR="000C11E0" w:rsidRPr="0039572D">
        <w:rPr>
          <w:rFonts w:cs="Times New Roman"/>
          <w:color w:val="000000" w:themeColor="text1"/>
          <w:sz w:val="24"/>
          <w:szCs w:val="24"/>
        </w:rPr>
        <w:t xml:space="preserve">. </w:t>
      </w:r>
      <w:r w:rsidR="006D6C82">
        <w:rPr>
          <w:rFonts w:cs="Times New Roman"/>
          <w:color w:val="000000" w:themeColor="text1"/>
          <w:sz w:val="24"/>
          <w:szCs w:val="24"/>
        </w:rPr>
        <w:t>The specific question asked was “</w:t>
      </w:r>
      <w:r w:rsidR="009C61CA">
        <w:rPr>
          <w:rFonts w:cs="Times New Roman"/>
          <w:color w:val="000000" w:themeColor="text1"/>
          <w:sz w:val="24"/>
          <w:szCs w:val="24"/>
        </w:rPr>
        <w:t>[f]</w:t>
      </w:r>
      <w:proofErr w:type="spellStart"/>
      <w:r w:rsidR="006D6C82">
        <w:rPr>
          <w:rFonts w:cs="Times New Roman"/>
          <w:color w:val="000000" w:themeColor="text1"/>
          <w:sz w:val="24"/>
          <w:szCs w:val="24"/>
        </w:rPr>
        <w:t>inally</w:t>
      </w:r>
      <w:proofErr w:type="spellEnd"/>
      <w:r w:rsidR="006D6C82">
        <w:rPr>
          <w:rFonts w:cs="Times New Roman"/>
          <w:color w:val="000000" w:themeColor="text1"/>
          <w:sz w:val="24"/>
          <w:szCs w:val="24"/>
        </w:rPr>
        <w:t xml:space="preserve">, </w:t>
      </w:r>
      <w:r w:rsidR="006D6C82" w:rsidRPr="006D6C82">
        <w:rPr>
          <w:rFonts w:cs="Times New Roman"/>
          <w:color w:val="000000" w:themeColor="text1"/>
          <w:sz w:val="24"/>
          <w:szCs w:val="24"/>
        </w:rPr>
        <w:t>how confident are you in using this set of criteria in order to make a sentencing outcome?</w:t>
      </w:r>
      <w:r w:rsidR="006D6C82">
        <w:rPr>
          <w:rFonts w:cs="Times New Roman"/>
          <w:color w:val="000000" w:themeColor="text1"/>
          <w:sz w:val="24"/>
          <w:szCs w:val="24"/>
        </w:rPr>
        <w:t xml:space="preserve">”. </w:t>
      </w:r>
      <w:r w:rsidR="00D51AB2">
        <w:rPr>
          <w:rFonts w:cs="Times New Roman"/>
          <w:color w:val="000000" w:themeColor="text1"/>
          <w:sz w:val="24"/>
          <w:szCs w:val="24"/>
        </w:rPr>
        <w:t xml:space="preserve">The end points were ‘Completely Unconfident’ and ‘Completely Confident’. </w:t>
      </w:r>
      <w:r w:rsidR="007A59EC">
        <w:rPr>
          <w:rFonts w:cs="Times New Roman"/>
          <w:color w:val="000000" w:themeColor="text1"/>
          <w:sz w:val="24"/>
          <w:szCs w:val="24"/>
        </w:rPr>
        <w:t xml:space="preserve">This was an addition from Baldwin et al (2025) </w:t>
      </w:r>
      <w:r w:rsidR="006A31DA">
        <w:rPr>
          <w:rFonts w:cs="Times New Roman"/>
          <w:color w:val="000000" w:themeColor="text1"/>
          <w:sz w:val="24"/>
          <w:szCs w:val="24"/>
        </w:rPr>
        <w:t xml:space="preserve">and was also used as an independent variable. </w:t>
      </w:r>
    </w:p>
    <w:p w14:paraId="5C125F59" w14:textId="77777777" w:rsidR="006A31DA" w:rsidRDefault="006A31DA" w:rsidP="00A57ED8">
      <w:pPr>
        <w:spacing w:after="20" w:line="276" w:lineRule="auto"/>
        <w:rPr>
          <w:rFonts w:cs="Times New Roman"/>
          <w:b/>
          <w:bCs/>
          <w:i/>
          <w:iCs/>
          <w:color w:val="000000" w:themeColor="text1"/>
          <w:sz w:val="24"/>
          <w:szCs w:val="24"/>
        </w:rPr>
      </w:pPr>
    </w:p>
    <w:p w14:paraId="7062458D" w14:textId="5A773438" w:rsidR="006A31DA" w:rsidRPr="006A31DA" w:rsidRDefault="006A31DA" w:rsidP="00A57ED8">
      <w:pPr>
        <w:spacing w:after="20" w:line="276" w:lineRule="auto"/>
        <w:rPr>
          <w:rFonts w:cs="Times New Roman"/>
          <w:b/>
          <w:bCs/>
          <w:i/>
          <w:iCs/>
          <w:color w:val="000000" w:themeColor="text1"/>
          <w:sz w:val="24"/>
          <w:szCs w:val="24"/>
        </w:rPr>
      </w:pPr>
      <w:r w:rsidRPr="006A31DA">
        <w:rPr>
          <w:rFonts w:cs="Times New Roman"/>
          <w:b/>
          <w:bCs/>
          <w:i/>
          <w:iCs/>
          <w:color w:val="000000" w:themeColor="text1"/>
          <w:sz w:val="24"/>
          <w:szCs w:val="24"/>
        </w:rPr>
        <w:t xml:space="preserve">Sentencing </w:t>
      </w:r>
      <w:r>
        <w:rPr>
          <w:rFonts w:cs="Times New Roman"/>
          <w:b/>
          <w:bCs/>
          <w:i/>
          <w:iCs/>
          <w:color w:val="000000" w:themeColor="text1"/>
          <w:sz w:val="24"/>
          <w:szCs w:val="24"/>
        </w:rPr>
        <w:t>Decisions</w:t>
      </w:r>
    </w:p>
    <w:p w14:paraId="453D352C" w14:textId="6B15F4C2" w:rsidR="000B41A8" w:rsidRDefault="0023469C" w:rsidP="00A57ED8">
      <w:pPr>
        <w:spacing w:after="20" w:line="276" w:lineRule="auto"/>
        <w:rPr>
          <w:rFonts w:cs="Times New Roman"/>
          <w:color w:val="000000" w:themeColor="text1"/>
          <w:sz w:val="24"/>
          <w:szCs w:val="24"/>
        </w:rPr>
      </w:pPr>
      <w:r>
        <w:rPr>
          <w:rFonts w:cs="Times New Roman"/>
          <w:color w:val="000000" w:themeColor="text1"/>
          <w:sz w:val="24"/>
          <w:szCs w:val="24"/>
        </w:rPr>
        <w:t xml:space="preserve">We adapted the approach to measurement </w:t>
      </w:r>
      <w:r w:rsidR="00CE6A01">
        <w:rPr>
          <w:rFonts w:cs="Times New Roman"/>
          <w:color w:val="000000" w:themeColor="text1"/>
          <w:sz w:val="24"/>
          <w:szCs w:val="24"/>
        </w:rPr>
        <w:t>of sentencing decisions</w:t>
      </w:r>
      <w:r>
        <w:rPr>
          <w:rFonts w:cs="Times New Roman"/>
          <w:color w:val="000000" w:themeColor="text1"/>
          <w:sz w:val="24"/>
          <w:szCs w:val="24"/>
        </w:rPr>
        <w:t>. In Baldwin et al (2025)</w:t>
      </w:r>
      <w:r w:rsidR="00B908CE">
        <w:rPr>
          <w:rFonts w:cs="Times New Roman"/>
          <w:color w:val="000000" w:themeColor="text1"/>
          <w:sz w:val="24"/>
          <w:szCs w:val="24"/>
        </w:rPr>
        <w:t xml:space="preserve">, only </w:t>
      </w:r>
      <w:r w:rsidR="00C8070B">
        <w:rPr>
          <w:rFonts w:cs="Times New Roman"/>
          <w:color w:val="000000" w:themeColor="text1"/>
          <w:sz w:val="24"/>
          <w:szCs w:val="24"/>
        </w:rPr>
        <w:t xml:space="preserve">the final sentencing decision was recorded. </w:t>
      </w:r>
      <w:r w:rsidR="00B908CE">
        <w:rPr>
          <w:rFonts w:cs="Times New Roman"/>
          <w:color w:val="000000" w:themeColor="text1"/>
          <w:sz w:val="24"/>
          <w:szCs w:val="24"/>
        </w:rPr>
        <w:t xml:space="preserve">This had the implication that some of the analyses were limited because very few participants chose a custodial sentence. </w:t>
      </w:r>
      <w:r w:rsidR="00921BD4">
        <w:rPr>
          <w:rFonts w:cs="Times New Roman"/>
          <w:color w:val="000000" w:themeColor="text1"/>
          <w:sz w:val="24"/>
          <w:szCs w:val="24"/>
        </w:rPr>
        <w:t>I</w:t>
      </w:r>
      <w:r w:rsidR="00C8070B">
        <w:rPr>
          <w:rFonts w:cs="Times New Roman"/>
          <w:color w:val="000000" w:themeColor="text1"/>
          <w:sz w:val="24"/>
          <w:szCs w:val="24"/>
        </w:rPr>
        <w:t>n the present study,</w:t>
      </w:r>
      <w:r w:rsidR="000C11E0" w:rsidRPr="0039572D">
        <w:rPr>
          <w:rFonts w:cs="Times New Roman"/>
          <w:color w:val="000000" w:themeColor="text1"/>
          <w:sz w:val="24"/>
          <w:szCs w:val="24"/>
        </w:rPr>
        <w:t xml:space="preserve"> </w:t>
      </w:r>
      <w:r w:rsidR="00881CE7">
        <w:rPr>
          <w:rFonts w:cs="Times New Roman"/>
          <w:color w:val="000000" w:themeColor="text1"/>
          <w:sz w:val="24"/>
          <w:szCs w:val="24"/>
        </w:rPr>
        <w:t xml:space="preserve">participants were asked to determine their sentence in of two ways. First, participants were asked, in relation to each of the three sentencing options, </w:t>
      </w:r>
      <w:r w:rsidR="00827C7D">
        <w:rPr>
          <w:rFonts w:cs="Times New Roman"/>
          <w:color w:val="000000" w:themeColor="text1"/>
          <w:sz w:val="24"/>
          <w:szCs w:val="24"/>
        </w:rPr>
        <w:t xml:space="preserve">how likely they would be to recommend that </w:t>
      </w:r>
      <w:proofErr w:type="gramStart"/>
      <w:r w:rsidR="00CE6A01">
        <w:rPr>
          <w:rFonts w:cs="Times New Roman"/>
          <w:color w:val="000000" w:themeColor="text1"/>
          <w:sz w:val="24"/>
          <w:szCs w:val="24"/>
        </w:rPr>
        <w:t>particular sentence</w:t>
      </w:r>
      <w:proofErr w:type="gramEnd"/>
      <w:r w:rsidR="00CE6A01">
        <w:rPr>
          <w:rFonts w:cs="Times New Roman"/>
          <w:color w:val="000000" w:themeColor="text1"/>
          <w:sz w:val="24"/>
          <w:szCs w:val="24"/>
        </w:rPr>
        <w:t xml:space="preserve"> on a 0-100 scale (</w:t>
      </w:r>
      <w:r w:rsidR="000C11E0" w:rsidRPr="0039572D">
        <w:rPr>
          <w:rFonts w:cs="Times New Roman"/>
          <w:color w:val="000000" w:themeColor="text1"/>
          <w:sz w:val="24"/>
          <w:szCs w:val="24"/>
        </w:rPr>
        <w:t xml:space="preserve">with a higher rating equating to a higher likelihood of giving </w:t>
      </w:r>
      <w:r w:rsidR="00CE6A01">
        <w:rPr>
          <w:rFonts w:cs="Times New Roman"/>
          <w:color w:val="000000" w:themeColor="text1"/>
          <w:sz w:val="24"/>
          <w:szCs w:val="24"/>
        </w:rPr>
        <w:t>that</w:t>
      </w:r>
      <w:r w:rsidR="000C11E0" w:rsidRPr="0039572D">
        <w:rPr>
          <w:rFonts w:cs="Times New Roman"/>
          <w:color w:val="000000" w:themeColor="text1"/>
          <w:sz w:val="24"/>
          <w:szCs w:val="24"/>
        </w:rPr>
        <w:t xml:space="preserve"> </w:t>
      </w:r>
      <w:proofErr w:type="gramStart"/>
      <w:r w:rsidR="000C11E0" w:rsidRPr="0039572D">
        <w:rPr>
          <w:rFonts w:cs="Times New Roman"/>
          <w:color w:val="000000" w:themeColor="text1"/>
          <w:sz w:val="24"/>
          <w:szCs w:val="24"/>
        </w:rPr>
        <w:t>particular sentenc</w:t>
      </w:r>
      <w:r w:rsidR="00CE6A01">
        <w:rPr>
          <w:rFonts w:cs="Times New Roman"/>
          <w:color w:val="000000" w:themeColor="text1"/>
          <w:sz w:val="24"/>
          <w:szCs w:val="24"/>
        </w:rPr>
        <w:t>e</w:t>
      </w:r>
      <w:proofErr w:type="gramEnd"/>
      <w:r w:rsidR="00CE6A01">
        <w:rPr>
          <w:rFonts w:cs="Times New Roman"/>
          <w:color w:val="000000" w:themeColor="text1"/>
          <w:sz w:val="24"/>
          <w:szCs w:val="24"/>
        </w:rPr>
        <w:t xml:space="preserve">). </w:t>
      </w:r>
      <w:r w:rsidR="00921BD4">
        <w:rPr>
          <w:rFonts w:cs="Times New Roman"/>
          <w:color w:val="000000" w:themeColor="text1"/>
          <w:sz w:val="24"/>
          <w:szCs w:val="24"/>
        </w:rPr>
        <w:t xml:space="preserve">Part of the rationale for measuring attitudes in this way was the advantage of the higher power associated with linear (vs logistic) regression. </w:t>
      </w:r>
      <w:r w:rsidR="00CE6A01">
        <w:rPr>
          <w:rFonts w:cs="Times New Roman"/>
          <w:color w:val="000000" w:themeColor="text1"/>
          <w:sz w:val="24"/>
          <w:szCs w:val="24"/>
        </w:rPr>
        <w:t>Alongside each sentencing option was a short description of the effect of the sentence</w:t>
      </w:r>
      <w:r w:rsidR="006D4970">
        <w:rPr>
          <w:rFonts w:cs="Times New Roman"/>
          <w:color w:val="000000" w:themeColor="text1"/>
          <w:sz w:val="24"/>
          <w:szCs w:val="24"/>
        </w:rPr>
        <w:t>.</w:t>
      </w:r>
      <w:r w:rsidR="006D4970">
        <w:rPr>
          <w:rStyle w:val="FootnoteReference"/>
          <w:rFonts w:cs="Times New Roman"/>
          <w:color w:val="000000" w:themeColor="text1"/>
          <w:sz w:val="24"/>
          <w:szCs w:val="24"/>
        </w:rPr>
        <w:footnoteReference w:id="1"/>
      </w:r>
      <w:r w:rsidR="000B41A8">
        <w:rPr>
          <w:rFonts w:cs="Times New Roman"/>
          <w:color w:val="000000" w:themeColor="text1"/>
          <w:sz w:val="24"/>
          <w:szCs w:val="24"/>
        </w:rPr>
        <w:t>, as below:</w:t>
      </w:r>
    </w:p>
    <w:p w14:paraId="0FF64E13" w14:textId="608A6DE8" w:rsidR="000B41A8" w:rsidRDefault="000B41A8" w:rsidP="00A57ED8">
      <w:pPr>
        <w:spacing w:after="20" w:line="276" w:lineRule="auto"/>
        <w:ind w:firstLine="720"/>
        <w:rPr>
          <w:rFonts w:cs="Times New Roman"/>
          <w:b/>
          <w:bCs/>
          <w:color w:val="000000" w:themeColor="text1"/>
          <w:sz w:val="24"/>
          <w:szCs w:val="24"/>
        </w:rPr>
      </w:pPr>
    </w:p>
    <w:p w14:paraId="57C291E6" w14:textId="1F109B7D" w:rsidR="00262912" w:rsidRDefault="000C11E0" w:rsidP="00A57ED8">
      <w:pPr>
        <w:spacing w:after="20" w:line="276" w:lineRule="auto"/>
        <w:rPr>
          <w:rFonts w:cs="Times New Roman"/>
          <w:color w:val="000000" w:themeColor="text1"/>
          <w:sz w:val="24"/>
          <w:szCs w:val="24"/>
        </w:rPr>
      </w:pPr>
      <w:r w:rsidRPr="0039572D">
        <w:rPr>
          <w:rFonts w:cs="Times New Roman"/>
          <w:color w:val="000000" w:themeColor="text1"/>
          <w:sz w:val="24"/>
          <w:szCs w:val="24"/>
        </w:rPr>
        <w:t>After each of these three questions, participants were also asked to rate on a 0-100 scale how confident they were in understanding the implications of giving each of the three sentencing options.</w:t>
      </w:r>
      <w:r w:rsidR="00262912">
        <w:rPr>
          <w:rFonts w:cs="Times New Roman"/>
          <w:color w:val="000000" w:themeColor="text1"/>
          <w:sz w:val="24"/>
          <w:szCs w:val="24"/>
        </w:rPr>
        <w:t xml:space="preserve"> </w:t>
      </w:r>
    </w:p>
    <w:p w14:paraId="549E087B" w14:textId="77777777" w:rsidR="009C61CA" w:rsidRDefault="009C61CA" w:rsidP="00A57ED8">
      <w:pPr>
        <w:spacing w:after="20" w:line="276" w:lineRule="auto"/>
        <w:rPr>
          <w:rFonts w:cs="Times New Roman"/>
          <w:color w:val="000000" w:themeColor="text1"/>
          <w:sz w:val="24"/>
          <w:szCs w:val="24"/>
        </w:rPr>
      </w:pPr>
    </w:p>
    <w:p w14:paraId="0024A908" w14:textId="6845E95D" w:rsidR="000C11E0" w:rsidRDefault="000C11E0" w:rsidP="00A57ED8">
      <w:pPr>
        <w:spacing w:after="20" w:line="276" w:lineRule="auto"/>
        <w:rPr>
          <w:rFonts w:cs="Times New Roman"/>
          <w:color w:val="000000" w:themeColor="text1"/>
          <w:sz w:val="24"/>
          <w:szCs w:val="24"/>
        </w:rPr>
      </w:pPr>
      <w:r w:rsidRPr="0039572D">
        <w:rPr>
          <w:rFonts w:cs="Times New Roman"/>
          <w:color w:val="000000" w:themeColor="text1"/>
          <w:sz w:val="24"/>
          <w:szCs w:val="24"/>
        </w:rPr>
        <w:t>Finally, participants chose which of the three sentencing options they would give in a real court setting</w:t>
      </w:r>
      <w:r w:rsidR="00F45212">
        <w:rPr>
          <w:rFonts w:cs="Times New Roman"/>
          <w:color w:val="000000" w:themeColor="text1"/>
          <w:sz w:val="24"/>
          <w:szCs w:val="24"/>
        </w:rPr>
        <w:t xml:space="preserve">. </w:t>
      </w:r>
      <w:r w:rsidR="00AF2A69">
        <w:rPr>
          <w:rFonts w:cs="Times New Roman"/>
          <w:color w:val="000000" w:themeColor="text1"/>
          <w:sz w:val="24"/>
          <w:szCs w:val="24"/>
        </w:rPr>
        <w:t xml:space="preserve">This resulted in a single 3-level categorical dependent variable. </w:t>
      </w:r>
    </w:p>
    <w:p w14:paraId="75A75F71" w14:textId="77777777" w:rsidR="00D606B9" w:rsidRPr="00FE4DB5" w:rsidRDefault="00D606B9" w:rsidP="00A57ED8">
      <w:pPr>
        <w:spacing w:after="20" w:line="276" w:lineRule="auto"/>
        <w:rPr>
          <w:rFonts w:cs="Times New Roman"/>
          <w:color w:val="000000" w:themeColor="text1"/>
          <w:sz w:val="24"/>
          <w:szCs w:val="24"/>
          <w:u w:val="single"/>
        </w:rPr>
      </w:pPr>
    </w:p>
    <w:p w14:paraId="3B7BD704" w14:textId="755EE8EA" w:rsidR="00D606B9" w:rsidRPr="00FE4DB5" w:rsidRDefault="00D606B9" w:rsidP="00A57ED8">
      <w:pPr>
        <w:spacing w:after="20" w:line="276" w:lineRule="auto"/>
        <w:rPr>
          <w:rFonts w:cs="Times New Roman"/>
          <w:b/>
          <w:bCs/>
          <w:i/>
          <w:iCs/>
          <w:color w:val="000000" w:themeColor="text1"/>
          <w:sz w:val="24"/>
          <w:szCs w:val="24"/>
        </w:rPr>
      </w:pPr>
      <w:r w:rsidRPr="00D606B9">
        <w:rPr>
          <w:rFonts w:cs="Times New Roman"/>
          <w:b/>
          <w:bCs/>
          <w:i/>
          <w:iCs/>
          <w:color w:val="000000" w:themeColor="text1"/>
          <w:sz w:val="24"/>
          <w:szCs w:val="24"/>
        </w:rPr>
        <w:t>Mental Health Locus of Origin</w:t>
      </w:r>
    </w:p>
    <w:p w14:paraId="4E6272BC" w14:textId="77777777" w:rsidR="008C3445" w:rsidRDefault="008C3445" w:rsidP="00A57ED8">
      <w:pPr>
        <w:spacing w:after="20" w:line="276" w:lineRule="auto"/>
        <w:rPr>
          <w:rFonts w:cs="Times New Roman"/>
          <w:color w:val="000000" w:themeColor="text1"/>
          <w:sz w:val="24"/>
          <w:szCs w:val="24"/>
        </w:rPr>
      </w:pPr>
    </w:p>
    <w:p w14:paraId="41668F8B" w14:textId="58DF0549" w:rsidR="009B4388" w:rsidRDefault="002771FB" w:rsidP="00A57ED8">
      <w:pPr>
        <w:spacing w:after="20" w:line="276" w:lineRule="auto"/>
        <w:rPr>
          <w:rFonts w:cs="Times New Roman"/>
          <w:sz w:val="24"/>
          <w:szCs w:val="24"/>
        </w:rPr>
      </w:pPr>
      <w:r>
        <w:rPr>
          <w:rFonts w:cs="Times New Roman"/>
          <w:color w:val="000000" w:themeColor="text1"/>
          <w:sz w:val="24"/>
          <w:szCs w:val="24"/>
        </w:rPr>
        <w:t>T</w:t>
      </w:r>
      <w:r w:rsidR="000C11E0" w:rsidRPr="0039572D">
        <w:rPr>
          <w:rFonts w:cs="Times New Roman"/>
          <w:color w:val="000000" w:themeColor="text1"/>
          <w:sz w:val="24"/>
          <w:szCs w:val="24"/>
        </w:rPr>
        <w:t xml:space="preserve">he </w:t>
      </w:r>
      <w:r w:rsidR="009B4388">
        <w:rPr>
          <w:rFonts w:cs="Times New Roman"/>
          <w:color w:val="000000" w:themeColor="text1"/>
          <w:sz w:val="24"/>
          <w:szCs w:val="24"/>
        </w:rPr>
        <w:t xml:space="preserve">Mental Health Locus of </w:t>
      </w:r>
      <w:r w:rsidR="00D606B9">
        <w:rPr>
          <w:rFonts w:cs="Times New Roman"/>
          <w:color w:val="000000" w:themeColor="text1"/>
          <w:sz w:val="24"/>
          <w:szCs w:val="24"/>
        </w:rPr>
        <w:t xml:space="preserve">Origin </w:t>
      </w:r>
      <w:r w:rsidR="009B4388">
        <w:rPr>
          <w:rFonts w:cs="Times New Roman"/>
          <w:color w:val="000000" w:themeColor="text1"/>
          <w:sz w:val="24"/>
          <w:szCs w:val="24"/>
        </w:rPr>
        <w:t>(MHLO)</w:t>
      </w:r>
      <w:r w:rsidR="001D2132">
        <w:rPr>
          <w:rFonts w:cs="Times New Roman"/>
          <w:color w:val="000000" w:themeColor="text1"/>
          <w:sz w:val="24"/>
          <w:szCs w:val="24"/>
        </w:rPr>
        <w:t xml:space="preserve"> s</w:t>
      </w:r>
      <w:r w:rsidR="000C11E0" w:rsidRPr="0039572D">
        <w:rPr>
          <w:rFonts w:cs="Times New Roman"/>
          <w:color w:val="000000" w:themeColor="text1"/>
          <w:sz w:val="24"/>
          <w:szCs w:val="24"/>
        </w:rPr>
        <w:t xml:space="preserve">cale was used to </w:t>
      </w:r>
      <w:r w:rsidR="000C11E0" w:rsidRPr="0039572D">
        <w:rPr>
          <w:rFonts w:cs="Times New Roman"/>
          <w:sz w:val="24"/>
          <w:szCs w:val="24"/>
        </w:rPr>
        <w:t xml:space="preserve">assess the </w:t>
      </w:r>
      <w:r w:rsidR="00A66BAC" w:rsidRPr="0039572D">
        <w:rPr>
          <w:rFonts w:cs="Times New Roman"/>
          <w:sz w:val="24"/>
          <w:szCs w:val="24"/>
        </w:rPr>
        <w:t>participants’</w:t>
      </w:r>
      <w:r w:rsidR="000C11E0" w:rsidRPr="0039572D">
        <w:rPr>
          <w:rFonts w:cs="Times New Roman"/>
          <w:sz w:val="24"/>
          <w:szCs w:val="24"/>
        </w:rPr>
        <w:t xml:space="preserve"> beliefs surrounding the attribution of a person’s mental health difficulties. </w:t>
      </w:r>
      <w:r w:rsidR="009B4388">
        <w:rPr>
          <w:rFonts w:cs="Times New Roman"/>
          <w:sz w:val="24"/>
          <w:szCs w:val="24"/>
        </w:rPr>
        <w:t xml:space="preserve">This </w:t>
      </w:r>
      <w:r w:rsidR="00C81379">
        <w:rPr>
          <w:rFonts w:cs="Times New Roman"/>
          <w:sz w:val="24"/>
          <w:szCs w:val="24"/>
        </w:rPr>
        <w:t xml:space="preserve">scale </w:t>
      </w:r>
      <w:r w:rsidR="00C81379">
        <w:rPr>
          <w:rFonts w:cs="Times New Roman"/>
          <w:sz w:val="24"/>
          <w:szCs w:val="24"/>
        </w:rPr>
        <w:lastRenderedPageBreak/>
        <w:t xml:space="preserve">had also been incorporated in Baldwin et al (2025), however was ultimately excluded from analysis as confirmatory factor analysis </w:t>
      </w:r>
      <w:r w:rsidR="00B41EBF">
        <w:rPr>
          <w:rFonts w:cs="Times New Roman"/>
          <w:sz w:val="24"/>
          <w:szCs w:val="24"/>
        </w:rPr>
        <w:t xml:space="preserve">(CFA) </w:t>
      </w:r>
      <w:r w:rsidR="00C81379">
        <w:rPr>
          <w:rFonts w:cs="Times New Roman"/>
          <w:sz w:val="24"/>
          <w:szCs w:val="24"/>
        </w:rPr>
        <w:t xml:space="preserve">revealed very poor model fit. </w:t>
      </w:r>
      <w:r w:rsidR="001D2132">
        <w:rPr>
          <w:rFonts w:cs="Times New Roman"/>
          <w:sz w:val="24"/>
          <w:szCs w:val="24"/>
        </w:rPr>
        <w:t>This analysis had not</w:t>
      </w:r>
      <w:r w:rsidR="00921BD4">
        <w:rPr>
          <w:rFonts w:cs="Times New Roman"/>
          <w:sz w:val="24"/>
          <w:szCs w:val="24"/>
        </w:rPr>
        <w:t>,</w:t>
      </w:r>
      <w:r w:rsidR="001D2132">
        <w:rPr>
          <w:rFonts w:cs="Times New Roman"/>
          <w:sz w:val="24"/>
          <w:szCs w:val="24"/>
        </w:rPr>
        <w:t xml:space="preserve"> however</w:t>
      </w:r>
      <w:r w:rsidR="00921BD4">
        <w:rPr>
          <w:rFonts w:cs="Times New Roman"/>
          <w:sz w:val="24"/>
          <w:szCs w:val="24"/>
        </w:rPr>
        <w:t>,</w:t>
      </w:r>
      <w:r w:rsidR="001D2132">
        <w:rPr>
          <w:rFonts w:cs="Times New Roman"/>
          <w:sz w:val="24"/>
          <w:szCs w:val="24"/>
        </w:rPr>
        <w:t xml:space="preserve"> been completed at the time of conceptualisation of the present study</w:t>
      </w:r>
      <w:r w:rsidR="005C5282">
        <w:rPr>
          <w:rFonts w:cs="Times New Roman"/>
          <w:sz w:val="24"/>
          <w:szCs w:val="24"/>
        </w:rPr>
        <w:t xml:space="preserve">, </w:t>
      </w:r>
      <w:r w:rsidR="001D2132">
        <w:rPr>
          <w:rFonts w:cs="Times New Roman"/>
          <w:sz w:val="24"/>
          <w:szCs w:val="24"/>
        </w:rPr>
        <w:t xml:space="preserve">and </w:t>
      </w:r>
      <w:r w:rsidR="00317BE9">
        <w:rPr>
          <w:rFonts w:cs="Times New Roman"/>
          <w:sz w:val="24"/>
          <w:szCs w:val="24"/>
        </w:rPr>
        <w:t>we thus also administered the MHLO in the present study. Upon reviewing its psychometric properties, we observed a much higher Cronbach’s Alpha (0.</w:t>
      </w:r>
      <w:r w:rsidR="00511F15">
        <w:rPr>
          <w:rFonts w:cs="Times New Roman"/>
          <w:sz w:val="24"/>
          <w:szCs w:val="24"/>
        </w:rPr>
        <w:t xml:space="preserve">81 compared to </w:t>
      </w:r>
      <w:r w:rsidR="004C1A9E">
        <w:rPr>
          <w:rFonts w:cs="Times New Roman"/>
          <w:sz w:val="24"/>
          <w:szCs w:val="24"/>
        </w:rPr>
        <w:t>0.63)</w:t>
      </w:r>
      <w:r w:rsidR="005C5282">
        <w:rPr>
          <w:rFonts w:cs="Times New Roman"/>
          <w:sz w:val="24"/>
          <w:szCs w:val="24"/>
        </w:rPr>
        <w:t>,</w:t>
      </w:r>
      <w:r w:rsidR="004C1A9E">
        <w:rPr>
          <w:rFonts w:cs="Times New Roman"/>
          <w:sz w:val="24"/>
          <w:szCs w:val="24"/>
        </w:rPr>
        <w:t xml:space="preserve"> but the fit indices associated with the C</w:t>
      </w:r>
      <w:r w:rsidR="00B41EBF">
        <w:rPr>
          <w:rFonts w:cs="Times New Roman"/>
          <w:sz w:val="24"/>
          <w:szCs w:val="24"/>
        </w:rPr>
        <w:t>FA</w:t>
      </w:r>
      <w:r w:rsidR="004C1A9E">
        <w:rPr>
          <w:rFonts w:cs="Times New Roman"/>
          <w:sz w:val="24"/>
          <w:szCs w:val="24"/>
        </w:rPr>
        <w:t xml:space="preserve"> indicated an even poorer model fit</w:t>
      </w:r>
      <w:r w:rsidR="00ED51DE">
        <w:rPr>
          <w:rFonts w:cs="Times New Roman"/>
          <w:sz w:val="24"/>
          <w:szCs w:val="24"/>
        </w:rPr>
        <w:t xml:space="preserve"> than those observed in Baldwin et al (2025)</w:t>
      </w:r>
      <w:r w:rsidR="004C1A9E">
        <w:rPr>
          <w:rFonts w:cs="Times New Roman"/>
          <w:sz w:val="24"/>
          <w:szCs w:val="24"/>
        </w:rPr>
        <w:t xml:space="preserve"> (CFI = 0.58, TLI = 0.54, RMSEA = 0.11, SRMR = 0.11)</w:t>
      </w:r>
      <w:r w:rsidR="00A032E4">
        <w:rPr>
          <w:rFonts w:cs="Times New Roman"/>
          <w:sz w:val="24"/>
          <w:szCs w:val="24"/>
        </w:rPr>
        <w:t xml:space="preserve">. As before, therefore, we </w:t>
      </w:r>
      <w:r w:rsidR="005C5282">
        <w:rPr>
          <w:rFonts w:cs="Times New Roman"/>
          <w:sz w:val="24"/>
          <w:szCs w:val="24"/>
        </w:rPr>
        <w:t xml:space="preserve">thus </w:t>
      </w:r>
      <w:r w:rsidR="00A032E4">
        <w:rPr>
          <w:rFonts w:cs="Times New Roman"/>
          <w:sz w:val="24"/>
          <w:szCs w:val="24"/>
        </w:rPr>
        <w:t>excluded the MHLO from further analysis. We intend to use the available data from both studies to</w:t>
      </w:r>
      <w:r w:rsidR="005C5282">
        <w:rPr>
          <w:rFonts w:cs="Times New Roman"/>
          <w:sz w:val="24"/>
          <w:szCs w:val="24"/>
        </w:rPr>
        <w:t xml:space="preserve"> develop </w:t>
      </w:r>
      <w:r w:rsidR="00B41EBF">
        <w:rPr>
          <w:rFonts w:cs="Times New Roman"/>
          <w:sz w:val="24"/>
          <w:szCs w:val="24"/>
        </w:rPr>
        <w:t xml:space="preserve">a separate paper considering whether a better factor structure is identifiable through a process of Exploratory Factor Analysis (EFA). </w:t>
      </w:r>
    </w:p>
    <w:p w14:paraId="09FFB97B" w14:textId="77777777" w:rsidR="00702E19" w:rsidRDefault="00702E19" w:rsidP="00A57ED8">
      <w:pPr>
        <w:spacing w:after="20" w:line="276" w:lineRule="auto"/>
        <w:rPr>
          <w:rFonts w:cs="Times New Roman"/>
          <w:color w:val="000000" w:themeColor="text1"/>
          <w:sz w:val="24"/>
          <w:szCs w:val="24"/>
        </w:rPr>
      </w:pPr>
    </w:p>
    <w:p w14:paraId="1F85E9BA" w14:textId="64FA010B" w:rsidR="00D606B9" w:rsidRPr="00FE4DB5" w:rsidRDefault="00D606B9" w:rsidP="00A57ED8">
      <w:pPr>
        <w:spacing w:after="20" w:line="276" w:lineRule="auto"/>
        <w:rPr>
          <w:rFonts w:cs="Times New Roman"/>
          <w:b/>
          <w:bCs/>
          <w:i/>
          <w:iCs/>
          <w:color w:val="000000" w:themeColor="text1"/>
          <w:sz w:val="24"/>
          <w:szCs w:val="24"/>
        </w:rPr>
      </w:pPr>
      <w:r w:rsidRPr="00FE4DB5">
        <w:rPr>
          <w:rFonts w:cs="Times New Roman"/>
          <w:b/>
          <w:bCs/>
          <w:i/>
          <w:iCs/>
          <w:color w:val="000000" w:themeColor="text1"/>
          <w:sz w:val="24"/>
          <w:szCs w:val="24"/>
        </w:rPr>
        <w:t>Administration of Materials</w:t>
      </w:r>
    </w:p>
    <w:p w14:paraId="40BD8419" w14:textId="013866BF" w:rsidR="000C11E0" w:rsidRPr="00371ECA" w:rsidRDefault="000C11E0" w:rsidP="00A57ED8">
      <w:pPr>
        <w:spacing w:after="20" w:line="276" w:lineRule="auto"/>
        <w:rPr>
          <w:rFonts w:cs="Times New Roman"/>
          <w:color w:val="000000" w:themeColor="text1"/>
          <w:sz w:val="24"/>
          <w:szCs w:val="24"/>
        </w:rPr>
      </w:pPr>
      <w:r w:rsidRPr="00371ECA">
        <w:rPr>
          <w:rFonts w:cs="Times New Roman"/>
          <w:color w:val="000000" w:themeColor="text1"/>
          <w:sz w:val="24"/>
          <w:szCs w:val="24"/>
        </w:rPr>
        <w:t xml:space="preserve">The online survey was created using the online software PsyToolkit </w:t>
      </w:r>
      <w:r w:rsidR="007E7AD9" w:rsidRPr="00371ECA">
        <w:rPr>
          <w:rFonts w:cs="Times New Roman"/>
          <w:color w:val="000000" w:themeColor="text1"/>
          <w:sz w:val="24"/>
          <w:szCs w:val="24"/>
        </w:rPr>
        <w:fldChar w:fldCharType="begin">
          <w:fldData xml:space="preserve">PEVuZE5vdGU+PENpdGU+PEF1dGhvcj5TdG9ldDwvQXV0aG9yPjxZZWFyPjIwMTA8L1llYXI+PFJl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</w:fldData>
        </w:fldChar>
      </w:r>
      <w:r w:rsidR="007E7AD9" w:rsidRPr="00371ECA">
        <w:rPr>
          <w:rFonts w:cs="Times New Roman"/>
          <w:color w:val="000000" w:themeColor="text1"/>
          <w:sz w:val="24"/>
          <w:szCs w:val="24"/>
        </w:rPr>
        <w:instrText xml:space="preserve"> ADDIN EN.CITE </w:instrText>
      </w:r>
      <w:r w:rsidR="007E7AD9" w:rsidRPr="00371ECA">
        <w:rPr>
          <w:rFonts w:cs="Times New Roman"/>
          <w:color w:val="000000" w:themeColor="text1"/>
          <w:sz w:val="24"/>
          <w:szCs w:val="24"/>
        </w:rPr>
        <w:fldChar w:fldCharType="begin">
          <w:fldData xml:space="preserve">PEVuZE5vdGU+PENpdGU+PEF1dGhvcj5TdG9ldDwvQXV0aG9yPjxZZWFyPjIwMTA8L1llYXI+PFJl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</w:fldData>
        </w:fldChar>
      </w:r>
      <w:r w:rsidR="007E7AD9" w:rsidRPr="00371ECA">
        <w:rPr>
          <w:rFonts w:cs="Times New Roman"/>
          <w:color w:val="000000" w:themeColor="text1"/>
          <w:sz w:val="24"/>
          <w:szCs w:val="24"/>
        </w:rPr>
        <w:instrText xml:space="preserve"> ADDIN EN.CITE.DATA </w:instrText>
      </w:r>
      <w:r w:rsidR="007E7AD9" w:rsidRPr="00371ECA">
        <w:rPr>
          <w:rFonts w:cs="Times New Roman"/>
          <w:color w:val="000000" w:themeColor="text1"/>
          <w:sz w:val="24"/>
          <w:szCs w:val="24"/>
        </w:rPr>
      </w:r>
      <w:r w:rsidR="007E7AD9" w:rsidRPr="00371ECA">
        <w:rPr>
          <w:rFonts w:cs="Times New Roman"/>
          <w:color w:val="000000" w:themeColor="text1"/>
          <w:sz w:val="24"/>
          <w:szCs w:val="24"/>
        </w:rPr>
        <w:fldChar w:fldCharType="end"/>
      </w:r>
      <w:r w:rsidR="007E7AD9" w:rsidRPr="00371ECA">
        <w:rPr>
          <w:rFonts w:cs="Times New Roman"/>
          <w:color w:val="000000" w:themeColor="text1"/>
          <w:sz w:val="24"/>
          <w:szCs w:val="24"/>
        </w:rPr>
      </w:r>
      <w:r w:rsidR="007E7AD9" w:rsidRPr="00371ECA">
        <w:rPr>
          <w:rFonts w:cs="Times New Roman"/>
          <w:color w:val="000000" w:themeColor="text1"/>
          <w:sz w:val="24"/>
          <w:szCs w:val="24"/>
        </w:rPr>
        <w:fldChar w:fldCharType="separate"/>
      </w:r>
      <w:r w:rsidR="007E7AD9" w:rsidRPr="00371ECA">
        <w:rPr>
          <w:rFonts w:cs="Times New Roman"/>
          <w:noProof/>
          <w:color w:val="000000" w:themeColor="text1"/>
          <w:sz w:val="24"/>
          <w:szCs w:val="24"/>
        </w:rPr>
        <w:t>(Stoet, 2010; Stoet, 2016)</w:t>
      </w:r>
      <w:r w:rsidR="007E7AD9" w:rsidRPr="00371ECA">
        <w:rPr>
          <w:rFonts w:cs="Times New Roman"/>
          <w:color w:val="000000" w:themeColor="text1"/>
          <w:sz w:val="24"/>
          <w:szCs w:val="24"/>
        </w:rPr>
        <w:fldChar w:fldCharType="end"/>
      </w:r>
      <w:r w:rsidR="007E7AD9" w:rsidRPr="00371ECA">
        <w:rPr>
          <w:rFonts w:cs="Times New Roman"/>
          <w:color w:val="000000" w:themeColor="text1"/>
          <w:sz w:val="24"/>
          <w:szCs w:val="24"/>
        </w:rPr>
        <w:t xml:space="preserve"> </w:t>
      </w:r>
      <w:r w:rsidRPr="00371ECA">
        <w:rPr>
          <w:rFonts w:cs="Times New Roman"/>
          <w:color w:val="000000" w:themeColor="text1"/>
          <w:sz w:val="24"/>
          <w:szCs w:val="24"/>
        </w:rPr>
        <w:t xml:space="preserve">with the coding found in </w:t>
      </w:r>
      <w:r w:rsidR="003E253B" w:rsidRPr="00B21EE4">
        <w:rPr>
          <w:sz w:val="24"/>
          <w:szCs w:val="24"/>
        </w:rPr>
        <w:t>OSF Appendix 1</w:t>
      </w:r>
      <w:r w:rsidR="00921918">
        <w:rPr>
          <w:sz w:val="24"/>
          <w:szCs w:val="24"/>
        </w:rPr>
        <w:t xml:space="preserve"> [peer review link: </w:t>
      </w:r>
      <w:hyperlink r:id="rId10" w:history="1">
        <w:r w:rsidR="00921918" w:rsidRPr="002B7C68">
          <w:rPr>
            <w:rStyle w:val="Hyperlink"/>
            <w:sz w:val="24"/>
            <w:szCs w:val="24"/>
          </w:rPr>
          <w:t>https://osf.io/5728v/overview?view_only=cf2e98cffefb47dd8d8a43d7ac3a82ac</w:t>
        </w:r>
      </w:hyperlink>
      <w:r w:rsidR="00921918">
        <w:rPr>
          <w:sz w:val="24"/>
          <w:szCs w:val="24"/>
        </w:rPr>
        <w:t xml:space="preserve">] </w:t>
      </w:r>
    </w:p>
    <w:p w14:paraId="071E04A7" w14:textId="77777777" w:rsidR="00702E19" w:rsidRDefault="00702E19" w:rsidP="00A57ED8">
      <w:pPr>
        <w:spacing w:after="20" w:line="276" w:lineRule="auto"/>
        <w:rPr>
          <w:rFonts w:cs="Times New Roman"/>
          <w:color w:val="000000" w:themeColor="text1"/>
          <w:sz w:val="24"/>
          <w:szCs w:val="24"/>
        </w:rPr>
      </w:pPr>
    </w:p>
    <w:p w14:paraId="41819179" w14:textId="5DC0DCA6" w:rsidR="000C11E0" w:rsidRDefault="00E601F4" w:rsidP="00A57ED8">
      <w:pPr>
        <w:spacing w:after="20" w:line="276" w:lineRule="auto"/>
        <w:rPr>
          <w:rFonts w:cs="Times New Roman"/>
          <w:color w:val="000000" w:themeColor="text1"/>
          <w:sz w:val="24"/>
          <w:szCs w:val="24"/>
        </w:rPr>
      </w:pPr>
      <w:r w:rsidRPr="00AD204B">
        <w:rPr>
          <w:rFonts w:cs="Times New Roman"/>
          <w:color w:val="000000" w:themeColor="text1"/>
          <w:sz w:val="24"/>
          <w:szCs w:val="24"/>
        </w:rPr>
        <w:t>Although we used the same vignette as in the original study, we recorded fresh videos</w:t>
      </w:r>
      <w:r w:rsidR="00FC3711">
        <w:rPr>
          <w:rFonts w:cs="Times New Roman"/>
          <w:color w:val="000000" w:themeColor="text1"/>
          <w:sz w:val="24"/>
          <w:szCs w:val="24"/>
        </w:rPr>
        <w:t xml:space="preserve"> </w:t>
      </w:r>
      <w:r w:rsidR="00FC3711" w:rsidRPr="00AD204B">
        <w:rPr>
          <w:rFonts w:cs="Times New Roman"/>
          <w:color w:val="000000" w:themeColor="text1"/>
          <w:sz w:val="24"/>
          <w:szCs w:val="24"/>
        </w:rPr>
        <w:t xml:space="preserve">at </w:t>
      </w:r>
      <w:r w:rsidR="00FC3711" w:rsidRPr="00DE079E">
        <w:rPr>
          <w:rFonts w:cs="Times New Roman"/>
          <w:color w:val="000000" w:themeColor="text1"/>
          <w:sz w:val="24"/>
          <w:szCs w:val="24"/>
        </w:rPr>
        <w:t>the University of East Anglia School</w:t>
      </w:r>
      <w:r w:rsidR="00FC3711" w:rsidRPr="00AD204B">
        <w:rPr>
          <w:rFonts w:cs="Times New Roman"/>
          <w:color w:val="000000" w:themeColor="text1"/>
          <w:sz w:val="24"/>
          <w:szCs w:val="24"/>
        </w:rPr>
        <w:t xml:space="preserve"> of Law, in an environment resembling a courtroom</w:t>
      </w:r>
      <w:r w:rsidR="00FC3711">
        <w:rPr>
          <w:rFonts w:cs="Times New Roman"/>
          <w:color w:val="000000" w:themeColor="text1"/>
          <w:sz w:val="24"/>
          <w:szCs w:val="24"/>
        </w:rPr>
        <w:t xml:space="preserve"> and used as a moot court</w:t>
      </w:r>
      <w:r w:rsidRPr="00AD204B">
        <w:rPr>
          <w:rFonts w:cs="Times New Roman"/>
          <w:color w:val="000000" w:themeColor="text1"/>
          <w:sz w:val="24"/>
          <w:szCs w:val="24"/>
        </w:rPr>
        <w:t>.</w:t>
      </w:r>
      <w:r w:rsidR="008A67F8">
        <w:rPr>
          <w:rFonts w:cs="Times New Roman"/>
          <w:color w:val="000000" w:themeColor="text1"/>
          <w:sz w:val="24"/>
          <w:szCs w:val="24"/>
        </w:rPr>
        <w:t xml:space="preserve"> This </w:t>
      </w:r>
      <w:r w:rsidR="000B6808">
        <w:rPr>
          <w:rFonts w:cs="Times New Roman"/>
          <w:color w:val="000000" w:themeColor="text1"/>
          <w:sz w:val="24"/>
          <w:szCs w:val="24"/>
        </w:rPr>
        <w:t xml:space="preserve">was to allow access to </w:t>
      </w:r>
      <w:proofErr w:type="gramStart"/>
      <w:r w:rsidR="000B6808">
        <w:rPr>
          <w:rFonts w:cs="Times New Roman"/>
          <w:color w:val="000000" w:themeColor="text1"/>
          <w:sz w:val="24"/>
          <w:szCs w:val="24"/>
        </w:rPr>
        <w:t>a more preferable</w:t>
      </w:r>
      <w:proofErr w:type="gramEnd"/>
      <w:r w:rsidR="000B6808">
        <w:rPr>
          <w:rFonts w:cs="Times New Roman"/>
          <w:color w:val="000000" w:themeColor="text1"/>
          <w:sz w:val="24"/>
          <w:szCs w:val="24"/>
        </w:rPr>
        <w:t xml:space="preserve"> </w:t>
      </w:r>
      <w:proofErr w:type="gramStart"/>
      <w:r w:rsidR="000B6808">
        <w:rPr>
          <w:rFonts w:cs="Times New Roman"/>
          <w:color w:val="000000" w:themeColor="text1"/>
          <w:sz w:val="24"/>
          <w:szCs w:val="24"/>
        </w:rPr>
        <w:t>background  than</w:t>
      </w:r>
      <w:proofErr w:type="gramEnd"/>
      <w:r w:rsidR="000B6808">
        <w:rPr>
          <w:rFonts w:cs="Times New Roman"/>
          <w:color w:val="000000" w:themeColor="text1"/>
          <w:sz w:val="24"/>
          <w:szCs w:val="24"/>
        </w:rPr>
        <w:t xml:space="preserve"> the neutral background and headshot-to-camera adopted in Baldwin et al (2025)</w:t>
      </w:r>
      <w:proofErr w:type="gramStart"/>
      <w:r w:rsidR="00767C35">
        <w:rPr>
          <w:rFonts w:cs="Times New Roman"/>
          <w:color w:val="000000" w:themeColor="text1"/>
          <w:sz w:val="24"/>
          <w:szCs w:val="24"/>
        </w:rPr>
        <w:t>.</w:t>
      </w:r>
      <w:r w:rsidR="000B6808">
        <w:rPr>
          <w:rFonts w:cs="Times New Roman"/>
          <w:color w:val="000000" w:themeColor="text1"/>
          <w:sz w:val="24"/>
          <w:szCs w:val="24"/>
        </w:rPr>
        <w:t xml:space="preserve"> </w:t>
      </w:r>
      <w:r w:rsidR="000C11E0" w:rsidRPr="00AD204B">
        <w:rPr>
          <w:rFonts w:cs="Times New Roman"/>
          <w:color w:val="000000" w:themeColor="text1"/>
          <w:sz w:val="24"/>
          <w:szCs w:val="24"/>
        </w:rPr>
        <w:t>.</w:t>
      </w:r>
      <w:proofErr w:type="gramEnd"/>
      <w:r w:rsidR="000C11E0" w:rsidRPr="00AD204B">
        <w:rPr>
          <w:rFonts w:cs="Times New Roman"/>
          <w:color w:val="000000" w:themeColor="text1"/>
          <w:sz w:val="24"/>
          <w:szCs w:val="24"/>
        </w:rPr>
        <w:t xml:space="preserve"> The videos were shot from the perspective of the judge and contained the volunteer actor</w:t>
      </w:r>
      <w:r w:rsidR="00FC0FE2">
        <w:rPr>
          <w:rFonts w:cs="Times New Roman"/>
          <w:color w:val="000000" w:themeColor="text1"/>
          <w:sz w:val="24"/>
          <w:szCs w:val="24"/>
        </w:rPr>
        <w:t>, standing at a lectern,</w:t>
      </w:r>
      <w:r w:rsidR="000C11E0" w:rsidRPr="00AD204B">
        <w:rPr>
          <w:rFonts w:cs="Times New Roman"/>
          <w:color w:val="000000" w:themeColor="text1"/>
          <w:sz w:val="24"/>
          <w:szCs w:val="24"/>
        </w:rPr>
        <w:t xml:space="preserve"> portraying the role of a prosecutor at the sentencing hearing. The actor remained the same during both vignettes</w:t>
      </w:r>
      <w:r w:rsidR="001A533F">
        <w:rPr>
          <w:rFonts w:cs="Times New Roman"/>
          <w:color w:val="000000" w:themeColor="text1"/>
          <w:sz w:val="24"/>
          <w:szCs w:val="24"/>
        </w:rPr>
        <w:t xml:space="preserve"> and</w:t>
      </w:r>
      <w:r w:rsidR="00002B04">
        <w:rPr>
          <w:rFonts w:cs="Times New Roman"/>
          <w:color w:val="000000" w:themeColor="text1"/>
          <w:sz w:val="24"/>
          <w:szCs w:val="24"/>
        </w:rPr>
        <w:t xml:space="preserve"> was</w:t>
      </w:r>
      <w:r w:rsidR="001A533F">
        <w:rPr>
          <w:rFonts w:cs="Times New Roman"/>
          <w:color w:val="000000" w:themeColor="text1"/>
          <w:sz w:val="24"/>
          <w:szCs w:val="24"/>
        </w:rPr>
        <w:t xml:space="preserve"> </w:t>
      </w:r>
      <w:r w:rsidR="00DB2B60">
        <w:rPr>
          <w:rFonts w:cs="Times New Roman"/>
          <w:color w:val="000000" w:themeColor="text1"/>
          <w:sz w:val="24"/>
          <w:szCs w:val="24"/>
        </w:rPr>
        <w:t>the sam</w:t>
      </w:r>
      <w:r w:rsidR="005134EA">
        <w:rPr>
          <w:rFonts w:cs="Times New Roman"/>
          <w:color w:val="000000" w:themeColor="text1"/>
          <w:sz w:val="24"/>
          <w:szCs w:val="24"/>
        </w:rPr>
        <w:t>e person used in the original study.</w:t>
      </w:r>
      <w:r w:rsidR="00DB2B60">
        <w:rPr>
          <w:rFonts w:cs="Times New Roman"/>
          <w:color w:val="000000" w:themeColor="text1"/>
          <w:sz w:val="24"/>
          <w:szCs w:val="24"/>
        </w:rPr>
        <w:t xml:space="preserve"> </w:t>
      </w:r>
      <w:r w:rsidR="000C11E0" w:rsidRPr="00AD204B">
        <w:rPr>
          <w:rFonts w:cs="Times New Roman"/>
          <w:color w:val="000000" w:themeColor="text1"/>
          <w:sz w:val="24"/>
          <w:szCs w:val="24"/>
        </w:rPr>
        <w:t xml:space="preserve"> The </w:t>
      </w:r>
      <w:r w:rsidR="00411D38">
        <w:rPr>
          <w:rFonts w:cs="Times New Roman"/>
          <w:color w:val="000000" w:themeColor="text1"/>
          <w:sz w:val="24"/>
          <w:szCs w:val="24"/>
        </w:rPr>
        <w:t xml:space="preserve">actor was </w:t>
      </w:r>
      <w:r w:rsidR="000C11E0" w:rsidRPr="00AD204B">
        <w:rPr>
          <w:rFonts w:cs="Times New Roman"/>
          <w:color w:val="000000" w:themeColor="text1"/>
          <w:sz w:val="24"/>
          <w:szCs w:val="24"/>
        </w:rPr>
        <w:t xml:space="preserve">dressed in appropriate </w:t>
      </w:r>
      <w:r w:rsidR="00FC0FE2">
        <w:rPr>
          <w:rFonts w:cs="Times New Roman"/>
          <w:color w:val="000000" w:themeColor="text1"/>
          <w:sz w:val="24"/>
          <w:szCs w:val="24"/>
        </w:rPr>
        <w:t xml:space="preserve">legal </w:t>
      </w:r>
      <w:r w:rsidR="000C11E0" w:rsidRPr="00AD204B">
        <w:rPr>
          <w:rFonts w:cs="Times New Roman"/>
          <w:color w:val="000000" w:themeColor="text1"/>
          <w:sz w:val="24"/>
          <w:szCs w:val="24"/>
        </w:rPr>
        <w:t>attire, with both videos lasting 6 minutes and 43 seconds.</w:t>
      </w:r>
      <w:r w:rsidR="000C11E0" w:rsidRPr="0039572D">
        <w:rPr>
          <w:rFonts w:cs="Times New Roman"/>
          <w:color w:val="000000" w:themeColor="text1"/>
          <w:sz w:val="24"/>
          <w:szCs w:val="24"/>
        </w:rPr>
        <w:t xml:space="preserve"> </w:t>
      </w:r>
    </w:p>
    <w:p w14:paraId="663D405B" w14:textId="77777777" w:rsidR="008E742D" w:rsidRPr="0039572D" w:rsidRDefault="008E742D" w:rsidP="00A57ED8">
      <w:pPr>
        <w:spacing w:after="20" w:line="276" w:lineRule="auto"/>
        <w:rPr>
          <w:rFonts w:cs="Times New Roman"/>
          <w:color w:val="000000" w:themeColor="text1"/>
          <w:sz w:val="24"/>
          <w:szCs w:val="24"/>
        </w:rPr>
      </w:pPr>
    </w:p>
    <w:p w14:paraId="22B6AB92" w14:textId="77777777" w:rsidR="000C11E0" w:rsidRPr="0039572D" w:rsidRDefault="000C11E0" w:rsidP="00A57ED8">
      <w:pPr>
        <w:pStyle w:val="Heading3"/>
        <w:spacing w:line="276" w:lineRule="auto"/>
      </w:pPr>
      <w:bookmarkStart w:id="8" w:name="_Toc166251397"/>
      <w:r w:rsidRPr="0039572D">
        <w:t>Procedure</w:t>
      </w:r>
      <w:bookmarkEnd w:id="8"/>
    </w:p>
    <w:p w14:paraId="54E0C6FF" w14:textId="4ADDAC10" w:rsidR="000C11E0" w:rsidRPr="0039572D" w:rsidRDefault="000C11E0" w:rsidP="00A57ED8">
      <w:pPr>
        <w:spacing w:after="20" w:line="276" w:lineRule="auto"/>
        <w:rPr>
          <w:rFonts w:cs="Times New Roman"/>
          <w:sz w:val="24"/>
          <w:szCs w:val="24"/>
        </w:rPr>
      </w:pPr>
      <w:r w:rsidRPr="0039572D">
        <w:rPr>
          <w:rFonts w:cs="Times New Roman"/>
          <w:sz w:val="24"/>
          <w:szCs w:val="24"/>
        </w:rPr>
        <w:t>The survey was advertised via the online recruitment website</w:t>
      </w:r>
      <w:r w:rsidR="00DE079E">
        <w:rPr>
          <w:rFonts w:cs="Times New Roman"/>
          <w:sz w:val="24"/>
          <w:szCs w:val="24"/>
        </w:rPr>
        <w:t xml:space="preserve"> </w:t>
      </w:r>
      <w:r w:rsidRPr="0039572D">
        <w:rPr>
          <w:rFonts w:cs="Times New Roman"/>
          <w:sz w:val="24"/>
          <w:szCs w:val="24"/>
        </w:rPr>
        <w:t>Prolific</w:t>
      </w:r>
      <w:r w:rsidR="00DE079E">
        <w:rPr>
          <w:rFonts w:cs="Times New Roman"/>
          <w:sz w:val="24"/>
          <w:szCs w:val="24"/>
        </w:rPr>
        <w:t>.com</w:t>
      </w:r>
      <w:r w:rsidRPr="0039572D">
        <w:rPr>
          <w:rFonts w:cs="Times New Roman"/>
          <w:sz w:val="24"/>
          <w:szCs w:val="24"/>
        </w:rPr>
        <w:t xml:space="preserve"> which sent out alerts to all those eligible from their pool of participants. </w:t>
      </w:r>
      <w:r w:rsidR="006B20C1">
        <w:rPr>
          <w:rFonts w:cs="Times New Roman"/>
          <w:sz w:val="24"/>
          <w:szCs w:val="24"/>
        </w:rPr>
        <w:t xml:space="preserve">Participants were given an information sheet and completed a consent form before completing the study. </w:t>
      </w:r>
    </w:p>
    <w:p w14:paraId="555B3628" w14:textId="77777777" w:rsidR="009947F8" w:rsidRDefault="009947F8" w:rsidP="00A57ED8">
      <w:pPr>
        <w:spacing w:after="20" w:line="276" w:lineRule="auto"/>
        <w:rPr>
          <w:rFonts w:cs="Times New Roman"/>
          <w:sz w:val="24"/>
          <w:szCs w:val="24"/>
        </w:rPr>
      </w:pPr>
    </w:p>
    <w:p w14:paraId="4E3EFF00" w14:textId="6A1391A9" w:rsidR="000C11E0" w:rsidRPr="0039572D" w:rsidRDefault="000C11E0" w:rsidP="00A57ED8">
      <w:pPr>
        <w:spacing w:after="20" w:line="276" w:lineRule="auto"/>
        <w:rPr>
          <w:rFonts w:cs="Times New Roman"/>
          <w:sz w:val="24"/>
          <w:szCs w:val="24"/>
        </w:rPr>
      </w:pPr>
      <w:r w:rsidRPr="0039572D">
        <w:rPr>
          <w:rFonts w:cs="Times New Roman"/>
          <w:sz w:val="24"/>
          <w:szCs w:val="24"/>
        </w:rPr>
        <w:t xml:space="preserve">Participants were asked to record their demographics and knowledge of s.45A sentencing outcomes, which was followed by completing the </w:t>
      </w:r>
      <w:r w:rsidR="00DE079E">
        <w:rPr>
          <w:rFonts w:cs="Times New Roman"/>
          <w:sz w:val="24"/>
          <w:szCs w:val="24"/>
        </w:rPr>
        <w:t>(</w:t>
      </w:r>
      <w:r w:rsidR="00BC406F">
        <w:rPr>
          <w:rFonts w:cs="Times New Roman"/>
          <w:sz w:val="24"/>
          <w:szCs w:val="24"/>
        </w:rPr>
        <w:t>unused</w:t>
      </w:r>
      <w:r w:rsidR="00DE079E">
        <w:rPr>
          <w:rFonts w:cs="Times New Roman"/>
          <w:sz w:val="24"/>
          <w:szCs w:val="24"/>
        </w:rPr>
        <w:t>)</w:t>
      </w:r>
      <w:r w:rsidRPr="0039572D">
        <w:rPr>
          <w:rFonts w:cs="Times New Roman"/>
          <w:sz w:val="24"/>
          <w:szCs w:val="24"/>
        </w:rPr>
        <w:t xml:space="preserve"> MHLO scale.</w:t>
      </w:r>
    </w:p>
    <w:p w14:paraId="61C97F16" w14:textId="73493F16" w:rsidR="000C11E0" w:rsidRPr="0039572D" w:rsidRDefault="000C11E0" w:rsidP="00A57ED8">
      <w:pPr>
        <w:spacing w:after="20" w:line="276" w:lineRule="auto"/>
        <w:rPr>
          <w:rFonts w:cs="Times New Roman"/>
          <w:sz w:val="24"/>
          <w:szCs w:val="24"/>
        </w:rPr>
      </w:pPr>
      <w:r w:rsidRPr="0039572D">
        <w:rPr>
          <w:rFonts w:cs="Times New Roman"/>
          <w:sz w:val="24"/>
          <w:szCs w:val="24"/>
        </w:rPr>
        <w:t xml:space="preserve">Participants were then randomly assigned to one of the two video vignettes. </w:t>
      </w:r>
      <w:r w:rsidR="00DE079E">
        <w:rPr>
          <w:rFonts w:cs="Times New Roman"/>
          <w:sz w:val="24"/>
          <w:szCs w:val="24"/>
        </w:rPr>
        <w:t>After loading the video,</w:t>
      </w:r>
      <w:r w:rsidRPr="0039572D">
        <w:rPr>
          <w:rFonts w:cs="Times New Roman"/>
          <w:sz w:val="24"/>
          <w:szCs w:val="24"/>
        </w:rPr>
        <w:t xml:space="preserve"> they were unable to move on to the next page until 7 minutes had elapsed to help ensure the video was played in its entirety. </w:t>
      </w:r>
      <w:r w:rsidR="005D4DBF">
        <w:rPr>
          <w:rFonts w:cs="Times New Roman"/>
          <w:sz w:val="24"/>
          <w:szCs w:val="24"/>
        </w:rPr>
        <w:t xml:space="preserve">This was a further methodological improvement compared to Baldwin et al (2025). </w:t>
      </w:r>
    </w:p>
    <w:p w14:paraId="3F6FD83A" w14:textId="77777777" w:rsidR="009947F8" w:rsidRDefault="009947F8" w:rsidP="00A57ED8">
      <w:pPr>
        <w:spacing w:after="20" w:line="276" w:lineRule="auto"/>
        <w:rPr>
          <w:rFonts w:cs="Times New Roman"/>
          <w:sz w:val="24"/>
          <w:szCs w:val="24"/>
        </w:rPr>
      </w:pPr>
    </w:p>
    <w:p w14:paraId="0A1D51E7" w14:textId="6B7D9A47" w:rsidR="000C11E0" w:rsidRPr="0039572D" w:rsidRDefault="000C11E0" w:rsidP="00A57ED8">
      <w:pPr>
        <w:spacing w:after="20" w:line="276" w:lineRule="auto"/>
        <w:rPr>
          <w:rFonts w:cs="Times New Roman"/>
          <w:sz w:val="24"/>
          <w:szCs w:val="24"/>
        </w:rPr>
      </w:pPr>
      <w:r w:rsidRPr="0039572D">
        <w:rPr>
          <w:rFonts w:cs="Times New Roman"/>
          <w:sz w:val="24"/>
          <w:szCs w:val="24"/>
        </w:rPr>
        <w:lastRenderedPageBreak/>
        <w:t xml:space="preserve">Participants </w:t>
      </w:r>
      <w:r w:rsidR="005D4DBF">
        <w:rPr>
          <w:rFonts w:cs="Times New Roman"/>
          <w:sz w:val="24"/>
          <w:szCs w:val="24"/>
        </w:rPr>
        <w:t>then</w:t>
      </w:r>
      <w:r w:rsidRPr="0039572D">
        <w:rPr>
          <w:rFonts w:cs="Times New Roman"/>
          <w:sz w:val="24"/>
          <w:szCs w:val="24"/>
        </w:rPr>
        <w:t xml:space="preserve"> rated their level of agreement with the four Vowles statements on a 6-point Likert scale, as well as how confident they were in using </w:t>
      </w:r>
      <w:r w:rsidR="005134EA">
        <w:rPr>
          <w:rFonts w:cs="Times New Roman"/>
          <w:sz w:val="24"/>
          <w:szCs w:val="24"/>
        </w:rPr>
        <w:t>these</w:t>
      </w:r>
      <w:r w:rsidRPr="0039572D">
        <w:rPr>
          <w:rFonts w:cs="Times New Roman"/>
          <w:sz w:val="24"/>
          <w:szCs w:val="24"/>
        </w:rPr>
        <w:t xml:space="preserve"> criteria to make a sentencing judgment. This was followed by a detailed explanation of the three sentencing options, with participants asked to rate on a 0-100 scale the likelihood of giving each sentence, as well as their understanding of the implications of giving </w:t>
      </w:r>
      <w:r w:rsidR="00DE079E">
        <w:rPr>
          <w:rFonts w:cs="Times New Roman"/>
          <w:sz w:val="24"/>
          <w:szCs w:val="24"/>
        </w:rPr>
        <w:t>this</w:t>
      </w:r>
      <w:r w:rsidRPr="0039572D">
        <w:rPr>
          <w:rFonts w:cs="Times New Roman"/>
          <w:sz w:val="24"/>
          <w:szCs w:val="24"/>
        </w:rPr>
        <w:t xml:space="preserve"> sentencing outcome. Participants were then asked to confirm what sentence they would give based on the evidence given. </w:t>
      </w:r>
    </w:p>
    <w:p w14:paraId="0C6992E5" w14:textId="77777777" w:rsidR="00237D6F" w:rsidRDefault="00237D6F" w:rsidP="00A57ED8">
      <w:pPr>
        <w:spacing w:after="20" w:line="276" w:lineRule="auto"/>
        <w:rPr>
          <w:rFonts w:cs="Times New Roman"/>
          <w:sz w:val="24"/>
          <w:szCs w:val="24"/>
        </w:rPr>
      </w:pPr>
    </w:p>
    <w:p w14:paraId="21DBB568" w14:textId="38A101AC" w:rsidR="000C11E0" w:rsidRDefault="000C11E0" w:rsidP="00A57ED8">
      <w:pPr>
        <w:spacing w:after="20" w:line="276" w:lineRule="auto"/>
        <w:rPr>
          <w:rFonts w:cs="Times New Roman"/>
          <w:sz w:val="24"/>
          <w:szCs w:val="24"/>
        </w:rPr>
      </w:pPr>
      <w:r w:rsidRPr="0039572D">
        <w:rPr>
          <w:rFonts w:cs="Times New Roman"/>
          <w:sz w:val="24"/>
          <w:szCs w:val="24"/>
        </w:rPr>
        <w:t>To check that the video had been adequately watched, participants were required to confirm the offence the defendant had been found guilty of, the relation of the victim to the defendant, and the names of the evaluating psychiatrists, via three 3-option multiple-choice questions. Participants were removed from the sample if the participants failed to recall two or more of the questions.</w:t>
      </w:r>
      <w:r w:rsidR="005D4DBF">
        <w:rPr>
          <w:rFonts w:cs="Times New Roman"/>
          <w:sz w:val="24"/>
          <w:szCs w:val="24"/>
        </w:rPr>
        <w:t xml:space="preserve"> </w:t>
      </w:r>
      <w:r w:rsidR="00237D6F">
        <w:rPr>
          <w:rFonts w:cs="Times New Roman"/>
          <w:sz w:val="24"/>
          <w:szCs w:val="24"/>
        </w:rPr>
        <w:t>As above, o</w:t>
      </w:r>
      <w:r w:rsidR="005D4DBF">
        <w:rPr>
          <w:rFonts w:cs="Times New Roman"/>
          <w:sz w:val="24"/>
          <w:szCs w:val="24"/>
        </w:rPr>
        <w:t xml:space="preserve">nly two participants were removed for these reasons. </w:t>
      </w:r>
    </w:p>
    <w:p w14:paraId="44E8E344" w14:textId="77777777" w:rsidR="00237D6F" w:rsidRPr="0039572D" w:rsidRDefault="00237D6F" w:rsidP="00A57ED8">
      <w:pPr>
        <w:spacing w:after="20" w:line="276" w:lineRule="auto"/>
        <w:rPr>
          <w:rFonts w:cs="Times New Roman"/>
          <w:sz w:val="24"/>
          <w:szCs w:val="24"/>
        </w:rPr>
      </w:pPr>
    </w:p>
    <w:p w14:paraId="41E01259" w14:textId="276CD1AF" w:rsidR="009C137E" w:rsidRPr="0039572D" w:rsidRDefault="009C137E" w:rsidP="00A57ED8">
      <w:pPr>
        <w:spacing w:after="20" w:line="276" w:lineRule="auto"/>
        <w:rPr>
          <w:rFonts w:cs="Times New Roman"/>
          <w:sz w:val="24"/>
          <w:szCs w:val="24"/>
        </w:rPr>
      </w:pPr>
      <w:r w:rsidRPr="0039572D">
        <w:rPr>
          <w:rFonts w:cs="Times New Roman"/>
          <w:sz w:val="24"/>
          <w:szCs w:val="24"/>
        </w:rPr>
        <w:t>The study took approximately 20 minutes to complete, and participants were financially compensated for their time</w:t>
      </w:r>
      <w:r>
        <w:rPr>
          <w:rFonts w:cs="Times New Roman"/>
          <w:sz w:val="24"/>
          <w:szCs w:val="24"/>
        </w:rPr>
        <w:t xml:space="preserve"> in line with Prolific guidelines. </w:t>
      </w:r>
    </w:p>
    <w:p w14:paraId="01F34EA0" w14:textId="77777777" w:rsidR="009C137E" w:rsidRPr="0039572D" w:rsidRDefault="009C137E" w:rsidP="00A57ED8">
      <w:pPr>
        <w:spacing w:after="20" w:line="276" w:lineRule="auto"/>
        <w:rPr>
          <w:rFonts w:cs="Times New Roman"/>
          <w:sz w:val="24"/>
          <w:szCs w:val="24"/>
        </w:rPr>
      </w:pPr>
    </w:p>
    <w:p w14:paraId="7C46F84B" w14:textId="77777777" w:rsidR="000C11E0" w:rsidRPr="0039572D" w:rsidRDefault="000C11E0" w:rsidP="00A57ED8">
      <w:pPr>
        <w:pStyle w:val="Heading3"/>
        <w:spacing w:line="276" w:lineRule="auto"/>
      </w:pPr>
      <w:bookmarkStart w:id="9" w:name="_Toc166251398"/>
      <w:r w:rsidRPr="0039572D">
        <w:t>Ethical Considerations</w:t>
      </w:r>
      <w:bookmarkEnd w:id="9"/>
    </w:p>
    <w:p w14:paraId="49B0433E" w14:textId="48803120" w:rsidR="000C11E0" w:rsidRPr="0039572D" w:rsidRDefault="000C11E0" w:rsidP="00A57ED8">
      <w:pPr>
        <w:spacing w:after="20" w:line="276" w:lineRule="auto"/>
        <w:rPr>
          <w:rFonts w:cs="Times New Roman"/>
          <w:sz w:val="24"/>
          <w:szCs w:val="24"/>
        </w:rPr>
      </w:pPr>
      <w:r w:rsidRPr="0039572D">
        <w:rPr>
          <w:rFonts w:cs="Times New Roman"/>
          <w:sz w:val="24"/>
          <w:szCs w:val="24"/>
        </w:rPr>
        <w:t xml:space="preserve">Ethical approval </w:t>
      </w:r>
      <w:r w:rsidRPr="00921918">
        <w:rPr>
          <w:rFonts w:cs="Times New Roman"/>
          <w:sz w:val="24"/>
          <w:szCs w:val="24"/>
        </w:rPr>
        <w:t xml:space="preserve">was gained via the University of East Anglia Faculty of Medicine and Health Sciences Research Ethics </w:t>
      </w:r>
      <w:r w:rsidRPr="00921918">
        <w:rPr>
          <w:rFonts w:cs="Times New Roman"/>
          <w:color w:val="000000" w:themeColor="text1"/>
          <w:sz w:val="24"/>
          <w:szCs w:val="24"/>
        </w:rPr>
        <w:t>Committee (</w:t>
      </w:r>
      <w:r w:rsidR="009F7855" w:rsidRPr="00921918">
        <w:rPr>
          <w:rFonts w:cs="Times New Roman"/>
          <w:color w:val="000000" w:themeColor="text1"/>
          <w:sz w:val="24"/>
          <w:szCs w:val="24"/>
        </w:rPr>
        <w:t xml:space="preserve">Reference </w:t>
      </w:r>
      <w:r w:rsidR="009F7855" w:rsidRPr="00921918">
        <w:rPr>
          <w:sz w:val="24"/>
          <w:szCs w:val="24"/>
        </w:rPr>
        <w:t>ETH2324-0026</w:t>
      </w:r>
      <w:r w:rsidRPr="00921918">
        <w:rPr>
          <w:rFonts w:cs="Times New Roman"/>
          <w:color w:val="000000" w:themeColor="text1"/>
          <w:sz w:val="24"/>
          <w:szCs w:val="24"/>
        </w:rPr>
        <w:t xml:space="preserve">). </w:t>
      </w:r>
      <w:r w:rsidR="00851ACB" w:rsidRPr="00921918">
        <w:rPr>
          <w:rFonts w:cs="Times New Roman"/>
          <w:color w:val="000000" w:themeColor="text1"/>
          <w:sz w:val="24"/>
          <w:szCs w:val="24"/>
        </w:rPr>
        <w:t>D</w:t>
      </w:r>
      <w:r w:rsidRPr="00921918">
        <w:rPr>
          <w:rFonts w:cs="Times New Roman"/>
          <w:sz w:val="24"/>
          <w:szCs w:val="24"/>
        </w:rPr>
        <w:t>ata extracted from PsyToolkit contained no identifiable information. All participants gave informed consent and were aware that they could withdraw</w:t>
      </w:r>
      <w:r w:rsidRPr="0039572D">
        <w:rPr>
          <w:rFonts w:cs="Times New Roman"/>
          <w:sz w:val="24"/>
          <w:szCs w:val="24"/>
        </w:rPr>
        <w:t xml:space="preserve"> at any time during the study, confirming again at the end of the study that they wanted their data to be used.</w:t>
      </w:r>
    </w:p>
    <w:p w14:paraId="1C31D57A" w14:textId="77777777" w:rsidR="00C1741E" w:rsidRDefault="00C1741E" w:rsidP="00A57ED8">
      <w:pPr>
        <w:pStyle w:val="Heading3"/>
        <w:spacing w:line="276" w:lineRule="auto"/>
      </w:pPr>
      <w:bookmarkStart w:id="10" w:name="_Toc166251399"/>
    </w:p>
    <w:p w14:paraId="335407BD" w14:textId="01EDD5DB" w:rsidR="000C11E0" w:rsidRPr="0039572D" w:rsidRDefault="000C11E0" w:rsidP="00A57ED8">
      <w:pPr>
        <w:pStyle w:val="Heading3"/>
        <w:spacing w:line="276" w:lineRule="auto"/>
      </w:pPr>
      <w:r w:rsidRPr="0039572D">
        <w:t>Analysis</w:t>
      </w:r>
      <w:bookmarkEnd w:id="10"/>
      <w:r w:rsidRPr="0039572D">
        <w:t xml:space="preserve"> </w:t>
      </w:r>
    </w:p>
    <w:p w14:paraId="3CFC528A" w14:textId="69376D58" w:rsidR="000C11E0" w:rsidRDefault="00C1741E" w:rsidP="00A57ED8">
      <w:pPr>
        <w:spacing w:after="0" w:line="276" w:lineRule="auto"/>
        <w:rPr>
          <w:rFonts w:cs="Times New Roman"/>
          <w:sz w:val="24"/>
          <w:szCs w:val="24"/>
        </w:rPr>
      </w:pPr>
      <w:r>
        <w:rPr>
          <w:rFonts w:cs="Times New Roman"/>
          <w:sz w:val="24"/>
          <w:szCs w:val="24"/>
        </w:rPr>
        <w:t>The</w:t>
      </w:r>
      <w:r w:rsidR="001F5BFE">
        <w:rPr>
          <w:rFonts w:cs="Times New Roman"/>
          <w:sz w:val="24"/>
          <w:szCs w:val="24"/>
        </w:rPr>
        <w:t xml:space="preserve"> broad</w:t>
      </w:r>
      <w:r>
        <w:rPr>
          <w:rFonts w:cs="Times New Roman"/>
          <w:sz w:val="24"/>
          <w:szCs w:val="24"/>
        </w:rPr>
        <w:t xml:space="preserve"> approach to analysis was </w:t>
      </w:r>
      <w:r w:rsidR="008B1443">
        <w:rPr>
          <w:rFonts w:cs="Times New Roman"/>
          <w:sz w:val="24"/>
          <w:szCs w:val="24"/>
        </w:rPr>
        <w:t>as follows:</w:t>
      </w:r>
    </w:p>
    <w:p w14:paraId="534E112F" w14:textId="77DAFE49" w:rsidR="008B1443" w:rsidRDefault="008B1443" w:rsidP="00A57ED8">
      <w:pPr>
        <w:pStyle w:val="ListParagraph"/>
        <w:numPr>
          <w:ilvl w:val="0"/>
          <w:numId w:val="43"/>
        </w:numPr>
        <w:spacing w:after="0" w:line="276" w:lineRule="auto"/>
        <w:rPr>
          <w:rFonts w:cs="Times New Roman"/>
          <w:sz w:val="24"/>
          <w:szCs w:val="24"/>
        </w:rPr>
      </w:pPr>
      <w:r>
        <w:rPr>
          <w:rFonts w:cs="Times New Roman"/>
          <w:sz w:val="24"/>
          <w:szCs w:val="24"/>
        </w:rPr>
        <w:t xml:space="preserve">To consider if the main independent and dependent variables (sentencing behaviour, agreement with Vowles statements) differed based on either stated confidence or knowledge of s.37/45A. This was important </w:t>
      </w:r>
      <w:r w:rsidR="005151D4">
        <w:rPr>
          <w:rFonts w:cs="Times New Roman"/>
          <w:sz w:val="24"/>
          <w:szCs w:val="24"/>
        </w:rPr>
        <w:t>to establish whether the legal expertise of the sample made a difference to outcomes</w:t>
      </w:r>
      <w:r w:rsidR="009F4858">
        <w:rPr>
          <w:rFonts w:cs="Times New Roman"/>
          <w:sz w:val="24"/>
          <w:szCs w:val="24"/>
        </w:rPr>
        <w:t>.</w:t>
      </w:r>
    </w:p>
    <w:p w14:paraId="7BFF77CF" w14:textId="119CA38A" w:rsidR="009F4858" w:rsidRDefault="004C562B" w:rsidP="00A57ED8">
      <w:pPr>
        <w:pStyle w:val="ListParagraph"/>
        <w:numPr>
          <w:ilvl w:val="0"/>
          <w:numId w:val="43"/>
        </w:numPr>
        <w:spacing w:after="0" w:line="276" w:lineRule="auto"/>
        <w:rPr>
          <w:rFonts w:cs="Times New Roman"/>
          <w:sz w:val="24"/>
          <w:szCs w:val="24"/>
        </w:rPr>
      </w:pPr>
      <w:r>
        <w:rPr>
          <w:rFonts w:cs="Times New Roman"/>
          <w:sz w:val="24"/>
          <w:szCs w:val="24"/>
        </w:rPr>
        <w:t xml:space="preserve">To report </w:t>
      </w:r>
      <w:r w:rsidR="00CB4EBE">
        <w:rPr>
          <w:rFonts w:cs="Times New Roman"/>
          <w:sz w:val="24"/>
          <w:szCs w:val="24"/>
        </w:rPr>
        <w:t xml:space="preserve">the frequency distribution concerning endorsement of the different Vowles statements and report relationships between Vowles statements using Spearman’s correlations. </w:t>
      </w:r>
    </w:p>
    <w:p w14:paraId="75F152DD" w14:textId="40598917" w:rsidR="00C1741E" w:rsidRDefault="00F11FB9" w:rsidP="00A57ED8">
      <w:pPr>
        <w:pStyle w:val="ListParagraph"/>
        <w:numPr>
          <w:ilvl w:val="0"/>
          <w:numId w:val="43"/>
        </w:numPr>
        <w:spacing w:after="0" w:line="276" w:lineRule="auto"/>
        <w:rPr>
          <w:rFonts w:cs="Times New Roman"/>
          <w:sz w:val="24"/>
          <w:szCs w:val="24"/>
        </w:rPr>
      </w:pPr>
      <w:r>
        <w:rPr>
          <w:rFonts w:cs="Times New Roman"/>
          <w:sz w:val="24"/>
          <w:szCs w:val="24"/>
        </w:rPr>
        <w:t xml:space="preserve">To consider differences in </w:t>
      </w:r>
      <w:r w:rsidR="00E16EF1">
        <w:rPr>
          <w:rFonts w:cs="Times New Roman"/>
          <w:sz w:val="24"/>
          <w:szCs w:val="24"/>
        </w:rPr>
        <w:t>endorsement of each Vowles statements using a series of chi-squared analyses</w:t>
      </w:r>
      <w:r>
        <w:rPr>
          <w:rFonts w:cs="Times New Roman"/>
          <w:sz w:val="24"/>
          <w:szCs w:val="24"/>
        </w:rPr>
        <w:t xml:space="preserve"> using condition as the grouping variable and strength of endorsement of each Vowles statement as the dependent variable.</w:t>
      </w:r>
    </w:p>
    <w:p w14:paraId="303E396B" w14:textId="62786FB2" w:rsidR="00E16EF1" w:rsidRDefault="00CE2C41" w:rsidP="00A57ED8">
      <w:pPr>
        <w:pStyle w:val="ListParagraph"/>
        <w:numPr>
          <w:ilvl w:val="0"/>
          <w:numId w:val="43"/>
        </w:numPr>
        <w:spacing w:after="0" w:line="276" w:lineRule="auto"/>
        <w:rPr>
          <w:rFonts w:cs="Times New Roman"/>
          <w:sz w:val="24"/>
          <w:szCs w:val="24"/>
        </w:rPr>
      </w:pPr>
      <w:r>
        <w:rPr>
          <w:rFonts w:cs="Times New Roman"/>
          <w:sz w:val="24"/>
          <w:szCs w:val="24"/>
        </w:rPr>
        <w:lastRenderedPageBreak/>
        <w:t xml:space="preserve">To consider differences in sentencing behaviour by condition through a chi-squared analysis (for </w:t>
      </w:r>
      <w:r w:rsidR="0079725C">
        <w:rPr>
          <w:rFonts w:cs="Times New Roman"/>
          <w:sz w:val="24"/>
          <w:szCs w:val="24"/>
        </w:rPr>
        <w:t xml:space="preserve">the final sentencing judgements) and through t-tests in the associated linear sentencing </w:t>
      </w:r>
      <w:r w:rsidR="009E375C">
        <w:rPr>
          <w:rFonts w:cs="Times New Roman"/>
          <w:sz w:val="24"/>
          <w:szCs w:val="24"/>
        </w:rPr>
        <w:t xml:space="preserve">intention variables. Finally, to enhance statistical power, a further single </w:t>
      </w:r>
      <w:proofErr w:type="spellStart"/>
      <w:r w:rsidR="009E375C">
        <w:rPr>
          <w:rFonts w:cs="Times New Roman"/>
          <w:sz w:val="24"/>
          <w:szCs w:val="24"/>
        </w:rPr>
        <w:t>chi</w:t>
      </w:r>
      <w:proofErr w:type="spellEnd"/>
      <w:r w:rsidR="009E375C">
        <w:rPr>
          <w:rFonts w:cs="Times New Roman"/>
          <w:sz w:val="24"/>
          <w:szCs w:val="24"/>
        </w:rPr>
        <w:t xml:space="preserve">-squared test was conducted using the combined samples from the present study and Baldwin et al (2025), in which the effect of condition was considered in relation to final accorded sentence. </w:t>
      </w:r>
    </w:p>
    <w:p w14:paraId="6F39BBD2" w14:textId="6FB053EA" w:rsidR="0079725C" w:rsidRDefault="009E375C" w:rsidP="00A57ED8">
      <w:pPr>
        <w:pStyle w:val="ListParagraph"/>
        <w:numPr>
          <w:ilvl w:val="0"/>
          <w:numId w:val="43"/>
        </w:numPr>
        <w:spacing w:after="0" w:line="276" w:lineRule="auto"/>
        <w:rPr>
          <w:rFonts w:cs="Times New Roman"/>
          <w:sz w:val="24"/>
          <w:szCs w:val="24"/>
        </w:rPr>
      </w:pPr>
      <w:r>
        <w:rPr>
          <w:rFonts w:cs="Times New Roman"/>
          <w:sz w:val="24"/>
          <w:szCs w:val="24"/>
        </w:rPr>
        <w:t>To consider the potential interactive effect of condition and/or the different Vowles statements on final sentencing behaviour, a</w:t>
      </w:r>
      <w:r w:rsidR="00AF0A86">
        <w:rPr>
          <w:rFonts w:cs="Times New Roman"/>
          <w:sz w:val="24"/>
          <w:szCs w:val="24"/>
        </w:rPr>
        <w:t xml:space="preserve"> logistic</w:t>
      </w:r>
      <w:r>
        <w:rPr>
          <w:rFonts w:cs="Times New Roman"/>
          <w:sz w:val="24"/>
          <w:szCs w:val="24"/>
        </w:rPr>
        <w:t xml:space="preserve"> was conducted with the final sentence as the dependent variable (</w:t>
      </w:r>
      <w:r w:rsidR="00AF0A86">
        <w:rPr>
          <w:rFonts w:cs="Times New Roman"/>
          <w:sz w:val="24"/>
          <w:szCs w:val="24"/>
        </w:rPr>
        <w:t xml:space="preserve">an ordinal regression had been planned but was not in the event suitable – see below). </w:t>
      </w:r>
      <w:r w:rsidR="001F5BFE">
        <w:rPr>
          <w:rFonts w:cs="Times New Roman"/>
          <w:sz w:val="24"/>
          <w:szCs w:val="24"/>
        </w:rPr>
        <w:t xml:space="preserve">The approach to this regression is described below. </w:t>
      </w:r>
    </w:p>
    <w:p w14:paraId="65A49128" w14:textId="275A2258" w:rsidR="001F5BFE" w:rsidRDefault="001F5BFE" w:rsidP="00A57ED8">
      <w:pPr>
        <w:pStyle w:val="ListParagraph"/>
        <w:numPr>
          <w:ilvl w:val="0"/>
          <w:numId w:val="43"/>
        </w:numPr>
        <w:spacing w:after="0" w:line="276" w:lineRule="auto"/>
        <w:rPr>
          <w:rFonts w:cs="Times New Roman"/>
          <w:sz w:val="24"/>
          <w:szCs w:val="24"/>
        </w:rPr>
      </w:pPr>
      <w:r>
        <w:rPr>
          <w:rFonts w:cs="Times New Roman"/>
          <w:sz w:val="24"/>
          <w:szCs w:val="24"/>
        </w:rPr>
        <w:t xml:space="preserve">As sensitivity analyses, three linear regressions were then conducted using the three continuous ‘sentencing agreement’ variables as the dependent variable. These were structured in the same way as the logistic regression. </w:t>
      </w:r>
    </w:p>
    <w:p w14:paraId="693DAC08" w14:textId="06E345FB" w:rsidR="00783D5A" w:rsidRPr="00E16EF1" w:rsidRDefault="00783D5A" w:rsidP="00783D5A">
      <w:pPr>
        <w:pStyle w:val="ListParagraph"/>
        <w:spacing w:after="0" w:line="276" w:lineRule="auto"/>
        <w:rPr>
          <w:rFonts w:cs="Times New Roman"/>
          <w:sz w:val="24"/>
          <w:szCs w:val="24"/>
        </w:rPr>
      </w:pPr>
    </w:p>
    <w:p w14:paraId="2100905A" w14:textId="16415963" w:rsidR="006C6E19" w:rsidRPr="001F5BFE" w:rsidRDefault="001F5BFE" w:rsidP="00A57ED8">
      <w:pPr>
        <w:spacing w:after="0" w:line="276" w:lineRule="auto"/>
        <w:rPr>
          <w:rFonts w:cs="Times New Roman"/>
          <w:sz w:val="24"/>
          <w:szCs w:val="24"/>
        </w:rPr>
      </w:pPr>
      <w:r>
        <w:rPr>
          <w:rFonts w:cs="Times New Roman"/>
          <w:sz w:val="24"/>
          <w:szCs w:val="24"/>
        </w:rPr>
        <w:t xml:space="preserve">This approach and the adaptation of the approach to the available data is considered in more detail in the results section. </w:t>
      </w:r>
    </w:p>
    <w:p w14:paraId="36F73C18" w14:textId="77777777" w:rsidR="000C11E0" w:rsidRPr="0039572D" w:rsidRDefault="000C11E0" w:rsidP="00DB7B26">
      <w:pPr>
        <w:pStyle w:val="Heading1"/>
      </w:pPr>
      <w:bookmarkStart w:id="11" w:name="_Toc166251400"/>
      <w:r w:rsidRPr="0039572D">
        <w:t>Results</w:t>
      </w:r>
      <w:bookmarkEnd w:id="11"/>
      <w:r w:rsidRPr="0039572D">
        <w:t xml:space="preserve"> </w:t>
      </w:r>
    </w:p>
    <w:p w14:paraId="42595641" w14:textId="77777777" w:rsidR="00E6343E" w:rsidRDefault="00E6343E" w:rsidP="00E6343E">
      <w:pPr>
        <w:pStyle w:val="Heading2"/>
      </w:pPr>
      <w:r w:rsidRPr="00F3176F">
        <w:t>T</w:t>
      </w:r>
      <w:r>
        <w:t>esting sampling assumptions and generalisability</w:t>
      </w:r>
    </w:p>
    <w:p w14:paraId="784EDEE4" w14:textId="38568335" w:rsidR="00E6343E" w:rsidRPr="00783D5A" w:rsidRDefault="00E6343E" w:rsidP="00A57ED8">
      <w:pPr>
        <w:spacing w:line="276" w:lineRule="auto"/>
        <w:rPr>
          <w:b/>
          <w:bCs/>
          <w:sz w:val="24"/>
          <w:szCs w:val="24"/>
        </w:rPr>
      </w:pPr>
      <w:r w:rsidRPr="00783D5A">
        <w:rPr>
          <w:sz w:val="24"/>
          <w:szCs w:val="24"/>
        </w:rPr>
        <w:t>Prior to conducting the main analyses, we reviewed the extent to which there was evidence to suggest that greater prior relevant legal experience was associated with differences in</w:t>
      </w:r>
      <w:r w:rsidR="00C87C5A" w:rsidRPr="00783D5A">
        <w:rPr>
          <w:sz w:val="24"/>
          <w:szCs w:val="24"/>
        </w:rPr>
        <w:t xml:space="preserve"> key variables</w:t>
      </w:r>
      <w:r w:rsidR="00B1017A">
        <w:rPr>
          <w:sz w:val="24"/>
          <w:szCs w:val="24"/>
        </w:rPr>
        <w:t xml:space="preserve"> </w:t>
      </w:r>
      <w:r w:rsidR="00A25CB7">
        <w:rPr>
          <w:sz w:val="24"/>
          <w:szCs w:val="24"/>
        </w:rPr>
        <w:t>(</w:t>
      </w:r>
      <w:r w:rsidR="00A25CB7" w:rsidRPr="00A25CB7">
        <w:rPr>
          <w:sz w:val="24"/>
          <w:szCs w:val="24"/>
        </w:rPr>
        <w:t>sentencing outcomes, each of the Vowles statements, Vowles confidence ratings, and the three ‘likelihood’ and ‘confidence’ variables associated with specific sentences</w:t>
      </w:r>
      <w:r w:rsidR="00A25CB7">
        <w:rPr>
          <w:sz w:val="24"/>
          <w:szCs w:val="24"/>
        </w:rPr>
        <w:t>)</w:t>
      </w:r>
      <w:r w:rsidRPr="00783D5A">
        <w:rPr>
          <w:sz w:val="24"/>
          <w:szCs w:val="24"/>
        </w:rPr>
        <w:t>.</w:t>
      </w:r>
      <w:r w:rsidR="002E7460" w:rsidRPr="00783D5A">
        <w:rPr>
          <w:sz w:val="24"/>
          <w:szCs w:val="24"/>
        </w:rPr>
        <w:t xml:space="preserve">These analyses overall suggest that, unsurprisingly, the main impact of experience and knowledge relating so s37/45A was to increase confidence in sentencing in relation to these decisions. However, more experience was not associated with fundamental differences in decision-making. For these reasons, we proceeded with main analyses using the full sample. </w:t>
      </w:r>
      <w:r w:rsidR="002E7460" w:rsidRPr="00FC5D15">
        <w:rPr>
          <w:sz w:val="24"/>
          <w:szCs w:val="24"/>
        </w:rPr>
        <w:t xml:space="preserve">Output from the relevant analyses is found </w:t>
      </w:r>
      <w:proofErr w:type="gramStart"/>
      <w:r w:rsidR="002E7460" w:rsidRPr="00FC5D15">
        <w:rPr>
          <w:sz w:val="24"/>
          <w:szCs w:val="24"/>
        </w:rPr>
        <w:t>in</w:t>
      </w:r>
      <w:r w:rsidRPr="00FC5D15">
        <w:rPr>
          <w:b/>
          <w:bCs/>
          <w:sz w:val="24"/>
          <w:szCs w:val="24"/>
        </w:rPr>
        <w:t>(</w:t>
      </w:r>
      <w:proofErr w:type="gramEnd"/>
      <w:r w:rsidRPr="00FC5D15">
        <w:rPr>
          <w:b/>
          <w:bCs/>
          <w:sz w:val="24"/>
          <w:szCs w:val="24"/>
        </w:rPr>
        <w:t xml:space="preserve">OSF Appendix </w:t>
      </w:r>
      <w:r w:rsidR="003E253B" w:rsidRPr="00FC5D15">
        <w:rPr>
          <w:b/>
          <w:bCs/>
          <w:sz w:val="24"/>
          <w:szCs w:val="24"/>
        </w:rPr>
        <w:t>2</w:t>
      </w:r>
      <w:r w:rsidR="00FC5D15">
        <w:rPr>
          <w:b/>
          <w:bCs/>
          <w:sz w:val="24"/>
          <w:szCs w:val="24"/>
        </w:rPr>
        <w:t xml:space="preserve"> [peer review link: </w:t>
      </w:r>
      <w:r w:rsidR="00FC5D15" w:rsidRPr="00FC5D15">
        <w:rPr>
          <w:b/>
          <w:bCs/>
          <w:sz w:val="24"/>
          <w:szCs w:val="24"/>
        </w:rPr>
        <w:t>https://osf.io/5728v/overview?view_only=cf2e98cffefb47dd8d8a43d7ac3a82ac</w:t>
      </w:r>
      <w:r w:rsidR="00FC5D15">
        <w:rPr>
          <w:b/>
          <w:bCs/>
          <w:sz w:val="24"/>
          <w:szCs w:val="24"/>
        </w:rPr>
        <w:t>]</w:t>
      </w:r>
      <w:r w:rsidRPr="00FC5D15">
        <w:rPr>
          <w:b/>
          <w:bCs/>
          <w:sz w:val="24"/>
          <w:szCs w:val="24"/>
        </w:rPr>
        <w:t>).</w:t>
      </w:r>
      <w:r w:rsidRPr="00783D5A">
        <w:rPr>
          <w:b/>
          <w:bCs/>
          <w:sz w:val="24"/>
          <w:szCs w:val="24"/>
        </w:rPr>
        <w:t xml:space="preserve"> </w:t>
      </w:r>
    </w:p>
    <w:p w14:paraId="1D8CF328" w14:textId="77777777" w:rsidR="00C44978" w:rsidRPr="00783D5A" w:rsidRDefault="00C44978" w:rsidP="00A57ED8">
      <w:pPr>
        <w:spacing w:line="276" w:lineRule="auto"/>
        <w:rPr>
          <w:b/>
          <w:bCs/>
          <w:sz w:val="24"/>
          <w:szCs w:val="24"/>
        </w:rPr>
      </w:pPr>
    </w:p>
    <w:p w14:paraId="747307B5" w14:textId="64AD4362" w:rsidR="000C11E0" w:rsidRDefault="00DB7B26" w:rsidP="00A57ED8">
      <w:pPr>
        <w:pStyle w:val="Heading2"/>
        <w:spacing w:line="276" w:lineRule="auto"/>
      </w:pPr>
      <w:r>
        <w:t>Overall responses by Vowles, whole sample</w:t>
      </w:r>
    </w:p>
    <w:p w14:paraId="53C2791B" w14:textId="73895D53" w:rsidR="001C4486" w:rsidRPr="00585143" w:rsidRDefault="000D2AD7" w:rsidP="00A57ED8">
      <w:pPr>
        <w:spacing w:line="276" w:lineRule="auto"/>
        <w:rPr>
          <w:sz w:val="24"/>
          <w:szCs w:val="24"/>
        </w:rPr>
      </w:pPr>
      <w:r w:rsidRPr="00585143">
        <w:rPr>
          <w:color w:val="000000" w:themeColor="text1"/>
          <w:sz w:val="24"/>
          <w:szCs w:val="24"/>
          <w:highlight w:val="yellow"/>
        </w:rPr>
        <w:fldChar w:fldCharType="begin"/>
      </w:r>
      <w:r w:rsidRPr="00585143">
        <w:rPr>
          <w:color w:val="000000" w:themeColor="text1"/>
          <w:sz w:val="24"/>
          <w:szCs w:val="24"/>
          <w:highlight w:val="yellow"/>
        </w:rPr>
        <w:instrText xml:space="preserve"> REF _Ref202987301 \h  \* MERGEFORMAT </w:instrText>
      </w:r>
      <w:r w:rsidRPr="00585143">
        <w:rPr>
          <w:color w:val="000000" w:themeColor="text1"/>
          <w:sz w:val="24"/>
          <w:szCs w:val="24"/>
          <w:highlight w:val="yellow"/>
        </w:rPr>
      </w:r>
      <w:r w:rsidRPr="00585143">
        <w:rPr>
          <w:color w:val="000000" w:themeColor="text1"/>
          <w:sz w:val="24"/>
          <w:szCs w:val="24"/>
          <w:highlight w:val="yellow"/>
        </w:rPr>
        <w:fldChar w:fldCharType="separate"/>
      </w:r>
      <w:r w:rsidR="007C3307" w:rsidRPr="00585143">
        <w:rPr>
          <w:color w:val="000000" w:themeColor="text1"/>
          <w:sz w:val="24"/>
          <w:szCs w:val="24"/>
        </w:rPr>
        <w:t xml:space="preserve">Table </w:t>
      </w:r>
      <w:r w:rsidR="007C3307" w:rsidRPr="00585143">
        <w:rPr>
          <w:noProof/>
          <w:color w:val="000000" w:themeColor="text1"/>
          <w:sz w:val="24"/>
          <w:szCs w:val="24"/>
        </w:rPr>
        <w:t>2</w:t>
      </w:r>
      <w:r w:rsidRPr="00585143">
        <w:rPr>
          <w:color w:val="000000" w:themeColor="text1"/>
          <w:sz w:val="24"/>
          <w:szCs w:val="24"/>
          <w:highlight w:val="yellow"/>
        </w:rPr>
        <w:fldChar w:fldCharType="end"/>
      </w:r>
      <w:r w:rsidR="001C4486" w:rsidRPr="00585143">
        <w:rPr>
          <w:color w:val="000000" w:themeColor="text1"/>
          <w:sz w:val="24"/>
          <w:szCs w:val="24"/>
        </w:rPr>
        <w:t xml:space="preserve"> provides the overall breakdown of ratings on the </w:t>
      </w:r>
      <w:r w:rsidR="00B87BE6" w:rsidRPr="00585143">
        <w:rPr>
          <w:color w:val="000000" w:themeColor="text1"/>
          <w:sz w:val="24"/>
          <w:szCs w:val="24"/>
        </w:rPr>
        <w:t xml:space="preserve">four </w:t>
      </w:r>
      <w:r w:rsidR="00F3176F" w:rsidRPr="00585143">
        <w:rPr>
          <w:color w:val="000000" w:themeColor="text1"/>
          <w:sz w:val="24"/>
          <w:szCs w:val="24"/>
        </w:rPr>
        <w:t>main Vowles statements across t</w:t>
      </w:r>
      <w:r w:rsidR="00F3176F" w:rsidRPr="00585143">
        <w:rPr>
          <w:sz w:val="24"/>
          <w:szCs w:val="24"/>
        </w:rPr>
        <w:t xml:space="preserve">he whole sample. </w:t>
      </w:r>
    </w:p>
    <w:p w14:paraId="15BA3085" w14:textId="42736A02" w:rsidR="00256CAC" w:rsidRDefault="00256CAC" w:rsidP="00256CAC">
      <w:pPr>
        <w:spacing w:line="360" w:lineRule="auto"/>
        <w:rPr>
          <w:b/>
          <w:bCs/>
        </w:rPr>
      </w:pPr>
    </w:p>
    <w:p w14:paraId="6241C366" w14:textId="77777777" w:rsidR="00585143" w:rsidRDefault="00585143" w:rsidP="00256CAC">
      <w:pPr>
        <w:spacing w:line="360" w:lineRule="auto"/>
        <w:rPr>
          <w:b/>
          <w:bCs/>
        </w:rPr>
      </w:pPr>
    </w:p>
    <w:p w14:paraId="54625174" w14:textId="77777777" w:rsidR="00585143" w:rsidRDefault="00585143" w:rsidP="00256CAC">
      <w:pPr>
        <w:spacing w:line="360" w:lineRule="auto"/>
        <w:rPr>
          <w:b/>
          <w:bCs/>
        </w:rPr>
      </w:pPr>
    </w:p>
    <w:p w14:paraId="633F6A8F" w14:textId="77777777" w:rsidR="00585143" w:rsidRDefault="00585143" w:rsidP="00256CAC">
      <w:pPr>
        <w:spacing w:line="360" w:lineRule="auto"/>
        <w:rPr>
          <w:b/>
          <w:bCs/>
        </w:rPr>
      </w:pPr>
    </w:p>
    <w:p w14:paraId="09FD7F44" w14:textId="77777777" w:rsidR="00585143" w:rsidRDefault="00585143" w:rsidP="00256CAC">
      <w:pPr>
        <w:spacing w:line="360" w:lineRule="auto"/>
        <w:rPr>
          <w:b/>
          <w:bCs/>
        </w:rPr>
      </w:pPr>
    </w:p>
    <w:p w14:paraId="713F0A50" w14:textId="31EBD5E2" w:rsidR="000D2AD7" w:rsidRPr="000D2AD7" w:rsidRDefault="000D2AD7" w:rsidP="000D2AD7">
      <w:pPr>
        <w:pStyle w:val="Caption"/>
        <w:keepNext/>
        <w:rPr>
          <w:b/>
          <w:bCs/>
        </w:rPr>
      </w:pPr>
      <w:bookmarkStart w:id="12" w:name="_Ref202987301"/>
      <w:r w:rsidRPr="000D2AD7">
        <w:rPr>
          <w:b/>
          <w:bCs/>
        </w:rPr>
        <w:t xml:space="preserve">Table </w:t>
      </w:r>
      <w:r w:rsidRPr="000D2AD7">
        <w:rPr>
          <w:b/>
          <w:bCs/>
        </w:rPr>
        <w:fldChar w:fldCharType="begin"/>
      </w:r>
      <w:r w:rsidRPr="000D2AD7">
        <w:rPr>
          <w:b/>
          <w:bCs/>
        </w:rPr>
        <w:instrText xml:space="preserve"> SEQ Table \* ARABIC </w:instrText>
      </w:r>
      <w:r w:rsidRPr="000D2AD7">
        <w:rPr>
          <w:b/>
          <w:bCs/>
        </w:rPr>
        <w:fldChar w:fldCharType="separate"/>
      </w:r>
      <w:r w:rsidR="00041D2F">
        <w:rPr>
          <w:b/>
          <w:bCs/>
          <w:noProof/>
        </w:rPr>
        <w:t>2</w:t>
      </w:r>
      <w:r w:rsidRPr="000D2AD7">
        <w:rPr>
          <w:b/>
          <w:bCs/>
        </w:rPr>
        <w:fldChar w:fldCharType="end"/>
      </w:r>
      <w:bookmarkEnd w:id="12"/>
      <w:r w:rsidR="007C3307">
        <w:rPr>
          <w:b/>
          <w:bCs/>
        </w:rPr>
        <w:t>:</w:t>
      </w:r>
      <w:r w:rsidRPr="000D2AD7">
        <w:rPr>
          <w:b/>
          <w:bCs/>
        </w:rPr>
        <w:t xml:space="preserve"> Overall responses by Vowles statement; whole sample (n=122).</w:t>
      </w:r>
    </w:p>
    <w:tbl>
      <w:tblPr>
        <w:tblStyle w:val="PlainTable2"/>
        <w:tblW w:w="8757" w:type="dxa"/>
        <w:tblLook w:val="04A0" w:firstRow="1" w:lastRow="0" w:firstColumn="1" w:lastColumn="0" w:noHBand="0" w:noVBand="1"/>
      </w:tblPr>
      <w:tblGrid>
        <w:gridCol w:w="2521"/>
        <w:gridCol w:w="1559"/>
        <w:gridCol w:w="1559"/>
        <w:gridCol w:w="1559"/>
        <w:gridCol w:w="1559"/>
      </w:tblGrid>
      <w:tr w:rsidR="00256CAC" w:rsidRPr="00822D42" w14:paraId="2948246B" w14:textId="77777777" w:rsidTr="005B08F3">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521" w:type="dxa"/>
            <w:noWrap/>
            <w:hideMark/>
          </w:tcPr>
          <w:p w14:paraId="22E420EE" w14:textId="77777777" w:rsidR="00256CAC" w:rsidRPr="00822D42" w:rsidRDefault="00256CAC" w:rsidP="005B08F3">
            <w:pPr>
              <w:spacing w:line="360" w:lineRule="auto"/>
              <w:rPr>
                <w:rFonts w:ascii="Aptos Narrow" w:eastAsia="Times New Roman" w:hAnsi="Aptos Narrow" w:cs="Times New Roman"/>
                <w:color w:val="000000"/>
                <w:lang w:eastAsia="en-GB"/>
              </w:rPr>
            </w:pPr>
            <w:r w:rsidRPr="00822D42">
              <w:rPr>
                <w:rFonts w:ascii="Aptos Narrow" w:eastAsia="Times New Roman" w:hAnsi="Aptos Narrow" w:cs="Times New Roman"/>
                <w:color w:val="000000"/>
                <w:lang w:eastAsia="en-GB"/>
              </w:rPr>
              <w:t>Response</w:t>
            </w:r>
          </w:p>
        </w:tc>
        <w:tc>
          <w:tcPr>
            <w:tcW w:w="1559" w:type="dxa"/>
            <w:noWrap/>
            <w:hideMark/>
          </w:tcPr>
          <w:p w14:paraId="24D0104C" w14:textId="77777777" w:rsidR="00256CAC" w:rsidRDefault="00256CAC" w:rsidP="005B08F3">
            <w:pPr>
              <w:spacing w:line="36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val="0"/>
                <w:bCs w:val="0"/>
                <w:color w:val="000000"/>
                <w:lang w:eastAsia="en-GB"/>
              </w:rPr>
            </w:pPr>
            <w:r w:rsidRPr="00822D42">
              <w:rPr>
                <w:rFonts w:ascii="Aptos Narrow" w:eastAsia="Times New Roman" w:hAnsi="Aptos Narrow" w:cs="Times New Roman"/>
                <w:color w:val="000000"/>
                <w:lang w:eastAsia="en-GB"/>
              </w:rPr>
              <w:t>Vowles</w:t>
            </w:r>
            <w:r>
              <w:rPr>
                <w:rFonts w:ascii="Aptos Narrow" w:eastAsia="Times New Roman" w:hAnsi="Aptos Narrow" w:cs="Times New Roman"/>
                <w:color w:val="000000"/>
                <w:lang w:eastAsia="en-GB"/>
              </w:rPr>
              <w:t xml:space="preserve"> 1 </w:t>
            </w:r>
          </w:p>
          <w:p w14:paraId="5D0DF22C" w14:textId="77777777" w:rsidR="00256CAC" w:rsidRPr="00822D42" w:rsidRDefault="00256CAC" w:rsidP="005B08F3">
            <w:pPr>
              <w:spacing w:line="36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(Requires Treatment)</w:t>
            </w:r>
          </w:p>
        </w:tc>
        <w:tc>
          <w:tcPr>
            <w:tcW w:w="1559" w:type="dxa"/>
            <w:noWrap/>
            <w:hideMark/>
          </w:tcPr>
          <w:p w14:paraId="7B107585" w14:textId="77777777" w:rsidR="00256CAC" w:rsidRPr="00822D42" w:rsidRDefault="00256CAC" w:rsidP="005B08F3">
            <w:pPr>
              <w:spacing w:line="36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sidRPr="00822D42">
              <w:rPr>
                <w:rFonts w:ascii="Aptos Narrow" w:eastAsia="Times New Roman" w:hAnsi="Aptos Narrow" w:cs="Times New Roman"/>
                <w:color w:val="000000"/>
                <w:lang w:eastAsia="en-GB"/>
              </w:rPr>
              <w:t>Vowles</w:t>
            </w:r>
            <w:r>
              <w:rPr>
                <w:rFonts w:ascii="Aptos Narrow" w:eastAsia="Times New Roman" w:hAnsi="Aptos Narrow" w:cs="Times New Roman"/>
                <w:color w:val="000000"/>
                <w:lang w:eastAsia="en-GB"/>
              </w:rPr>
              <w:t xml:space="preserve"> 2 (Offending Attributable to MH)</w:t>
            </w:r>
          </w:p>
        </w:tc>
        <w:tc>
          <w:tcPr>
            <w:tcW w:w="1559" w:type="dxa"/>
            <w:noWrap/>
            <w:hideMark/>
          </w:tcPr>
          <w:p w14:paraId="417972F7" w14:textId="77777777" w:rsidR="00256CAC" w:rsidRDefault="00256CAC" w:rsidP="005B08F3">
            <w:pPr>
              <w:spacing w:line="36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val="0"/>
                <w:bCs w:val="0"/>
                <w:color w:val="000000"/>
                <w:lang w:eastAsia="en-GB"/>
              </w:rPr>
            </w:pPr>
            <w:r w:rsidRPr="00822D42">
              <w:rPr>
                <w:rFonts w:ascii="Aptos Narrow" w:eastAsia="Times New Roman" w:hAnsi="Aptos Narrow" w:cs="Times New Roman"/>
                <w:color w:val="000000"/>
                <w:lang w:eastAsia="en-GB"/>
              </w:rPr>
              <w:t>Vowles</w:t>
            </w:r>
            <w:r>
              <w:rPr>
                <w:rFonts w:ascii="Aptos Narrow" w:eastAsia="Times New Roman" w:hAnsi="Aptos Narrow" w:cs="Times New Roman"/>
                <w:color w:val="000000"/>
                <w:lang w:eastAsia="en-GB"/>
              </w:rPr>
              <w:t xml:space="preserve"> </w:t>
            </w:r>
            <w:r w:rsidRPr="00822D42">
              <w:rPr>
                <w:rFonts w:ascii="Aptos Narrow" w:eastAsia="Times New Roman" w:hAnsi="Aptos Narrow" w:cs="Times New Roman"/>
                <w:color w:val="000000"/>
                <w:lang w:eastAsia="en-GB"/>
              </w:rPr>
              <w:t>3</w:t>
            </w:r>
          </w:p>
          <w:p w14:paraId="6B3C4D1D" w14:textId="77777777" w:rsidR="00256CAC" w:rsidRPr="00822D42" w:rsidRDefault="00256CAC" w:rsidP="005B08F3">
            <w:pPr>
              <w:spacing w:line="36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(Requires Punishment)</w:t>
            </w:r>
          </w:p>
        </w:tc>
        <w:tc>
          <w:tcPr>
            <w:tcW w:w="1559" w:type="dxa"/>
            <w:noWrap/>
            <w:hideMark/>
          </w:tcPr>
          <w:p w14:paraId="03673425" w14:textId="77777777" w:rsidR="00256CAC" w:rsidRPr="00822D42" w:rsidRDefault="00256CAC" w:rsidP="005B08F3">
            <w:pPr>
              <w:spacing w:line="36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sidRPr="00822D42">
              <w:rPr>
                <w:rFonts w:ascii="Aptos Narrow" w:eastAsia="Times New Roman" w:hAnsi="Aptos Narrow" w:cs="Times New Roman"/>
                <w:color w:val="000000"/>
                <w:lang w:eastAsia="en-GB"/>
              </w:rPr>
              <w:t>Vowles</w:t>
            </w:r>
            <w:r>
              <w:rPr>
                <w:rFonts w:ascii="Aptos Narrow" w:eastAsia="Times New Roman" w:hAnsi="Aptos Narrow" w:cs="Times New Roman"/>
                <w:color w:val="000000"/>
                <w:lang w:eastAsia="en-GB"/>
              </w:rPr>
              <w:t xml:space="preserve"> 4 (Protection of Public)</w:t>
            </w:r>
          </w:p>
        </w:tc>
      </w:tr>
      <w:tr w:rsidR="00256CAC" w:rsidRPr="00822D42" w14:paraId="55F36448" w14:textId="77777777" w:rsidTr="0058514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521" w:type="dxa"/>
            <w:noWrap/>
            <w:hideMark/>
          </w:tcPr>
          <w:p w14:paraId="4FA9E075" w14:textId="77777777" w:rsidR="00256CAC" w:rsidRPr="00822D42" w:rsidRDefault="00256CAC" w:rsidP="005B08F3">
            <w:pPr>
              <w:spacing w:line="360" w:lineRule="auto"/>
              <w:rPr>
                <w:rFonts w:ascii="Aptos Narrow" w:eastAsia="Times New Roman" w:hAnsi="Aptos Narrow" w:cs="Times New Roman"/>
                <w:color w:val="000000"/>
                <w:lang w:eastAsia="en-GB"/>
              </w:rPr>
            </w:pPr>
            <w:r w:rsidRPr="00822D42">
              <w:rPr>
                <w:rFonts w:ascii="Aptos Narrow" w:eastAsia="Times New Roman" w:hAnsi="Aptos Narrow" w:cs="Times New Roman"/>
                <w:color w:val="000000"/>
                <w:lang w:eastAsia="en-GB"/>
              </w:rPr>
              <w:t>Strongly Disagree</w:t>
            </w:r>
          </w:p>
        </w:tc>
        <w:tc>
          <w:tcPr>
            <w:tcW w:w="1559" w:type="dxa"/>
            <w:noWrap/>
          </w:tcPr>
          <w:p w14:paraId="4314BC33" w14:textId="1C207DEE" w:rsidR="00256CAC" w:rsidRPr="00822D42" w:rsidRDefault="001849FA" w:rsidP="005B08F3">
            <w:pPr>
              <w:spacing w:line="36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w:t>
            </w:r>
          </w:p>
        </w:tc>
        <w:tc>
          <w:tcPr>
            <w:tcW w:w="1559" w:type="dxa"/>
            <w:noWrap/>
          </w:tcPr>
          <w:p w14:paraId="0D84C640" w14:textId="1FE4D076" w:rsidR="00256CAC" w:rsidRPr="00822D42" w:rsidRDefault="00C06A8B" w:rsidP="005B08F3">
            <w:pPr>
              <w:spacing w:line="36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w:t>
            </w:r>
          </w:p>
        </w:tc>
        <w:tc>
          <w:tcPr>
            <w:tcW w:w="1559" w:type="dxa"/>
            <w:noWrap/>
          </w:tcPr>
          <w:p w14:paraId="39B630EF" w14:textId="7D19BD06" w:rsidR="00256CAC" w:rsidRPr="00822D42" w:rsidRDefault="00891BFC" w:rsidP="005B08F3">
            <w:pPr>
              <w:spacing w:line="36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2 (1.6%)</w:t>
            </w:r>
          </w:p>
        </w:tc>
        <w:tc>
          <w:tcPr>
            <w:tcW w:w="1559" w:type="dxa"/>
            <w:noWrap/>
          </w:tcPr>
          <w:p w14:paraId="1D8016B2" w14:textId="6147AB3F" w:rsidR="00256CAC" w:rsidRPr="00822D42" w:rsidRDefault="00C06A8B" w:rsidP="005B08F3">
            <w:pPr>
              <w:spacing w:line="36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w:t>
            </w:r>
          </w:p>
        </w:tc>
      </w:tr>
      <w:tr w:rsidR="00256CAC" w:rsidRPr="00822D42" w14:paraId="55C0165F" w14:textId="77777777" w:rsidTr="00585143">
        <w:trPr>
          <w:trHeight w:hRule="exact" w:val="284"/>
        </w:trPr>
        <w:tc>
          <w:tcPr>
            <w:cnfStyle w:val="001000000000" w:firstRow="0" w:lastRow="0" w:firstColumn="1" w:lastColumn="0" w:oddVBand="0" w:evenVBand="0" w:oddHBand="0" w:evenHBand="0" w:firstRowFirstColumn="0" w:firstRowLastColumn="0" w:lastRowFirstColumn="0" w:lastRowLastColumn="0"/>
            <w:tcW w:w="2521" w:type="dxa"/>
            <w:noWrap/>
            <w:hideMark/>
          </w:tcPr>
          <w:p w14:paraId="755B1224" w14:textId="344A744D" w:rsidR="00256CAC" w:rsidRPr="00822D42" w:rsidRDefault="00E43EF9" w:rsidP="005B08F3">
            <w:pPr>
              <w:spacing w:line="36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 xml:space="preserve">Moderately </w:t>
            </w:r>
            <w:r w:rsidR="00256CAC" w:rsidRPr="00822D42">
              <w:rPr>
                <w:rFonts w:ascii="Aptos Narrow" w:eastAsia="Times New Roman" w:hAnsi="Aptos Narrow" w:cs="Times New Roman"/>
                <w:color w:val="000000"/>
                <w:lang w:eastAsia="en-GB"/>
              </w:rPr>
              <w:t>Disagree</w:t>
            </w:r>
          </w:p>
        </w:tc>
        <w:tc>
          <w:tcPr>
            <w:tcW w:w="1559" w:type="dxa"/>
            <w:noWrap/>
          </w:tcPr>
          <w:p w14:paraId="41D3F62D" w14:textId="5F4FD8BA" w:rsidR="00256CAC" w:rsidRPr="00822D42" w:rsidRDefault="006B658B" w:rsidP="005B08F3">
            <w:pPr>
              <w:spacing w:line="36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4 (3.3%)</w:t>
            </w:r>
          </w:p>
        </w:tc>
        <w:tc>
          <w:tcPr>
            <w:tcW w:w="1559" w:type="dxa"/>
            <w:noWrap/>
          </w:tcPr>
          <w:p w14:paraId="7B97E300" w14:textId="71C7A03D" w:rsidR="00256CAC" w:rsidRPr="00822D42" w:rsidRDefault="006B658B" w:rsidP="005B08F3">
            <w:pPr>
              <w:spacing w:line="36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9 (7.4%)</w:t>
            </w:r>
          </w:p>
        </w:tc>
        <w:tc>
          <w:tcPr>
            <w:tcW w:w="1559" w:type="dxa"/>
            <w:noWrap/>
          </w:tcPr>
          <w:p w14:paraId="0CEC8238" w14:textId="37D67544" w:rsidR="00256CAC" w:rsidRPr="00822D42" w:rsidRDefault="006B658B" w:rsidP="005B08F3">
            <w:pPr>
              <w:spacing w:line="36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7 (5.7%)</w:t>
            </w:r>
          </w:p>
        </w:tc>
        <w:tc>
          <w:tcPr>
            <w:tcW w:w="1559" w:type="dxa"/>
            <w:noWrap/>
          </w:tcPr>
          <w:p w14:paraId="684C64B3" w14:textId="20B376E4" w:rsidR="00256CAC" w:rsidRPr="00822D42" w:rsidRDefault="00C06A8B" w:rsidP="005B08F3">
            <w:pPr>
              <w:spacing w:line="36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w:t>
            </w:r>
          </w:p>
        </w:tc>
      </w:tr>
      <w:tr w:rsidR="00256CAC" w:rsidRPr="00822D42" w14:paraId="63E0EA41" w14:textId="77777777" w:rsidTr="0058514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521" w:type="dxa"/>
            <w:noWrap/>
            <w:hideMark/>
          </w:tcPr>
          <w:p w14:paraId="45271134" w14:textId="135491E8" w:rsidR="00256CAC" w:rsidRPr="00822D42" w:rsidRDefault="00E43EF9" w:rsidP="005B08F3">
            <w:pPr>
              <w:spacing w:line="36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 xml:space="preserve">Slightly </w:t>
            </w:r>
            <w:r w:rsidR="00256CAC" w:rsidRPr="00822D42">
              <w:rPr>
                <w:rFonts w:ascii="Aptos Narrow" w:eastAsia="Times New Roman" w:hAnsi="Aptos Narrow" w:cs="Times New Roman"/>
                <w:color w:val="000000"/>
                <w:lang w:eastAsia="en-GB"/>
              </w:rPr>
              <w:t>Disagree</w:t>
            </w:r>
          </w:p>
        </w:tc>
        <w:tc>
          <w:tcPr>
            <w:tcW w:w="1559" w:type="dxa"/>
            <w:noWrap/>
          </w:tcPr>
          <w:p w14:paraId="06CBD7CD" w14:textId="0F17B8FD" w:rsidR="00256CAC" w:rsidRPr="00822D42" w:rsidRDefault="001849FA" w:rsidP="005B08F3">
            <w:pPr>
              <w:spacing w:line="36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2 (1.6%)</w:t>
            </w:r>
          </w:p>
        </w:tc>
        <w:tc>
          <w:tcPr>
            <w:tcW w:w="1559" w:type="dxa"/>
            <w:noWrap/>
          </w:tcPr>
          <w:p w14:paraId="55229A21" w14:textId="2CD20EA5" w:rsidR="00256CAC" w:rsidRPr="00822D42" w:rsidRDefault="00C06A8B" w:rsidP="005B08F3">
            <w:pPr>
              <w:spacing w:line="36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19 (15.6%)</w:t>
            </w:r>
          </w:p>
        </w:tc>
        <w:tc>
          <w:tcPr>
            <w:tcW w:w="1559" w:type="dxa"/>
            <w:noWrap/>
          </w:tcPr>
          <w:p w14:paraId="2B7FC8D8" w14:textId="09694937" w:rsidR="00256CAC" w:rsidRPr="00822D42" w:rsidRDefault="00134858" w:rsidP="005B08F3">
            <w:pPr>
              <w:spacing w:line="36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16 (13.1%)</w:t>
            </w:r>
          </w:p>
        </w:tc>
        <w:tc>
          <w:tcPr>
            <w:tcW w:w="1559" w:type="dxa"/>
            <w:noWrap/>
          </w:tcPr>
          <w:p w14:paraId="6048CCAD" w14:textId="12DBC493" w:rsidR="00256CAC" w:rsidRPr="00822D42" w:rsidRDefault="00500B4D" w:rsidP="005B08F3">
            <w:pPr>
              <w:spacing w:line="36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2 (1.6%)</w:t>
            </w:r>
          </w:p>
        </w:tc>
      </w:tr>
      <w:tr w:rsidR="00256CAC" w:rsidRPr="00822D42" w14:paraId="5877B6D8" w14:textId="77777777" w:rsidTr="00585143">
        <w:trPr>
          <w:trHeight w:hRule="exact" w:val="284"/>
        </w:trPr>
        <w:tc>
          <w:tcPr>
            <w:cnfStyle w:val="001000000000" w:firstRow="0" w:lastRow="0" w:firstColumn="1" w:lastColumn="0" w:oddVBand="0" w:evenVBand="0" w:oddHBand="0" w:evenHBand="0" w:firstRowFirstColumn="0" w:firstRowLastColumn="0" w:lastRowFirstColumn="0" w:lastRowLastColumn="0"/>
            <w:tcW w:w="2521" w:type="dxa"/>
            <w:noWrap/>
            <w:hideMark/>
          </w:tcPr>
          <w:p w14:paraId="16892EF3" w14:textId="2975E6D9" w:rsidR="00256CAC" w:rsidRPr="00822D42" w:rsidRDefault="00E43EF9" w:rsidP="005B08F3">
            <w:pPr>
              <w:spacing w:line="36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Slightly</w:t>
            </w:r>
            <w:r w:rsidR="00256CAC" w:rsidRPr="00822D42">
              <w:rPr>
                <w:rFonts w:ascii="Aptos Narrow" w:eastAsia="Times New Roman" w:hAnsi="Aptos Narrow" w:cs="Times New Roman"/>
                <w:color w:val="000000"/>
                <w:lang w:eastAsia="en-GB"/>
              </w:rPr>
              <w:t xml:space="preserve"> Agree</w:t>
            </w:r>
          </w:p>
        </w:tc>
        <w:tc>
          <w:tcPr>
            <w:tcW w:w="1559" w:type="dxa"/>
            <w:noWrap/>
          </w:tcPr>
          <w:p w14:paraId="27DAE896" w14:textId="764D287C" w:rsidR="00256CAC" w:rsidRPr="00822D42" w:rsidRDefault="001849FA" w:rsidP="005B08F3">
            <w:pPr>
              <w:spacing w:line="36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28 (23.0%)</w:t>
            </w:r>
          </w:p>
        </w:tc>
        <w:tc>
          <w:tcPr>
            <w:tcW w:w="1559" w:type="dxa"/>
            <w:noWrap/>
          </w:tcPr>
          <w:p w14:paraId="141980D6" w14:textId="2F8591DC" w:rsidR="00256CAC" w:rsidRPr="00822D42" w:rsidRDefault="00C06A8B" w:rsidP="005B08F3">
            <w:pPr>
              <w:spacing w:line="36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52 (42.6%)</w:t>
            </w:r>
          </w:p>
        </w:tc>
        <w:tc>
          <w:tcPr>
            <w:tcW w:w="1559" w:type="dxa"/>
            <w:noWrap/>
          </w:tcPr>
          <w:p w14:paraId="31704A04" w14:textId="439EC401" w:rsidR="00256CAC" w:rsidRPr="00822D42" w:rsidRDefault="00134858" w:rsidP="005B08F3">
            <w:pPr>
              <w:spacing w:line="36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34 (27.9%)</w:t>
            </w:r>
          </w:p>
        </w:tc>
        <w:tc>
          <w:tcPr>
            <w:tcW w:w="1559" w:type="dxa"/>
            <w:noWrap/>
          </w:tcPr>
          <w:p w14:paraId="3BD43EBD" w14:textId="3725249D" w:rsidR="00256CAC" w:rsidRPr="00822D42" w:rsidRDefault="00500B4D" w:rsidP="005B08F3">
            <w:pPr>
              <w:spacing w:line="36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30 (24.6%)</w:t>
            </w:r>
          </w:p>
        </w:tc>
      </w:tr>
      <w:tr w:rsidR="00256CAC" w:rsidRPr="00822D42" w14:paraId="2FC1DF93" w14:textId="77777777" w:rsidTr="0058514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521" w:type="dxa"/>
            <w:noWrap/>
            <w:hideMark/>
          </w:tcPr>
          <w:p w14:paraId="03AE62AD" w14:textId="364A7635" w:rsidR="00256CAC" w:rsidRPr="00822D42" w:rsidRDefault="00E43EF9" w:rsidP="005B08F3">
            <w:pPr>
              <w:spacing w:line="36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 xml:space="preserve">Moderately </w:t>
            </w:r>
            <w:r w:rsidR="00256CAC" w:rsidRPr="00822D42">
              <w:rPr>
                <w:rFonts w:ascii="Aptos Narrow" w:eastAsia="Times New Roman" w:hAnsi="Aptos Narrow" w:cs="Times New Roman"/>
                <w:color w:val="000000"/>
                <w:lang w:eastAsia="en-GB"/>
              </w:rPr>
              <w:t>Agree</w:t>
            </w:r>
          </w:p>
        </w:tc>
        <w:tc>
          <w:tcPr>
            <w:tcW w:w="1559" w:type="dxa"/>
            <w:noWrap/>
          </w:tcPr>
          <w:p w14:paraId="540C3108" w14:textId="4A3520F4" w:rsidR="00256CAC" w:rsidRPr="00822D42" w:rsidRDefault="001849FA" w:rsidP="005B08F3">
            <w:pPr>
              <w:spacing w:line="36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42 (34.4%)</w:t>
            </w:r>
          </w:p>
        </w:tc>
        <w:tc>
          <w:tcPr>
            <w:tcW w:w="1559" w:type="dxa"/>
            <w:noWrap/>
          </w:tcPr>
          <w:p w14:paraId="72C1E3DC" w14:textId="01594C73" w:rsidR="00256CAC" w:rsidRPr="00822D42" w:rsidRDefault="00C06A8B" w:rsidP="005B08F3">
            <w:pPr>
              <w:spacing w:line="36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37 (30.3%)</w:t>
            </w:r>
          </w:p>
        </w:tc>
        <w:tc>
          <w:tcPr>
            <w:tcW w:w="1559" w:type="dxa"/>
            <w:noWrap/>
          </w:tcPr>
          <w:p w14:paraId="134F549A" w14:textId="52CFE576" w:rsidR="00256CAC" w:rsidRPr="00822D42" w:rsidRDefault="00134858" w:rsidP="005B08F3">
            <w:pPr>
              <w:spacing w:line="36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46 (37.7%)</w:t>
            </w:r>
          </w:p>
        </w:tc>
        <w:tc>
          <w:tcPr>
            <w:tcW w:w="1559" w:type="dxa"/>
            <w:noWrap/>
          </w:tcPr>
          <w:p w14:paraId="656D5E27" w14:textId="01DD0270" w:rsidR="00256CAC" w:rsidRPr="00822D42" w:rsidRDefault="00500B4D" w:rsidP="005B08F3">
            <w:pPr>
              <w:spacing w:line="36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35 (28.7%)</w:t>
            </w:r>
          </w:p>
        </w:tc>
      </w:tr>
      <w:tr w:rsidR="00256CAC" w:rsidRPr="00822D42" w14:paraId="357C900B" w14:textId="77777777" w:rsidTr="00585143">
        <w:trPr>
          <w:trHeight w:hRule="exact" w:val="284"/>
        </w:trPr>
        <w:tc>
          <w:tcPr>
            <w:cnfStyle w:val="001000000000" w:firstRow="0" w:lastRow="0" w:firstColumn="1" w:lastColumn="0" w:oddVBand="0" w:evenVBand="0" w:oddHBand="0" w:evenHBand="0" w:firstRowFirstColumn="0" w:firstRowLastColumn="0" w:lastRowFirstColumn="0" w:lastRowLastColumn="0"/>
            <w:tcW w:w="2521" w:type="dxa"/>
            <w:noWrap/>
            <w:hideMark/>
          </w:tcPr>
          <w:p w14:paraId="3BAAE956" w14:textId="77777777" w:rsidR="00256CAC" w:rsidRPr="00822D42" w:rsidRDefault="00256CAC" w:rsidP="005B08F3">
            <w:pPr>
              <w:spacing w:line="360" w:lineRule="auto"/>
              <w:rPr>
                <w:rFonts w:ascii="Aptos Narrow" w:eastAsia="Times New Roman" w:hAnsi="Aptos Narrow" w:cs="Times New Roman"/>
                <w:color w:val="000000"/>
                <w:lang w:eastAsia="en-GB"/>
              </w:rPr>
            </w:pPr>
            <w:r w:rsidRPr="00822D42">
              <w:rPr>
                <w:rFonts w:ascii="Aptos Narrow" w:eastAsia="Times New Roman" w:hAnsi="Aptos Narrow" w:cs="Times New Roman"/>
                <w:color w:val="000000"/>
                <w:lang w:eastAsia="en-GB"/>
              </w:rPr>
              <w:t>Strongly Agree</w:t>
            </w:r>
          </w:p>
        </w:tc>
        <w:tc>
          <w:tcPr>
            <w:tcW w:w="1559" w:type="dxa"/>
            <w:noWrap/>
          </w:tcPr>
          <w:p w14:paraId="26C66767" w14:textId="02BB52E4" w:rsidR="00256CAC" w:rsidRPr="00822D42" w:rsidRDefault="001849FA" w:rsidP="005B08F3">
            <w:pPr>
              <w:spacing w:line="36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46 (37.7%)</w:t>
            </w:r>
          </w:p>
        </w:tc>
        <w:tc>
          <w:tcPr>
            <w:tcW w:w="1559" w:type="dxa"/>
            <w:noWrap/>
          </w:tcPr>
          <w:p w14:paraId="2479A81F" w14:textId="0C06BFA0" w:rsidR="00256CAC" w:rsidRPr="00822D42" w:rsidRDefault="00C06A8B" w:rsidP="005B08F3">
            <w:pPr>
              <w:spacing w:line="36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5 (4.1%)</w:t>
            </w:r>
          </w:p>
        </w:tc>
        <w:tc>
          <w:tcPr>
            <w:tcW w:w="1559" w:type="dxa"/>
            <w:noWrap/>
          </w:tcPr>
          <w:p w14:paraId="6A336E99" w14:textId="70FBCD29" w:rsidR="00256CAC" w:rsidRPr="00822D42" w:rsidRDefault="00134858" w:rsidP="005B08F3">
            <w:pPr>
              <w:spacing w:line="36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17 (13.9%)</w:t>
            </w:r>
          </w:p>
        </w:tc>
        <w:tc>
          <w:tcPr>
            <w:tcW w:w="1559" w:type="dxa"/>
            <w:noWrap/>
          </w:tcPr>
          <w:p w14:paraId="5226CC68" w14:textId="53D21103" w:rsidR="00256CAC" w:rsidRPr="00822D42" w:rsidRDefault="00500B4D" w:rsidP="005B08F3">
            <w:pPr>
              <w:spacing w:line="36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sidRPr="75659B58">
              <w:rPr>
                <w:rFonts w:ascii="Aptos Narrow" w:eastAsia="Times New Roman" w:hAnsi="Aptos Narrow" w:cs="Times New Roman"/>
                <w:color w:val="000000" w:themeColor="text1"/>
                <w:lang w:eastAsia="en-GB"/>
              </w:rPr>
              <w:t>55 (45.1%)</w:t>
            </w:r>
          </w:p>
        </w:tc>
      </w:tr>
    </w:tbl>
    <w:p w14:paraId="06AEBCCF" w14:textId="7633F373" w:rsidR="00256CAC" w:rsidRDefault="00256CAC" w:rsidP="00585143">
      <w:pPr>
        <w:spacing w:line="276" w:lineRule="auto"/>
        <w:rPr>
          <w:i/>
          <w:iCs/>
          <w:sz w:val="18"/>
          <w:szCs w:val="18"/>
        </w:rPr>
      </w:pPr>
      <w:r w:rsidRPr="008437D6">
        <w:rPr>
          <w:i/>
          <w:iCs/>
          <w:sz w:val="18"/>
          <w:szCs w:val="18"/>
        </w:rPr>
        <w:t xml:space="preserve">Vowles 1: “the extent to which the offender needed treatment for the mental disorder from which the offender suffered”; Vowles 2: “the extent to which the offending was attributable to the mental disorder”; Vowles 3: “the extent to which punishment was required; Vowles 4: “the protection of the public, including the regime for deciding release and the regime after release”. </w:t>
      </w:r>
    </w:p>
    <w:p w14:paraId="3AAC133C" w14:textId="77777777" w:rsidR="007A721B" w:rsidRDefault="007A721B" w:rsidP="00256CAC">
      <w:pPr>
        <w:spacing w:line="360" w:lineRule="auto"/>
        <w:rPr>
          <w:i/>
          <w:iCs/>
          <w:sz w:val="18"/>
          <w:szCs w:val="18"/>
        </w:rPr>
      </w:pPr>
    </w:p>
    <w:p w14:paraId="652AAA64" w14:textId="77777777" w:rsidR="00CB4EBE" w:rsidRDefault="00CB4EBE" w:rsidP="00A57ED8">
      <w:pPr>
        <w:pStyle w:val="Heading2"/>
        <w:spacing w:line="276" w:lineRule="auto"/>
      </w:pPr>
      <w:bookmarkStart w:id="13" w:name="_Toc166251402"/>
      <w:r>
        <w:t>Mean Scores and Relationships between Vowles ratings</w:t>
      </w:r>
    </w:p>
    <w:p w14:paraId="30D7AC79" w14:textId="4AD0FDCA" w:rsidR="00CB4EBE" w:rsidRPr="00585143" w:rsidRDefault="00CB4EBE" w:rsidP="00A57ED8">
      <w:pPr>
        <w:spacing w:line="276" w:lineRule="auto"/>
        <w:rPr>
          <w:sz w:val="24"/>
          <w:szCs w:val="24"/>
        </w:rPr>
      </w:pPr>
      <w:r w:rsidRPr="00585143">
        <w:rPr>
          <w:sz w:val="24"/>
          <w:szCs w:val="24"/>
        </w:rPr>
        <w:t xml:space="preserve">Spearman’s correlation coefficients were calculated to explore relationships between the four Vowles statements and the three likelihood ratings. These are shown in </w:t>
      </w:r>
      <w:r w:rsidR="00A955FF" w:rsidRPr="00585143">
        <w:rPr>
          <w:sz w:val="24"/>
          <w:szCs w:val="24"/>
        </w:rPr>
        <w:t>Table 3</w:t>
      </w:r>
      <w:r w:rsidRPr="00585143">
        <w:rPr>
          <w:sz w:val="24"/>
          <w:szCs w:val="24"/>
        </w:rPr>
        <w:t xml:space="preserve"> alongside mean scores and standard deviations. </w:t>
      </w:r>
    </w:p>
    <w:p w14:paraId="221EFE09" w14:textId="77777777" w:rsidR="00A955FF" w:rsidRDefault="00A955FF" w:rsidP="00CB4EBE">
      <w:pPr>
        <w:spacing w:line="360" w:lineRule="auto"/>
        <w:rPr>
          <w:sz w:val="18"/>
          <w:szCs w:val="18"/>
        </w:rPr>
      </w:pPr>
    </w:p>
    <w:p w14:paraId="5D00783F" w14:textId="1E8814BD" w:rsidR="00CB4EBE" w:rsidRPr="0039572D" w:rsidRDefault="00CB4EBE" w:rsidP="00CB4EBE">
      <w:pPr>
        <w:pStyle w:val="Caption"/>
        <w:keepNext/>
        <w:rPr>
          <w:rFonts w:cs="Times New Roman"/>
          <w:i w:val="0"/>
          <w:iCs w:val="0"/>
          <w:sz w:val="24"/>
          <w:szCs w:val="24"/>
        </w:rPr>
      </w:pPr>
      <w:bookmarkStart w:id="14" w:name="_Ref202987370"/>
      <w:r w:rsidRPr="00C72F7D">
        <w:rPr>
          <w:b/>
          <w:bCs/>
        </w:rPr>
        <w:t xml:space="preserve">Table </w:t>
      </w:r>
      <w:bookmarkEnd w:id="14"/>
      <w:r w:rsidR="00A955FF">
        <w:rPr>
          <w:b/>
          <w:bCs/>
        </w:rPr>
        <w:t>3</w:t>
      </w:r>
      <w:r w:rsidRPr="00C72F7D">
        <w:rPr>
          <w:b/>
          <w:bCs/>
        </w:rPr>
        <w:t xml:space="preserve">: </w:t>
      </w:r>
      <w:r w:rsidRPr="006C1C0A">
        <w:rPr>
          <w:b/>
          <w:bCs/>
        </w:rPr>
        <w:t>Mean, Standard Deviation, and Correlation Coefficient of Vowles Ratings on a Six-Point Likert Scale and the Likelihood of a sentence on a percentage scale (n=122)</w:t>
      </w:r>
    </w:p>
    <w:tbl>
      <w:tblPr>
        <w:tblStyle w:val="TableGrid"/>
        <w:tblW w:w="10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1"/>
        <w:gridCol w:w="745"/>
        <w:gridCol w:w="745"/>
        <w:gridCol w:w="745"/>
        <w:gridCol w:w="745"/>
        <w:gridCol w:w="745"/>
        <w:gridCol w:w="745"/>
        <w:gridCol w:w="745"/>
        <w:gridCol w:w="745"/>
        <w:gridCol w:w="745"/>
        <w:gridCol w:w="745"/>
      </w:tblGrid>
      <w:tr w:rsidR="00CB4EBE" w:rsidRPr="00DE15F4" w14:paraId="56FA7020" w14:textId="77777777" w:rsidTr="00B41496">
        <w:trPr>
          <w:trHeight w:val="273"/>
        </w:trPr>
        <w:tc>
          <w:tcPr>
            <w:tcW w:w="2641" w:type="dxa"/>
            <w:tcBorders>
              <w:top w:val="single" w:sz="4" w:space="0" w:color="auto"/>
              <w:bottom w:val="single" w:sz="4" w:space="0" w:color="auto"/>
              <w:right w:val="single" w:sz="4" w:space="0" w:color="auto"/>
            </w:tcBorders>
          </w:tcPr>
          <w:p w14:paraId="7611DE01" w14:textId="77777777" w:rsidR="00CB4EBE" w:rsidRPr="00DE15F4" w:rsidRDefault="00CB4EBE" w:rsidP="00B41496">
            <w:pPr>
              <w:spacing w:line="480" w:lineRule="auto"/>
              <w:jc w:val="center"/>
              <w:rPr>
                <w:rFonts w:cs="Times New Roman"/>
                <w:b/>
                <w:bCs/>
                <w:sz w:val="20"/>
                <w:szCs w:val="20"/>
              </w:rPr>
            </w:pPr>
          </w:p>
        </w:tc>
        <w:tc>
          <w:tcPr>
            <w:tcW w:w="745" w:type="dxa"/>
            <w:tcBorders>
              <w:top w:val="single" w:sz="4" w:space="0" w:color="auto"/>
              <w:left w:val="single" w:sz="4" w:space="0" w:color="auto"/>
              <w:bottom w:val="single" w:sz="4" w:space="0" w:color="auto"/>
            </w:tcBorders>
          </w:tcPr>
          <w:p w14:paraId="267EB364" w14:textId="77777777" w:rsidR="00CB4EBE" w:rsidRPr="00DE15F4" w:rsidRDefault="00CB4EBE" w:rsidP="00B41496">
            <w:pPr>
              <w:spacing w:line="480" w:lineRule="auto"/>
              <w:jc w:val="center"/>
              <w:rPr>
                <w:rFonts w:cs="Times New Roman"/>
                <w:b/>
                <w:bCs/>
                <w:sz w:val="20"/>
                <w:szCs w:val="20"/>
              </w:rPr>
            </w:pPr>
            <w:r w:rsidRPr="00DE15F4">
              <w:rPr>
                <w:rFonts w:cs="Times New Roman"/>
                <w:b/>
                <w:bCs/>
                <w:sz w:val="20"/>
                <w:szCs w:val="20"/>
              </w:rPr>
              <w:t>M</w:t>
            </w:r>
          </w:p>
        </w:tc>
        <w:tc>
          <w:tcPr>
            <w:tcW w:w="745" w:type="dxa"/>
            <w:tcBorders>
              <w:top w:val="single" w:sz="4" w:space="0" w:color="auto"/>
              <w:bottom w:val="single" w:sz="4" w:space="0" w:color="auto"/>
              <w:right w:val="single" w:sz="4" w:space="0" w:color="auto"/>
            </w:tcBorders>
          </w:tcPr>
          <w:p w14:paraId="65B4D3E0" w14:textId="77777777" w:rsidR="00CB4EBE" w:rsidRPr="00DE15F4" w:rsidRDefault="00CB4EBE" w:rsidP="00B41496">
            <w:pPr>
              <w:spacing w:line="480" w:lineRule="auto"/>
              <w:jc w:val="center"/>
              <w:rPr>
                <w:rFonts w:cs="Times New Roman"/>
                <w:b/>
                <w:bCs/>
                <w:sz w:val="20"/>
                <w:szCs w:val="20"/>
              </w:rPr>
            </w:pPr>
            <w:r w:rsidRPr="00DE15F4">
              <w:rPr>
                <w:rFonts w:cs="Times New Roman"/>
                <w:b/>
                <w:bCs/>
                <w:sz w:val="20"/>
                <w:szCs w:val="20"/>
              </w:rPr>
              <w:t>SD</w:t>
            </w:r>
          </w:p>
        </w:tc>
        <w:tc>
          <w:tcPr>
            <w:tcW w:w="745" w:type="dxa"/>
            <w:tcBorders>
              <w:top w:val="single" w:sz="4" w:space="0" w:color="auto"/>
              <w:left w:val="single" w:sz="4" w:space="0" w:color="auto"/>
              <w:bottom w:val="single" w:sz="4" w:space="0" w:color="auto"/>
            </w:tcBorders>
          </w:tcPr>
          <w:p w14:paraId="65311C54" w14:textId="77777777" w:rsidR="00CB4EBE" w:rsidRPr="00DE15F4" w:rsidRDefault="00CB4EBE" w:rsidP="00B41496">
            <w:pPr>
              <w:spacing w:line="480" w:lineRule="auto"/>
              <w:jc w:val="center"/>
              <w:rPr>
                <w:rFonts w:cs="Times New Roman"/>
                <w:b/>
                <w:bCs/>
                <w:sz w:val="20"/>
                <w:szCs w:val="20"/>
              </w:rPr>
            </w:pPr>
            <w:r w:rsidRPr="00DE15F4">
              <w:rPr>
                <w:rFonts w:cs="Times New Roman"/>
                <w:b/>
                <w:bCs/>
                <w:sz w:val="20"/>
                <w:szCs w:val="20"/>
              </w:rPr>
              <w:t>1</w:t>
            </w:r>
          </w:p>
        </w:tc>
        <w:tc>
          <w:tcPr>
            <w:tcW w:w="745" w:type="dxa"/>
            <w:tcBorders>
              <w:top w:val="single" w:sz="4" w:space="0" w:color="auto"/>
              <w:bottom w:val="single" w:sz="4" w:space="0" w:color="auto"/>
            </w:tcBorders>
          </w:tcPr>
          <w:p w14:paraId="2818A832" w14:textId="77777777" w:rsidR="00CB4EBE" w:rsidRPr="00DE15F4" w:rsidRDefault="00CB4EBE" w:rsidP="00B41496">
            <w:pPr>
              <w:spacing w:line="480" w:lineRule="auto"/>
              <w:jc w:val="center"/>
              <w:rPr>
                <w:rFonts w:cs="Times New Roman"/>
                <w:b/>
                <w:bCs/>
                <w:sz w:val="20"/>
                <w:szCs w:val="20"/>
              </w:rPr>
            </w:pPr>
            <w:r w:rsidRPr="00DE15F4">
              <w:rPr>
                <w:rFonts w:cs="Times New Roman"/>
                <w:b/>
                <w:bCs/>
                <w:sz w:val="20"/>
                <w:szCs w:val="20"/>
              </w:rPr>
              <w:t>2</w:t>
            </w:r>
          </w:p>
        </w:tc>
        <w:tc>
          <w:tcPr>
            <w:tcW w:w="745" w:type="dxa"/>
            <w:tcBorders>
              <w:top w:val="single" w:sz="4" w:space="0" w:color="auto"/>
              <w:bottom w:val="single" w:sz="4" w:space="0" w:color="auto"/>
            </w:tcBorders>
          </w:tcPr>
          <w:p w14:paraId="54F94C4C" w14:textId="77777777" w:rsidR="00CB4EBE" w:rsidRPr="00DE15F4" w:rsidRDefault="00CB4EBE" w:rsidP="00B41496">
            <w:pPr>
              <w:spacing w:line="480" w:lineRule="auto"/>
              <w:jc w:val="center"/>
              <w:rPr>
                <w:rFonts w:cs="Times New Roman"/>
                <w:b/>
                <w:bCs/>
                <w:sz w:val="20"/>
                <w:szCs w:val="20"/>
              </w:rPr>
            </w:pPr>
            <w:r w:rsidRPr="00DE15F4">
              <w:rPr>
                <w:rFonts w:cs="Times New Roman"/>
                <w:b/>
                <w:bCs/>
                <w:sz w:val="20"/>
                <w:szCs w:val="20"/>
              </w:rPr>
              <w:t>3</w:t>
            </w:r>
          </w:p>
        </w:tc>
        <w:tc>
          <w:tcPr>
            <w:tcW w:w="745" w:type="dxa"/>
            <w:tcBorders>
              <w:top w:val="single" w:sz="4" w:space="0" w:color="auto"/>
              <w:bottom w:val="single" w:sz="4" w:space="0" w:color="auto"/>
            </w:tcBorders>
          </w:tcPr>
          <w:p w14:paraId="7AF0DA0B" w14:textId="77777777" w:rsidR="00CB4EBE" w:rsidRPr="00DE15F4" w:rsidRDefault="00CB4EBE" w:rsidP="00B41496">
            <w:pPr>
              <w:spacing w:line="480" w:lineRule="auto"/>
              <w:jc w:val="center"/>
              <w:rPr>
                <w:rFonts w:cs="Times New Roman"/>
                <w:b/>
                <w:bCs/>
                <w:sz w:val="20"/>
                <w:szCs w:val="20"/>
              </w:rPr>
            </w:pPr>
            <w:r w:rsidRPr="00DE15F4">
              <w:rPr>
                <w:rFonts w:cs="Times New Roman"/>
                <w:b/>
                <w:bCs/>
                <w:sz w:val="20"/>
                <w:szCs w:val="20"/>
              </w:rPr>
              <w:t>4</w:t>
            </w:r>
          </w:p>
        </w:tc>
        <w:tc>
          <w:tcPr>
            <w:tcW w:w="745" w:type="dxa"/>
            <w:tcBorders>
              <w:top w:val="single" w:sz="4" w:space="0" w:color="auto"/>
              <w:bottom w:val="single" w:sz="4" w:space="0" w:color="auto"/>
            </w:tcBorders>
          </w:tcPr>
          <w:p w14:paraId="04E9E16B" w14:textId="77777777" w:rsidR="00CB4EBE" w:rsidRPr="00DE15F4" w:rsidRDefault="00CB4EBE" w:rsidP="00B41496">
            <w:pPr>
              <w:spacing w:line="480" w:lineRule="auto"/>
              <w:jc w:val="center"/>
              <w:rPr>
                <w:rFonts w:cs="Times New Roman"/>
                <w:b/>
                <w:bCs/>
                <w:sz w:val="20"/>
                <w:szCs w:val="20"/>
              </w:rPr>
            </w:pPr>
            <w:r w:rsidRPr="00DE15F4">
              <w:rPr>
                <w:rFonts w:cs="Times New Roman"/>
                <w:b/>
                <w:bCs/>
                <w:sz w:val="20"/>
                <w:szCs w:val="20"/>
              </w:rPr>
              <w:t>5</w:t>
            </w:r>
          </w:p>
        </w:tc>
        <w:tc>
          <w:tcPr>
            <w:tcW w:w="745" w:type="dxa"/>
            <w:tcBorders>
              <w:top w:val="single" w:sz="4" w:space="0" w:color="auto"/>
              <w:bottom w:val="single" w:sz="4" w:space="0" w:color="auto"/>
            </w:tcBorders>
          </w:tcPr>
          <w:p w14:paraId="1B797E72" w14:textId="77777777" w:rsidR="00CB4EBE" w:rsidRPr="00DE15F4" w:rsidRDefault="00CB4EBE" w:rsidP="00B41496">
            <w:pPr>
              <w:spacing w:line="480" w:lineRule="auto"/>
              <w:jc w:val="center"/>
              <w:rPr>
                <w:rFonts w:cs="Times New Roman"/>
                <w:b/>
                <w:bCs/>
                <w:sz w:val="20"/>
                <w:szCs w:val="20"/>
              </w:rPr>
            </w:pPr>
            <w:r w:rsidRPr="00DE15F4">
              <w:rPr>
                <w:rFonts w:cs="Times New Roman"/>
                <w:b/>
                <w:bCs/>
                <w:sz w:val="20"/>
                <w:szCs w:val="20"/>
              </w:rPr>
              <w:t>6</w:t>
            </w:r>
          </w:p>
        </w:tc>
        <w:tc>
          <w:tcPr>
            <w:tcW w:w="745" w:type="dxa"/>
            <w:tcBorders>
              <w:top w:val="single" w:sz="4" w:space="0" w:color="auto"/>
              <w:bottom w:val="single" w:sz="4" w:space="0" w:color="auto"/>
            </w:tcBorders>
          </w:tcPr>
          <w:p w14:paraId="1EF49436" w14:textId="77777777" w:rsidR="00CB4EBE" w:rsidRPr="00DE15F4" w:rsidRDefault="00CB4EBE" w:rsidP="00B41496">
            <w:pPr>
              <w:spacing w:line="480" w:lineRule="auto"/>
              <w:jc w:val="center"/>
              <w:rPr>
                <w:rFonts w:cs="Times New Roman"/>
                <w:b/>
                <w:bCs/>
                <w:sz w:val="20"/>
                <w:szCs w:val="20"/>
              </w:rPr>
            </w:pPr>
            <w:r w:rsidRPr="00DE15F4">
              <w:rPr>
                <w:rFonts w:cs="Times New Roman"/>
                <w:b/>
                <w:bCs/>
                <w:sz w:val="20"/>
                <w:szCs w:val="20"/>
              </w:rPr>
              <w:t>7</w:t>
            </w:r>
          </w:p>
        </w:tc>
        <w:tc>
          <w:tcPr>
            <w:tcW w:w="745" w:type="dxa"/>
            <w:tcBorders>
              <w:top w:val="single" w:sz="4" w:space="0" w:color="auto"/>
              <w:bottom w:val="single" w:sz="4" w:space="0" w:color="auto"/>
            </w:tcBorders>
          </w:tcPr>
          <w:p w14:paraId="27E6A952" w14:textId="77777777" w:rsidR="00CB4EBE" w:rsidRPr="00DE15F4" w:rsidRDefault="00CB4EBE" w:rsidP="00B41496">
            <w:pPr>
              <w:spacing w:line="480" w:lineRule="auto"/>
              <w:jc w:val="center"/>
              <w:rPr>
                <w:rFonts w:cs="Times New Roman"/>
                <w:b/>
                <w:bCs/>
                <w:sz w:val="20"/>
                <w:szCs w:val="20"/>
              </w:rPr>
            </w:pPr>
            <w:r w:rsidRPr="00DE15F4">
              <w:rPr>
                <w:rFonts w:cs="Times New Roman"/>
                <w:b/>
                <w:bCs/>
                <w:sz w:val="20"/>
                <w:szCs w:val="20"/>
              </w:rPr>
              <w:t>8</w:t>
            </w:r>
          </w:p>
        </w:tc>
      </w:tr>
      <w:tr w:rsidR="00CB4EBE" w:rsidRPr="00DE15F4" w14:paraId="5C4FDA28" w14:textId="77777777" w:rsidTr="00B41496">
        <w:trPr>
          <w:trHeight w:val="322"/>
        </w:trPr>
        <w:tc>
          <w:tcPr>
            <w:tcW w:w="2641" w:type="dxa"/>
            <w:tcBorders>
              <w:top w:val="single" w:sz="4" w:space="0" w:color="auto"/>
              <w:right w:val="single" w:sz="4" w:space="0" w:color="auto"/>
            </w:tcBorders>
            <w:vAlign w:val="center"/>
          </w:tcPr>
          <w:p w14:paraId="60AC6473" w14:textId="77777777" w:rsidR="00CB4EBE" w:rsidRPr="00DE15F4" w:rsidRDefault="00CB4EBE" w:rsidP="00B41496">
            <w:pPr>
              <w:spacing w:line="480" w:lineRule="auto"/>
              <w:rPr>
                <w:rFonts w:cs="Times New Roman"/>
                <w:b/>
                <w:bCs/>
                <w:sz w:val="20"/>
                <w:szCs w:val="20"/>
              </w:rPr>
            </w:pPr>
            <w:r w:rsidRPr="00DE15F4">
              <w:rPr>
                <w:rFonts w:cs="Times New Roman"/>
                <w:b/>
                <w:bCs/>
                <w:sz w:val="20"/>
                <w:szCs w:val="20"/>
              </w:rPr>
              <w:t>1. Vowles 1.</w:t>
            </w:r>
          </w:p>
        </w:tc>
        <w:tc>
          <w:tcPr>
            <w:tcW w:w="745" w:type="dxa"/>
            <w:tcBorders>
              <w:top w:val="single" w:sz="4" w:space="0" w:color="auto"/>
              <w:left w:val="single" w:sz="4" w:space="0" w:color="auto"/>
            </w:tcBorders>
          </w:tcPr>
          <w:p w14:paraId="50966E09" w14:textId="77777777" w:rsidR="00CB4EBE" w:rsidRPr="00DE15F4" w:rsidRDefault="00CB4EBE" w:rsidP="00B41496">
            <w:pPr>
              <w:jc w:val="center"/>
              <w:rPr>
                <w:rFonts w:cs="Times New Roman"/>
                <w:sz w:val="20"/>
                <w:szCs w:val="20"/>
              </w:rPr>
            </w:pPr>
            <w:r w:rsidRPr="00DE15F4">
              <w:rPr>
                <w:rFonts w:cs="Times New Roman"/>
                <w:sz w:val="20"/>
                <w:szCs w:val="20"/>
              </w:rPr>
              <w:t>5.02</w:t>
            </w:r>
          </w:p>
        </w:tc>
        <w:tc>
          <w:tcPr>
            <w:tcW w:w="745" w:type="dxa"/>
            <w:tcBorders>
              <w:top w:val="single" w:sz="4" w:space="0" w:color="auto"/>
              <w:right w:val="single" w:sz="4" w:space="0" w:color="auto"/>
            </w:tcBorders>
          </w:tcPr>
          <w:p w14:paraId="36083C71" w14:textId="77777777" w:rsidR="00CB4EBE" w:rsidRPr="00DE15F4" w:rsidRDefault="00CB4EBE" w:rsidP="00B41496">
            <w:pPr>
              <w:jc w:val="center"/>
              <w:rPr>
                <w:rFonts w:cs="Times New Roman"/>
                <w:sz w:val="20"/>
                <w:szCs w:val="20"/>
              </w:rPr>
            </w:pPr>
            <w:r w:rsidRPr="00DE15F4">
              <w:rPr>
                <w:rFonts w:cs="Times New Roman"/>
                <w:sz w:val="20"/>
                <w:szCs w:val="20"/>
              </w:rPr>
              <w:t>.99</w:t>
            </w:r>
          </w:p>
        </w:tc>
        <w:tc>
          <w:tcPr>
            <w:tcW w:w="745" w:type="dxa"/>
            <w:tcBorders>
              <w:top w:val="single" w:sz="4" w:space="0" w:color="auto"/>
              <w:left w:val="single" w:sz="4" w:space="0" w:color="auto"/>
            </w:tcBorders>
          </w:tcPr>
          <w:p w14:paraId="7503877A" w14:textId="77777777" w:rsidR="00CB4EBE" w:rsidRPr="00DE15F4" w:rsidRDefault="00CB4EBE" w:rsidP="00B41496">
            <w:pPr>
              <w:jc w:val="center"/>
              <w:rPr>
                <w:rFonts w:cs="Times New Roman"/>
                <w:sz w:val="20"/>
                <w:szCs w:val="20"/>
              </w:rPr>
            </w:pPr>
            <w:r w:rsidRPr="00DE15F4">
              <w:rPr>
                <w:rFonts w:cs="Times New Roman"/>
                <w:sz w:val="20"/>
                <w:szCs w:val="20"/>
              </w:rPr>
              <w:t>–</w:t>
            </w:r>
          </w:p>
        </w:tc>
        <w:tc>
          <w:tcPr>
            <w:tcW w:w="745" w:type="dxa"/>
            <w:tcBorders>
              <w:top w:val="single" w:sz="4" w:space="0" w:color="auto"/>
            </w:tcBorders>
          </w:tcPr>
          <w:p w14:paraId="237137A7" w14:textId="77777777" w:rsidR="00CB4EBE" w:rsidRPr="00DE15F4" w:rsidRDefault="00CB4EBE" w:rsidP="00B41496">
            <w:pPr>
              <w:jc w:val="center"/>
              <w:rPr>
                <w:rFonts w:cs="Times New Roman"/>
                <w:sz w:val="20"/>
                <w:szCs w:val="20"/>
              </w:rPr>
            </w:pPr>
          </w:p>
        </w:tc>
        <w:tc>
          <w:tcPr>
            <w:tcW w:w="745" w:type="dxa"/>
            <w:tcBorders>
              <w:top w:val="single" w:sz="4" w:space="0" w:color="auto"/>
            </w:tcBorders>
          </w:tcPr>
          <w:p w14:paraId="4970BD89" w14:textId="77777777" w:rsidR="00CB4EBE" w:rsidRPr="00DE15F4" w:rsidRDefault="00CB4EBE" w:rsidP="00B41496">
            <w:pPr>
              <w:jc w:val="center"/>
              <w:rPr>
                <w:rFonts w:cs="Times New Roman"/>
                <w:sz w:val="20"/>
                <w:szCs w:val="20"/>
              </w:rPr>
            </w:pPr>
          </w:p>
        </w:tc>
        <w:tc>
          <w:tcPr>
            <w:tcW w:w="745" w:type="dxa"/>
            <w:tcBorders>
              <w:top w:val="single" w:sz="4" w:space="0" w:color="auto"/>
            </w:tcBorders>
          </w:tcPr>
          <w:p w14:paraId="05240FA2" w14:textId="77777777" w:rsidR="00CB4EBE" w:rsidRPr="00DE15F4" w:rsidRDefault="00CB4EBE" w:rsidP="00B41496">
            <w:pPr>
              <w:jc w:val="center"/>
              <w:rPr>
                <w:rFonts w:cs="Times New Roman"/>
                <w:sz w:val="20"/>
                <w:szCs w:val="20"/>
              </w:rPr>
            </w:pPr>
          </w:p>
        </w:tc>
        <w:tc>
          <w:tcPr>
            <w:tcW w:w="745" w:type="dxa"/>
            <w:tcBorders>
              <w:top w:val="single" w:sz="4" w:space="0" w:color="auto"/>
            </w:tcBorders>
          </w:tcPr>
          <w:p w14:paraId="53786BAE" w14:textId="77777777" w:rsidR="00CB4EBE" w:rsidRPr="00DE15F4" w:rsidRDefault="00CB4EBE" w:rsidP="00B41496">
            <w:pPr>
              <w:jc w:val="center"/>
              <w:rPr>
                <w:rFonts w:cs="Times New Roman"/>
                <w:sz w:val="20"/>
                <w:szCs w:val="20"/>
              </w:rPr>
            </w:pPr>
          </w:p>
        </w:tc>
        <w:tc>
          <w:tcPr>
            <w:tcW w:w="745" w:type="dxa"/>
            <w:tcBorders>
              <w:top w:val="single" w:sz="4" w:space="0" w:color="auto"/>
            </w:tcBorders>
          </w:tcPr>
          <w:p w14:paraId="4DC7C408" w14:textId="77777777" w:rsidR="00CB4EBE" w:rsidRPr="00DE15F4" w:rsidRDefault="00CB4EBE" w:rsidP="00B41496">
            <w:pPr>
              <w:jc w:val="center"/>
              <w:rPr>
                <w:rFonts w:cs="Times New Roman"/>
                <w:sz w:val="20"/>
                <w:szCs w:val="20"/>
              </w:rPr>
            </w:pPr>
          </w:p>
        </w:tc>
        <w:tc>
          <w:tcPr>
            <w:tcW w:w="745" w:type="dxa"/>
            <w:tcBorders>
              <w:top w:val="single" w:sz="4" w:space="0" w:color="auto"/>
            </w:tcBorders>
          </w:tcPr>
          <w:p w14:paraId="03B84E3D" w14:textId="77777777" w:rsidR="00CB4EBE" w:rsidRPr="00DE15F4" w:rsidRDefault="00CB4EBE" w:rsidP="00B41496">
            <w:pPr>
              <w:jc w:val="center"/>
              <w:rPr>
                <w:rFonts w:cs="Times New Roman"/>
                <w:sz w:val="20"/>
                <w:szCs w:val="20"/>
              </w:rPr>
            </w:pPr>
          </w:p>
        </w:tc>
        <w:tc>
          <w:tcPr>
            <w:tcW w:w="745" w:type="dxa"/>
            <w:tcBorders>
              <w:top w:val="single" w:sz="4" w:space="0" w:color="auto"/>
            </w:tcBorders>
          </w:tcPr>
          <w:p w14:paraId="509E19C7" w14:textId="77777777" w:rsidR="00CB4EBE" w:rsidRPr="00DE15F4" w:rsidRDefault="00CB4EBE" w:rsidP="00B41496">
            <w:pPr>
              <w:jc w:val="center"/>
              <w:rPr>
                <w:rFonts w:cs="Times New Roman"/>
                <w:sz w:val="20"/>
                <w:szCs w:val="20"/>
              </w:rPr>
            </w:pPr>
          </w:p>
        </w:tc>
      </w:tr>
      <w:tr w:rsidR="00CB4EBE" w:rsidRPr="00DE15F4" w14:paraId="71BBFDBB" w14:textId="77777777" w:rsidTr="00B41496">
        <w:trPr>
          <w:trHeight w:val="322"/>
        </w:trPr>
        <w:tc>
          <w:tcPr>
            <w:tcW w:w="2641" w:type="dxa"/>
            <w:tcBorders>
              <w:right w:val="single" w:sz="4" w:space="0" w:color="auto"/>
            </w:tcBorders>
            <w:vAlign w:val="center"/>
          </w:tcPr>
          <w:p w14:paraId="7E711BD3" w14:textId="77777777" w:rsidR="00CB4EBE" w:rsidRPr="00DE15F4" w:rsidRDefault="00CB4EBE" w:rsidP="00B41496">
            <w:pPr>
              <w:spacing w:line="480" w:lineRule="auto"/>
              <w:rPr>
                <w:rFonts w:cs="Times New Roman"/>
                <w:b/>
                <w:bCs/>
                <w:sz w:val="20"/>
                <w:szCs w:val="20"/>
              </w:rPr>
            </w:pPr>
            <w:r w:rsidRPr="00DE15F4">
              <w:rPr>
                <w:rFonts w:cs="Times New Roman"/>
                <w:b/>
                <w:bCs/>
                <w:sz w:val="20"/>
                <w:szCs w:val="20"/>
              </w:rPr>
              <w:t>2. Vowles 2.</w:t>
            </w:r>
          </w:p>
        </w:tc>
        <w:tc>
          <w:tcPr>
            <w:tcW w:w="745" w:type="dxa"/>
            <w:tcBorders>
              <w:left w:val="single" w:sz="4" w:space="0" w:color="auto"/>
            </w:tcBorders>
          </w:tcPr>
          <w:p w14:paraId="5445720D" w14:textId="77777777" w:rsidR="00CB4EBE" w:rsidRPr="00DE15F4" w:rsidRDefault="00CB4EBE" w:rsidP="00B41496">
            <w:pPr>
              <w:jc w:val="center"/>
              <w:rPr>
                <w:rFonts w:cs="Times New Roman"/>
                <w:sz w:val="20"/>
                <w:szCs w:val="20"/>
              </w:rPr>
            </w:pPr>
            <w:r w:rsidRPr="00DE15F4">
              <w:rPr>
                <w:rFonts w:cs="Times New Roman"/>
                <w:sz w:val="20"/>
                <w:szCs w:val="20"/>
              </w:rPr>
              <w:t>4.08</w:t>
            </w:r>
          </w:p>
        </w:tc>
        <w:tc>
          <w:tcPr>
            <w:tcW w:w="745" w:type="dxa"/>
            <w:tcBorders>
              <w:right w:val="single" w:sz="4" w:space="0" w:color="auto"/>
            </w:tcBorders>
          </w:tcPr>
          <w:p w14:paraId="07353511" w14:textId="77777777" w:rsidR="00CB4EBE" w:rsidRPr="00DE15F4" w:rsidRDefault="00CB4EBE" w:rsidP="00B41496">
            <w:pPr>
              <w:jc w:val="center"/>
              <w:rPr>
                <w:rFonts w:cs="Times New Roman"/>
                <w:sz w:val="20"/>
                <w:szCs w:val="20"/>
              </w:rPr>
            </w:pPr>
            <w:r w:rsidRPr="00DE15F4">
              <w:rPr>
                <w:rFonts w:cs="Times New Roman"/>
                <w:sz w:val="20"/>
                <w:szCs w:val="20"/>
              </w:rPr>
              <w:t>.96</w:t>
            </w:r>
          </w:p>
        </w:tc>
        <w:tc>
          <w:tcPr>
            <w:tcW w:w="745" w:type="dxa"/>
            <w:tcBorders>
              <w:left w:val="single" w:sz="4" w:space="0" w:color="auto"/>
            </w:tcBorders>
          </w:tcPr>
          <w:p w14:paraId="1F418693" w14:textId="77777777" w:rsidR="00CB4EBE" w:rsidRPr="00DE15F4" w:rsidRDefault="00CB4EBE" w:rsidP="00B41496">
            <w:pPr>
              <w:jc w:val="center"/>
              <w:rPr>
                <w:rFonts w:cs="Times New Roman"/>
                <w:sz w:val="20"/>
                <w:szCs w:val="20"/>
              </w:rPr>
            </w:pPr>
            <w:r w:rsidRPr="00DE15F4">
              <w:rPr>
                <w:rFonts w:cs="Times New Roman"/>
                <w:sz w:val="20"/>
                <w:szCs w:val="20"/>
              </w:rPr>
              <w:t>.58**</w:t>
            </w:r>
          </w:p>
        </w:tc>
        <w:tc>
          <w:tcPr>
            <w:tcW w:w="745" w:type="dxa"/>
          </w:tcPr>
          <w:p w14:paraId="2FD46E20" w14:textId="77777777" w:rsidR="00CB4EBE" w:rsidRPr="00DE15F4" w:rsidRDefault="00CB4EBE" w:rsidP="00B41496">
            <w:pPr>
              <w:jc w:val="center"/>
              <w:rPr>
                <w:rFonts w:cs="Times New Roman"/>
                <w:sz w:val="20"/>
                <w:szCs w:val="20"/>
              </w:rPr>
            </w:pPr>
            <w:r w:rsidRPr="00DE15F4">
              <w:rPr>
                <w:rFonts w:cs="Times New Roman"/>
                <w:sz w:val="20"/>
                <w:szCs w:val="20"/>
              </w:rPr>
              <w:t>–</w:t>
            </w:r>
          </w:p>
        </w:tc>
        <w:tc>
          <w:tcPr>
            <w:tcW w:w="745" w:type="dxa"/>
          </w:tcPr>
          <w:p w14:paraId="0391885C" w14:textId="77777777" w:rsidR="00CB4EBE" w:rsidRPr="00DE15F4" w:rsidRDefault="00CB4EBE" w:rsidP="00B41496">
            <w:pPr>
              <w:jc w:val="center"/>
              <w:rPr>
                <w:rFonts w:cs="Times New Roman"/>
                <w:sz w:val="20"/>
                <w:szCs w:val="20"/>
              </w:rPr>
            </w:pPr>
          </w:p>
        </w:tc>
        <w:tc>
          <w:tcPr>
            <w:tcW w:w="745" w:type="dxa"/>
          </w:tcPr>
          <w:p w14:paraId="0128F6E2" w14:textId="77777777" w:rsidR="00CB4EBE" w:rsidRPr="00DE15F4" w:rsidRDefault="00CB4EBE" w:rsidP="00B41496">
            <w:pPr>
              <w:jc w:val="center"/>
              <w:rPr>
                <w:rFonts w:cs="Times New Roman"/>
                <w:sz w:val="20"/>
                <w:szCs w:val="20"/>
              </w:rPr>
            </w:pPr>
          </w:p>
        </w:tc>
        <w:tc>
          <w:tcPr>
            <w:tcW w:w="745" w:type="dxa"/>
          </w:tcPr>
          <w:p w14:paraId="1B93FE31" w14:textId="77777777" w:rsidR="00CB4EBE" w:rsidRPr="00DE15F4" w:rsidRDefault="00CB4EBE" w:rsidP="00B41496">
            <w:pPr>
              <w:jc w:val="center"/>
              <w:rPr>
                <w:rFonts w:cs="Times New Roman"/>
                <w:sz w:val="20"/>
                <w:szCs w:val="20"/>
              </w:rPr>
            </w:pPr>
          </w:p>
        </w:tc>
        <w:tc>
          <w:tcPr>
            <w:tcW w:w="745" w:type="dxa"/>
          </w:tcPr>
          <w:p w14:paraId="178B5939" w14:textId="77777777" w:rsidR="00CB4EBE" w:rsidRPr="00DE15F4" w:rsidRDefault="00CB4EBE" w:rsidP="00B41496">
            <w:pPr>
              <w:jc w:val="center"/>
              <w:rPr>
                <w:rFonts w:cs="Times New Roman"/>
                <w:sz w:val="20"/>
                <w:szCs w:val="20"/>
              </w:rPr>
            </w:pPr>
          </w:p>
        </w:tc>
        <w:tc>
          <w:tcPr>
            <w:tcW w:w="745" w:type="dxa"/>
          </w:tcPr>
          <w:p w14:paraId="57EAA042" w14:textId="77777777" w:rsidR="00CB4EBE" w:rsidRPr="00DE15F4" w:rsidRDefault="00CB4EBE" w:rsidP="00B41496">
            <w:pPr>
              <w:jc w:val="center"/>
              <w:rPr>
                <w:rFonts w:cs="Times New Roman"/>
                <w:sz w:val="20"/>
                <w:szCs w:val="20"/>
              </w:rPr>
            </w:pPr>
          </w:p>
        </w:tc>
        <w:tc>
          <w:tcPr>
            <w:tcW w:w="745" w:type="dxa"/>
          </w:tcPr>
          <w:p w14:paraId="5F12DD2D" w14:textId="77777777" w:rsidR="00CB4EBE" w:rsidRPr="00DE15F4" w:rsidRDefault="00CB4EBE" w:rsidP="00B41496">
            <w:pPr>
              <w:jc w:val="center"/>
              <w:rPr>
                <w:rFonts w:cs="Times New Roman"/>
                <w:sz w:val="20"/>
                <w:szCs w:val="20"/>
              </w:rPr>
            </w:pPr>
          </w:p>
        </w:tc>
      </w:tr>
      <w:tr w:rsidR="00CB4EBE" w:rsidRPr="00DE15F4" w14:paraId="18EF305A" w14:textId="77777777" w:rsidTr="00B41496">
        <w:trPr>
          <w:trHeight w:val="644"/>
        </w:trPr>
        <w:tc>
          <w:tcPr>
            <w:tcW w:w="2641" w:type="dxa"/>
            <w:tcBorders>
              <w:right w:val="single" w:sz="4" w:space="0" w:color="auto"/>
            </w:tcBorders>
            <w:vAlign w:val="center"/>
          </w:tcPr>
          <w:p w14:paraId="5401EED6" w14:textId="77777777" w:rsidR="00CB4EBE" w:rsidRPr="00DE15F4" w:rsidRDefault="00CB4EBE" w:rsidP="00B41496">
            <w:pPr>
              <w:spacing w:line="480" w:lineRule="auto"/>
              <w:rPr>
                <w:rFonts w:cs="Times New Roman"/>
                <w:b/>
                <w:bCs/>
                <w:sz w:val="20"/>
                <w:szCs w:val="20"/>
              </w:rPr>
            </w:pPr>
            <w:r w:rsidRPr="00DE15F4">
              <w:rPr>
                <w:rFonts w:cs="Times New Roman"/>
                <w:b/>
                <w:bCs/>
                <w:sz w:val="20"/>
                <w:szCs w:val="20"/>
              </w:rPr>
              <w:t>3. Vowles 3.</w:t>
            </w:r>
          </w:p>
        </w:tc>
        <w:tc>
          <w:tcPr>
            <w:tcW w:w="745" w:type="dxa"/>
            <w:tcBorders>
              <w:left w:val="single" w:sz="4" w:space="0" w:color="auto"/>
            </w:tcBorders>
          </w:tcPr>
          <w:p w14:paraId="693463FA" w14:textId="77777777" w:rsidR="00CB4EBE" w:rsidRPr="00DE15F4" w:rsidRDefault="00CB4EBE" w:rsidP="00B41496">
            <w:pPr>
              <w:jc w:val="center"/>
              <w:rPr>
                <w:rFonts w:cs="Times New Roman"/>
                <w:sz w:val="20"/>
                <w:szCs w:val="20"/>
              </w:rPr>
            </w:pPr>
            <w:r w:rsidRPr="00DE15F4">
              <w:rPr>
                <w:rFonts w:cs="Times New Roman"/>
                <w:sz w:val="20"/>
                <w:szCs w:val="20"/>
              </w:rPr>
              <w:t>4.36</w:t>
            </w:r>
          </w:p>
        </w:tc>
        <w:tc>
          <w:tcPr>
            <w:tcW w:w="745" w:type="dxa"/>
            <w:tcBorders>
              <w:right w:val="single" w:sz="4" w:space="0" w:color="auto"/>
            </w:tcBorders>
          </w:tcPr>
          <w:p w14:paraId="19EC5EAA" w14:textId="77777777" w:rsidR="00CB4EBE" w:rsidRPr="00DE15F4" w:rsidRDefault="00CB4EBE" w:rsidP="00B41496">
            <w:pPr>
              <w:jc w:val="center"/>
              <w:rPr>
                <w:rFonts w:cs="Times New Roman"/>
                <w:sz w:val="20"/>
                <w:szCs w:val="20"/>
              </w:rPr>
            </w:pPr>
            <w:r w:rsidRPr="00DE15F4">
              <w:rPr>
                <w:rFonts w:cs="Times New Roman"/>
                <w:sz w:val="20"/>
                <w:szCs w:val="20"/>
              </w:rPr>
              <w:t>1.15</w:t>
            </w:r>
          </w:p>
        </w:tc>
        <w:tc>
          <w:tcPr>
            <w:tcW w:w="745" w:type="dxa"/>
            <w:tcBorders>
              <w:left w:val="single" w:sz="4" w:space="0" w:color="auto"/>
            </w:tcBorders>
          </w:tcPr>
          <w:p w14:paraId="1BF8685E" w14:textId="77777777" w:rsidR="00CB4EBE" w:rsidRPr="00DE15F4" w:rsidRDefault="00CB4EBE" w:rsidP="00B41496">
            <w:pPr>
              <w:jc w:val="center"/>
              <w:rPr>
                <w:rFonts w:cs="Times New Roman"/>
                <w:sz w:val="20"/>
                <w:szCs w:val="20"/>
              </w:rPr>
            </w:pPr>
            <w:r w:rsidRPr="00DE15F4">
              <w:rPr>
                <w:rFonts w:cs="Times New Roman"/>
                <w:sz w:val="20"/>
                <w:szCs w:val="20"/>
              </w:rPr>
              <w:t>-.11</w:t>
            </w:r>
          </w:p>
        </w:tc>
        <w:tc>
          <w:tcPr>
            <w:tcW w:w="745" w:type="dxa"/>
          </w:tcPr>
          <w:p w14:paraId="23C89200" w14:textId="77777777" w:rsidR="00CB4EBE" w:rsidRPr="00DE15F4" w:rsidRDefault="00CB4EBE" w:rsidP="00B41496">
            <w:pPr>
              <w:jc w:val="center"/>
              <w:rPr>
                <w:rFonts w:cs="Times New Roman"/>
                <w:sz w:val="20"/>
                <w:szCs w:val="20"/>
              </w:rPr>
            </w:pPr>
            <w:r w:rsidRPr="00DE15F4">
              <w:rPr>
                <w:rFonts w:cs="Times New Roman"/>
                <w:sz w:val="20"/>
                <w:szCs w:val="20"/>
              </w:rPr>
              <w:t>-.31**</w:t>
            </w:r>
          </w:p>
        </w:tc>
        <w:tc>
          <w:tcPr>
            <w:tcW w:w="745" w:type="dxa"/>
          </w:tcPr>
          <w:p w14:paraId="6095D826" w14:textId="77777777" w:rsidR="00CB4EBE" w:rsidRPr="00DE15F4" w:rsidRDefault="00CB4EBE" w:rsidP="00B41496">
            <w:pPr>
              <w:jc w:val="center"/>
              <w:rPr>
                <w:rFonts w:cs="Times New Roman"/>
                <w:sz w:val="20"/>
                <w:szCs w:val="20"/>
              </w:rPr>
            </w:pPr>
            <w:r w:rsidRPr="00DE15F4">
              <w:rPr>
                <w:rFonts w:cs="Times New Roman"/>
                <w:sz w:val="20"/>
                <w:szCs w:val="20"/>
              </w:rPr>
              <w:t>–</w:t>
            </w:r>
          </w:p>
        </w:tc>
        <w:tc>
          <w:tcPr>
            <w:tcW w:w="745" w:type="dxa"/>
          </w:tcPr>
          <w:p w14:paraId="6F9214F3" w14:textId="77777777" w:rsidR="00CB4EBE" w:rsidRPr="00DE15F4" w:rsidRDefault="00CB4EBE" w:rsidP="00B41496">
            <w:pPr>
              <w:jc w:val="center"/>
              <w:rPr>
                <w:rFonts w:cs="Times New Roman"/>
                <w:sz w:val="20"/>
                <w:szCs w:val="20"/>
              </w:rPr>
            </w:pPr>
          </w:p>
        </w:tc>
        <w:tc>
          <w:tcPr>
            <w:tcW w:w="745" w:type="dxa"/>
          </w:tcPr>
          <w:p w14:paraId="523AA4BD" w14:textId="77777777" w:rsidR="00CB4EBE" w:rsidRPr="00DE15F4" w:rsidRDefault="00CB4EBE" w:rsidP="00B41496">
            <w:pPr>
              <w:jc w:val="center"/>
              <w:rPr>
                <w:rFonts w:cs="Times New Roman"/>
                <w:sz w:val="20"/>
                <w:szCs w:val="20"/>
              </w:rPr>
            </w:pPr>
          </w:p>
        </w:tc>
        <w:tc>
          <w:tcPr>
            <w:tcW w:w="745" w:type="dxa"/>
          </w:tcPr>
          <w:p w14:paraId="2ECEC73E" w14:textId="77777777" w:rsidR="00CB4EBE" w:rsidRPr="00DE15F4" w:rsidRDefault="00CB4EBE" w:rsidP="00B41496">
            <w:pPr>
              <w:jc w:val="center"/>
              <w:rPr>
                <w:rFonts w:cs="Times New Roman"/>
                <w:sz w:val="20"/>
                <w:szCs w:val="20"/>
              </w:rPr>
            </w:pPr>
          </w:p>
        </w:tc>
        <w:tc>
          <w:tcPr>
            <w:tcW w:w="745" w:type="dxa"/>
          </w:tcPr>
          <w:p w14:paraId="4DBE7488" w14:textId="77777777" w:rsidR="00CB4EBE" w:rsidRPr="00DE15F4" w:rsidRDefault="00CB4EBE" w:rsidP="00B41496">
            <w:pPr>
              <w:jc w:val="center"/>
              <w:rPr>
                <w:rFonts w:cs="Times New Roman"/>
                <w:sz w:val="20"/>
                <w:szCs w:val="20"/>
              </w:rPr>
            </w:pPr>
          </w:p>
        </w:tc>
        <w:tc>
          <w:tcPr>
            <w:tcW w:w="745" w:type="dxa"/>
          </w:tcPr>
          <w:p w14:paraId="1E896B89" w14:textId="77777777" w:rsidR="00CB4EBE" w:rsidRPr="00DE15F4" w:rsidRDefault="00CB4EBE" w:rsidP="00B41496">
            <w:pPr>
              <w:jc w:val="center"/>
              <w:rPr>
                <w:rFonts w:cs="Times New Roman"/>
                <w:sz w:val="20"/>
                <w:szCs w:val="20"/>
              </w:rPr>
            </w:pPr>
          </w:p>
        </w:tc>
      </w:tr>
      <w:tr w:rsidR="00CB4EBE" w:rsidRPr="00DE15F4" w14:paraId="03B7A749" w14:textId="77777777" w:rsidTr="00B41496">
        <w:trPr>
          <w:trHeight w:val="94"/>
        </w:trPr>
        <w:tc>
          <w:tcPr>
            <w:tcW w:w="2641" w:type="dxa"/>
            <w:tcBorders>
              <w:right w:val="single" w:sz="4" w:space="0" w:color="auto"/>
            </w:tcBorders>
            <w:vAlign w:val="center"/>
          </w:tcPr>
          <w:p w14:paraId="2B1EAE69" w14:textId="77777777" w:rsidR="00CB4EBE" w:rsidRPr="00DE15F4" w:rsidRDefault="00CB4EBE" w:rsidP="00B41496">
            <w:pPr>
              <w:spacing w:line="480" w:lineRule="auto"/>
              <w:rPr>
                <w:rFonts w:cs="Times New Roman"/>
                <w:b/>
                <w:bCs/>
                <w:sz w:val="20"/>
                <w:szCs w:val="20"/>
              </w:rPr>
            </w:pPr>
            <w:r w:rsidRPr="00DE15F4">
              <w:rPr>
                <w:rFonts w:cs="Times New Roman"/>
                <w:b/>
                <w:bCs/>
                <w:sz w:val="20"/>
                <w:szCs w:val="20"/>
              </w:rPr>
              <w:t>4. Vowles 4.</w:t>
            </w:r>
          </w:p>
        </w:tc>
        <w:tc>
          <w:tcPr>
            <w:tcW w:w="745" w:type="dxa"/>
            <w:tcBorders>
              <w:left w:val="single" w:sz="4" w:space="0" w:color="auto"/>
            </w:tcBorders>
          </w:tcPr>
          <w:p w14:paraId="5315B115" w14:textId="77777777" w:rsidR="00CB4EBE" w:rsidRPr="00DE15F4" w:rsidRDefault="00CB4EBE" w:rsidP="00B41496">
            <w:pPr>
              <w:jc w:val="center"/>
              <w:rPr>
                <w:rFonts w:cs="Times New Roman"/>
                <w:sz w:val="20"/>
                <w:szCs w:val="20"/>
              </w:rPr>
            </w:pPr>
            <w:r w:rsidRPr="00DE15F4">
              <w:rPr>
                <w:rFonts w:cs="Times New Roman"/>
                <w:sz w:val="20"/>
                <w:szCs w:val="20"/>
              </w:rPr>
              <w:t>5.17</w:t>
            </w:r>
          </w:p>
        </w:tc>
        <w:tc>
          <w:tcPr>
            <w:tcW w:w="745" w:type="dxa"/>
            <w:tcBorders>
              <w:right w:val="single" w:sz="4" w:space="0" w:color="auto"/>
            </w:tcBorders>
          </w:tcPr>
          <w:p w14:paraId="023762A7" w14:textId="77777777" w:rsidR="00CB4EBE" w:rsidRPr="00DE15F4" w:rsidRDefault="00CB4EBE" w:rsidP="00B41496">
            <w:pPr>
              <w:jc w:val="center"/>
              <w:rPr>
                <w:rFonts w:cs="Times New Roman"/>
                <w:sz w:val="20"/>
                <w:szCs w:val="20"/>
              </w:rPr>
            </w:pPr>
            <w:r w:rsidRPr="00DE15F4">
              <w:rPr>
                <w:rFonts w:cs="Times New Roman"/>
                <w:sz w:val="20"/>
                <w:szCs w:val="20"/>
              </w:rPr>
              <w:t>.86</w:t>
            </w:r>
          </w:p>
        </w:tc>
        <w:tc>
          <w:tcPr>
            <w:tcW w:w="745" w:type="dxa"/>
            <w:tcBorders>
              <w:left w:val="single" w:sz="4" w:space="0" w:color="auto"/>
            </w:tcBorders>
          </w:tcPr>
          <w:p w14:paraId="21D042FD" w14:textId="77777777" w:rsidR="00CB4EBE" w:rsidRPr="00DE15F4" w:rsidRDefault="00CB4EBE" w:rsidP="00B41496">
            <w:pPr>
              <w:jc w:val="center"/>
              <w:rPr>
                <w:rFonts w:cs="Times New Roman"/>
                <w:sz w:val="20"/>
                <w:szCs w:val="20"/>
              </w:rPr>
            </w:pPr>
            <w:r w:rsidRPr="00DE15F4">
              <w:rPr>
                <w:rFonts w:cs="Times New Roman"/>
                <w:sz w:val="20"/>
                <w:szCs w:val="20"/>
              </w:rPr>
              <w:t>.21*</w:t>
            </w:r>
          </w:p>
        </w:tc>
        <w:tc>
          <w:tcPr>
            <w:tcW w:w="745" w:type="dxa"/>
          </w:tcPr>
          <w:p w14:paraId="4DA69EBB" w14:textId="77777777" w:rsidR="00CB4EBE" w:rsidRPr="00DE15F4" w:rsidRDefault="00CB4EBE" w:rsidP="00B41496">
            <w:pPr>
              <w:jc w:val="center"/>
              <w:rPr>
                <w:rFonts w:cs="Times New Roman"/>
                <w:sz w:val="20"/>
                <w:szCs w:val="20"/>
              </w:rPr>
            </w:pPr>
            <w:r w:rsidRPr="00DE15F4">
              <w:rPr>
                <w:rFonts w:cs="Times New Roman"/>
                <w:sz w:val="20"/>
                <w:szCs w:val="20"/>
              </w:rPr>
              <w:t>.14</w:t>
            </w:r>
          </w:p>
        </w:tc>
        <w:tc>
          <w:tcPr>
            <w:tcW w:w="745" w:type="dxa"/>
          </w:tcPr>
          <w:p w14:paraId="0C244CF8" w14:textId="77777777" w:rsidR="00CB4EBE" w:rsidRPr="00DE15F4" w:rsidRDefault="00CB4EBE" w:rsidP="00B41496">
            <w:pPr>
              <w:jc w:val="center"/>
              <w:rPr>
                <w:rFonts w:cs="Times New Roman"/>
                <w:sz w:val="20"/>
                <w:szCs w:val="20"/>
              </w:rPr>
            </w:pPr>
            <w:r w:rsidRPr="00DE15F4">
              <w:rPr>
                <w:rFonts w:cs="Times New Roman"/>
                <w:sz w:val="20"/>
                <w:szCs w:val="20"/>
              </w:rPr>
              <w:t>.25**</w:t>
            </w:r>
          </w:p>
        </w:tc>
        <w:tc>
          <w:tcPr>
            <w:tcW w:w="745" w:type="dxa"/>
          </w:tcPr>
          <w:p w14:paraId="67A9822F" w14:textId="77777777" w:rsidR="00CB4EBE" w:rsidRPr="00DE15F4" w:rsidRDefault="00CB4EBE" w:rsidP="00B41496">
            <w:pPr>
              <w:jc w:val="center"/>
              <w:rPr>
                <w:rFonts w:cs="Times New Roman"/>
                <w:sz w:val="20"/>
                <w:szCs w:val="20"/>
              </w:rPr>
            </w:pPr>
            <w:r w:rsidRPr="00DE15F4">
              <w:rPr>
                <w:rFonts w:cs="Times New Roman"/>
                <w:sz w:val="20"/>
                <w:szCs w:val="20"/>
              </w:rPr>
              <w:t>–</w:t>
            </w:r>
          </w:p>
        </w:tc>
        <w:tc>
          <w:tcPr>
            <w:tcW w:w="745" w:type="dxa"/>
          </w:tcPr>
          <w:p w14:paraId="6CF438D6" w14:textId="77777777" w:rsidR="00CB4EBE" w:rsidRPr="00DE15F4" w:rsidRDefault="00CB4EBE" w:rsidP="00B41496">
            <w:pPr>
              <w:jc w:val="center"/>
              <w:rPr>
                <w:rFonts w:cs="Times New Roman"/>
                <w:sz w:val="20"/>
                <w:szCs w:val="20"/>
              </w:rPr>
            </w:pPr>
          </w:p>
        </w:tc>
        <w:tc>
          <w:tcPr>
            <w:tcW w:w="745" w:type="dxa"/>
          </w:tcPr>
          <w:p w14:paraId="70355BEE" w14:textId="77777777" w:rsidR="00CB4EBE" w:rsidRPr="00DE15F4" w:rsidRDefault="00CB4EBE" w:rsidP="00B41496">
            <w:pPr>
              <w:jc w:val="center"/>
              <w:rPr>
                <w:rFonts w:cs="Times New Roman"/>
                <w:sz w:val="20"/>
                <w:szCs w:val="20"/>
              </w:rPr>
            </w:pPr>
          </w:p>
        </w:tc>
        <w:tc>
          <w:tcPr>
            <w:tcW w:w="745" w:type="dxa"/>
          </w:tcPr>
          <w:p w14:paraId="4A14B2C5" w14:textId="77777777" w:rsidR="00CB4EBE" w:rsidRPr="00DE15F4" w:rsidRDefault="00CB4EBE" w:rsidP="00B41496">
            <w:pPr>
              <w:jc w:val="center"/>
              <w:rPr>
                <w:rFonts w:cs="Times New Roman"/>
                <w:sz w:val="20"/>
                <w:szCs w:val="20"/>
              </w:rPr>
            </w:pPr>
          </w:p>
        </w:tc>
        <w:tc>
          <w:tcPr>
            <w:tcW w:w="745" w:type="dxa"/>
          </w:tcPr>
          <w:p w14:paraId="171B0C68" w14:textId="77777777" w:rsidR="00CB4EBE" w:rsidRPr="00DE15F4" w:rsidRDefault="00CB4EBE" w:rsidP="00B41496">
            <w:pPr>
              <w:jc w:val="center"/>
              <w:rPr>
                <w:rFonts w:cs="Times New Roman"/>
                <w:sz w:val="20"/>
                <w:szCs w:val="20"/>
              </w:rPr>
            </w:pPr>
          </w:p>
        </w:tc>
      </w:tr>
      <w:tr w:rsidR="00CB4EBE" w:rsidRPr="00DE15F4" w14:paraId="11B72B7D" w14:textId="77777777" w:rsidTr="00B41496">
        <w:trPr>
          <w:trHeight w:val="94"/>
        </w:trPr>
        <w:tc>
          <w:tcPr>
            <w:tcW w:w="2641" w:type="dxa"/>
            <w:tcBorders>
              <w:right w:val="single" w:sz="4" w:space="0" w:color="auto"/>
            </w:tcBorders>
            <w:vAlign w:val="center"/>
          </w:tcPr>
          <w:p w14:paraId="37994328" w14:textId="77777777" w:rsidR="00CB4EBE" w:rsidRPr="00DE15F4" w:rsidRDefault="00CB4EBE" w:rsidP="00B41496">
            <w:pPr>
              <w:spacing w:line="480" w:lineRule="auto"/>
              <w:rPr>
                <w:rFonts w:cs="Times New Roman"/>
                <w:b/>
                <w:bCs/>
                <w:sz w:val="20"/>
                <w:szCs w:val="20"/>
              </w:rPr>
            </w:pPr>
            <w:r w:rsidRPr="00DE15F4">
              <w:rPr>
                <w:rFonts w:cs="Times New Roman"/>
                <w:b/>
                <w:bCs/>
                <w:sz w:val="20"/>
                <w:szCs w:val="20"/>
              </w:rPr>
              <w:t>5. Vowles Confidence</w:t>
            </w:r>
          </w:p>
        </w:tc>
        <w:tc>
          <w:tcPr>
            <w:tcW w:w="745" w:type="dxa"/>
            <w:tcBorders>
              <w:left w:val="single" w:sz="4" w:space="0" w:color="auto"/>
            </w:tcBorders>
          </w:tcPr>
          <w:p w14:paraId="0DB232BF" w14:textId="77777777" w:rsidR="00CB4EBE" w:rsidRPr="00DE15F4" w:rsidRDefault="00CB4EBE" w:rsidP="00B41496">
            <w:pPr>
              <w:jc w:val="center"/>
              <w:rPr>
                <w:rFonts w:cs="Times New Roman"/>
                <w:sz w:val="20"/>
                <w:szCs w:val="20"/>
              </w:rPr>
            </w:pPr>
            <w:r w:rsidRPr="00DE15F4">
              <w:rPr>
                <w:rFonts w:cs="Times New Roman"/>
                <w:sz w:val="20"/>
                <w:szCs w:val="20"/>
              </w:rPr>
              <w:t>4.30</w:t>
            </w:r>
          </w:p>
        </w:tc>
        <w:tc>
          <w:tcPr>
            <w:tcW w:w="745" w:type="dxa"/>
            <w:tcBorders>
              <w:right w:val="single" w:sz="4" w:space="0" w:color="auto"/>
            </w:tcBorders>
          </w:tcPr>
          <w:p w14:paraId="08517B5E" w14:textId="77777777" w:rsidR="00CB4EBE" w:rsidRPr="00DE15F4" w:rsidRDefault="00CB4EBE" w:rsidP="00B41496">
            <w:pPr>
              <w:jc w:val="center"/>
              <w:rPr>
                <w:rFonts w:cs="Times New Roman"/>
                <w:sz w:val="20"/>
                <w:szCs w:val="20"/>
              </w:rPr>
            </w:pPr>
            <w:r w:rsidRPr="00DE15F4">
              <w:rPr>
                <w:rFonts w:cs="Times New Roman"/>
                <w:sz w:val="20"/>
                <w:szCs w:val="20"/>
              </w:rPr>
              <w:t>1.00</w:t>
            </w:r>
          </w:p>
        </w:tc>
        <w:tc>
          <w:tcPr>
            <w:tcW w:w="745" w:type="dxa"/>
            <w:tcBorders>
              <w:left w:val="single" w:sz="4" w:space="0" w:color="auto"/>
            </w:tcBorders>
          </w:tcPr>
          <w:p w14:paraId="38F67E8B" w14:textId="77777777" w:rsidR="00CB4EBE" w:rsidRPr="00DE15F4" w:rsidRDefault="00CB4EBE" w:rsidP="00B41496">
            <w:pPr>
              <w:jc w:val="center"/>
              <w:rPr>
                <w:rFonts w:cs="Times New Roman"/>
                <w:sz w:val="20"/>
                <w:szCs w:val="20"/>
              </w:rPr>
            </w:pPr>
            <w:r w:rsidRPr="00DE15F4">
              <w:rPr>
                <w:rFonts w:cs="Times New Roman"/>
                <w:sz w:val="20"/>
                <w:szCs w:val="20"/>
              </w:rPr>
              <w:t>.31**</w:t>
            </w:r>
          </w:p>
        </w:tc>
        <w:tc>
          <w:tcPr>
            <w:tcW w:w="745" w:type="dxa"/>
          </w:tcPr>
          <w:p w14:paraId="63617994" w14:textId="77777777" w:rsidR="00CB4EBE" w:rsidRPr="00DE15F4" w:rsidRDefault="00CB4EBE" w:rsidP="00B41496">
            <w:pPr>
              <w:jc w:val="center"/>
              <w:rPr>
                <w:rFonts w:cs="Times New Roman"/>
                <w:sz w:val="20"/>
                <w:szCs w:val="20"/>
              </w:rPr>
            </w:pPr>
            <w:r w:rsidRPr="00DE15F4">
              <w:rPr>
                <w:rFonts w:cs="Times New Roman"/>
                <w:sz w:val="20"/>
                <w:szCs w:val="20"/>
              </w:rPr>
              <w:t>.27**</w:t>
            </w:r>
          </w:p>
        </w:tc>
        <w:tc>
          <w:tcPr>
            <w:tcW w:w="745" w:type="dxa"/>
          </w:tcPr>
          <w:p w14:paraId="2D820FDD" w14:textId="77777777" w:rsidR="00CB4EBE" w:rsidRPr="00DE15F4" w:rsidRDefault="00CB4EBE" w:rsidP="00B41496">
            <w:pPr>
              <w:jc w:val="center"/>
              <w:rPr>
                <w:rFonts w:cs="Times New Roman"/>
                <w:sz w:val="20"/>
                <w:szCs w:val="20"/>
              </w:rPr>
            </w:pPr>
            <w:r w:rsidRPr="00DE15F4">
              <w:rPr>
                <w:rFonts w:cs="Times New Roman"/>
                <w:sz w:val="20"/>
                <w:szCs w:val="20"/>
              </w:rPr>
              <w:t>.13</w:t>
            </w:r>
          </w:p>
        </w:tc>
        <w:tc>
          <w:tcPr>
            <w:tcW w:w="745" w:type="dxa"/>
          </w:tcPr>
          <w:p w14:paraId="71A756BE" w14:textId="77777777" w:rsidR="00CB4EBE" w:rsidRPr="00DE15F4" w:rsidRDefault="00CB4EBE" w:rsidP="00B41496">
            <w:pPr>
              <w:jc w:val="center"/>
              <w:rPr>
                <w:rFonts w:cs="Times New Roman"/>
                <w:sz w:val="20"/>
                <w:szCs w:val="20"/>
              </w:rPr>
            </w:pPr>
            <w:r w:rsidRPr="00DE15F4">
              <w:rPr>
                <w:rFonts w:cs="Times New Roman"/>
                <w:sz w:val="20"/>
                <w:szCs w:val="20"/>
              </w:rPr>
              <w:t>.25**</w:t>
            </w:r>
          </w:p>
        </w:tc>
        <w:tc>
          <w:tcPr>
            <w:tcW w:w="745" w:type="dxa"/>
          </w:tcPr>
          <w:p w14:paraId="3BB79F79" w14:textId="77777777" w:rsidR="00CB4EBE" w:rsidRPr="00DE15F4" w:rsidRDefault="00CB4EBE" w:rsidP="00B41496">
            <w:pPr>
              <w:jc w:val="center"/>
              <w:rPr>
                <w:rFonts w:cs="Times New Roman"/>
                <w:sz w:val="20"/>
                <w:szCs w:val="20"/>
              </w:rPr>
            </w:pPr>
            <w:r w:rsidRPr="00DE15F4">
              <w:rPr>
                <w:rFonts w:cs="Times New Roman"/>
                <w:sz w:val="20"/>
                <w:szCs w:val="20"/>
              </w:rPr>
              <w:t>–</w:t>
            </w:r>
          </w:p>
        </w:tc>
        <w:tc>
          <w:tcPr>
            <w:tcW w:w="745" w:type="dxa"/>
          </w:tcPr>
          <w:p w14:paraId="0E6DC6E4" w14:textId="77777777" w:rsidR="00CB4EBE" w:rsidRPr="00DE15F4" w:rsidRDefault="00CB4EBE" w:rsidP="00B41496">
            <w:pPr>
              <w:jc w:val="center"/>
              <w:rPr>
                <w:rFonts w:cs="Times New Roman"/>
                <w:sz w:val="20"/>
                <w:szCs w:val="20"/>
              </w:rPr>
            </w:pPr>
          </w:p>
        </w:tc>
        <w:tc>
          <w:tcPr>
            <w:tcW w:w="745" w:type="dxa"/>
          </w:tcPr>
          <w:p w14:paraId="2473DBD1" w14:textId="77777777" w:rsidR="00CB4EBE" w:rsidRPr="00DE15F4" w:rsidRDefault="00CB4EBE" w:rsidP="00B41496">
            <w:pPr>
              <w:jc w:val="center"/>
              <w:rPr>
                <w:rFonts w:cs="Times New Roman"/>
                <w:sz w:val="20"/>
                <w:szCs w:val="20"/>
              </w:rPr>
            </w:pPr>
          </w:p>
        </w:tc>
        <w:tc>
          <w:tcPr>
            <w:tcW w:w="745" w:type="dxa"/>
          </w:tcPr>
          <w:p w14:paraId="0BC4A33E" w14:textId="77777777" w:rsidR="00CB4EBE" w:rsidRPr="00DE15F4" w:rsidRDefault="00CB4EBE" w:rsidP="00B41496">
            <w:pPr>
              <w:jc w:val="center"/>
              <w:rPr>
                <w:rFonts w:cs="Times New Roman"/>
                <w:sz w:val="20"/>
                <w:szCs w:val="20"/>
              </w:rPr>
            </w:pPr>
          </w:p>
        </w:tc>
      </w:tr>
      <w:tr w:rsidR="00CB4EBE" w:rsidRPr="00DE15F4" w14:paraId="77DD2A5C" w14:textId="77777777" w:rsidTr="00B41496">
        <w:trPr>
          <w:trHeight w:val="94"/>
        </w:trPr>
        <w:tc>
          <w:tcPr>
            <w:tcW w:w="2641" w:type="dxa"/>
            <w:tcBorders>
              <w:right w:val="single" w:sz="4" w:space="0" w:color="auto"/>
            </w:tcBorders>
            <w:vAlign w:val="center"/>
          </w:tcPr>
          <w:p w14:paraId="3B0C0319" w14:textId="77777777" w:rsidR="00CB4EBE" w:rsidRPr="00DE15F4" w:rsidRDefault="00CB4EBE" w:rsidP="00B41496">
            <w:pPr>
              <w:spacing w:line="480" w:lineRule="auto"/>
              <w:rPr>
                <w:rFonts w:cs="Times New Roman"/>
                <w:b/>
                <w:bCs/>
                <w:sz w:val="20"/>
                <w:szCs w:val="20"/>
              </w:rPr>
            </w:pPr>
            <w:r w:rsidRPr="00DE15F4">
              <w:rPr>
                <w:rFonts w:cs="Times New Roman"/>
                <w:b/>
                <w:bCs/>
                <w:sz w:val="20"/>
                <w:szCs w:val="20"/>
              </w:rPr>
              <w:t>6. Likelihood Hospital</w:t>
            </w:r>
          </w:p>
        </w:tc>
        <w:tc>
          <w:tcPr>
            <w:tcW w:w="745" w:type="dxa"/>
            <w:tcBorders>
              <w:left w:val="single" w:sz="4" w:space="0" w:color="auto"/>
            </w:tcBorders>
          </w:tcPr>
          <w:p w14:paraId="56DFA1C2" w14:textId="77777777" w:rsidR="00CB4EBE" w:rsidRPr="00DE15F4" w:rsidRDefault="00CB4EBE" w:rsidP="00B41496">
            <w:pPr>
              <w:jc w:val="center"/>
              <w:rPr>
                <w:rFonts w:cs="Times New Roman"/>
                <w:sz w:val="20"/>
                <w:szCs w:val="20"/>
              </w:rPr>
            </w:pPr>
            <w:r w:rsidRPr="00DE15F4">
              <w:rPr>
                <w:rFonts w:cs="Times New Roman"/>
                <w:sz w:val="20"/>
                <w:szCs w:val="20"/>
              </w:rPr>
              <w:t>64.07</w:t>
            </w:r>
          </w:p>
        </w:tc>
        <w:tc>
          <w:tcPr>
            <w:tcW w:w="745" w:type="dxa"/>
            <w:tcBorders>
              <w:right w:val="single" w:sz="4" w:space="0" w:color="auto"/>
            </w:tcBorders>
          </w:tcPr>
          <w:p w14:paraId="5C4D7AD9" w14:textId="77777777" w:rsidR="00CB4EBE" w:rsidRPr="00DE15F4" w:rsidRDefault="00CB4EBE" w:rsidP="00B41496">
            <w:pPr>
              <w:jc w:val="center"/>
              <w:rPr>
                <w:rFonts w:cs="Times New Roman"/>
                <w:sz w:val="20"/>
                <w:szCs w:val="20"/>
              </w:rPr>
            </w:pPr>
            <w:r w:rsidRPr="00DE15F4">
              <w:rPr>
                <w:rFonts w:cs="Times New Roman"/>
                <w:sz w:val="20"/>
                <w:szCs w:val="20"/>
              </w:rPr>
              <w:t>25.14</w:t>
            </w:r>
          </w:p>
        </w:tc>
        <w:tc>
          <w:tcPr>
            <w:tcW w:w="745" w:type="dxa"/>
            <w:tcBorders>
              <w:left w:val="single" w:sz="4" w:space="0" w:color="auto"/>
            </w:tcBorders>
          </w:tcPr>
          <w:p w14:paraId="236EBBD6" w14:textId="77777777" w:rsidR="00CB4EBE" w:rsidRPr="00DE15F4" w:rsidRDefault="00CB4EBE" w:rsidP="00B41496">
            <w:pPr>
              <w:jc w:val="center"/>
              <w:rPr>
                <w:rFonts w:cs="Times New Roman"/>
                <w:sz w:val="20"/>
                <w:szCs w:val="20"/>
              </w:rPr>
            </w:pPr>
            <w:r w:rsidRPr="00DE15F4">
              <w:rPr>
                <w:rFonts w:cs="Times New Roman"/>
                <w:sz w:val="20"/>
                <w:szCs w:val="20"/>
              </w:rPr>
              <w:t>.55**</w:t>
            </w:r>
          </w:p>
        </w:tc>
        <w:tc>
          <w:tcPr>
            <w:tcW w:w="745" w:type="dxa"/>
          </w:tcPr>
          <w:p w14:paraId="6A28D4E2" w14:textId="77777777" w:rsidR="00CB4EBE" w:rsidRPr="00DE15F4" w:rsidRDefault="00CB4EBE" w:rsidP="00B41496">
            <w:pPr>
              <w:jc w:val="center"/>
              <w:rPr>
                <w:rFonts w:cs="Times New Roman"/>
                <w:sz w:val="20"/>
                <w:szCs w:val="20"/>
              </w:rPr>
            </w:pPr>
            <w:r w:rsidRPr="00DE15F4">
              <w:rPr>
                <w:rFonts w:cs="Times New Roman"/>
                <w:sz w:val="20"/>
                <w:szCs w:val="20"/>
              </w:rPr>
              <w:t>.53**</w:t>
            </w:r>
          </w:p>
        </w:tc>
        <w:tc>
          <w:tcPr>
            <w:tcW w:w="745" w:type="dxa"/>
          </w:tcPr>
          <w:p w14:paraId="3B7BE1A1" w14:textId="77777777" w:rsidR="00CB4EBE" w:rsidRPr="00DE15F4" w:rsidRDefault="00CB4EBE" w:rsidP="00B41496">
            <w:pPr>
              <w:jc w:val="center"/>
              <w:rPr>
                <w:rFonts w:cs="Times New Roman"/>
                <w:sz w:val="20"/>
                <w:szCs w:val="20"/>
              </w:rPr>
            </w:pPr>
            <w:r w:rsidRPr="00DE15F4">
              <w:rPr>
                <w:rFonts w:cs="Times New Roman"/>
                <w:sz w:val="20"/>
                <w:szCs w:val="20"/>
              </w:rPr>
              <w:t>-.28**</w:t>
            </w:r>
          </w:p>
        </w:tc>
        <w:tc>
          <w:tcPr>
            <w:tcW w:w="745" w:type="dxa"/>
          </w:tcPr>
          <w:p w14:paraId="1A8BBD2D" w14:textId="77777777" w:rsidR="00CB4EBE" w:rsidRPr="00DE15F4" w:rsidRDefault="00CB4EBE" w:rsidP="00B41496">
            <w:pPr>
              <w:jc w:val="center"/>
              <w:rPr>
                <w:rFonts w:cs="Times New Roman"/>
                <w:sz w:val="20"/>
                <w:szCs w:val="20"/>
              </w:rPr>
            </w:pPr>
            <w:r w:rsidRPr="00DE15F4">
              <w:rPr>
                <w:rFonts w:cs="Times New Roman"/>
                <w:sz w:val="20"/>
                <w:szCs w:val="20"/>
              </w:rPr>
              <w:t>.09</w:t>
            </w:r>
          </w:p>
        </w:tc>
        <w:tc>
          <w:tcPr>
            <w:tcW w:w="745" w:type="dxa"/>
          </w:tcPr>
          <w:p w14:paraId="7DE51919" w14:textId="77777777" w:rsidR="00CB4EBE" w:rsidRPr="00DE15F4" w:rsidRDefault="00CB4EBE" w:rsidP="00B41496">
            <w:pPr>
              <w:jc w:val="center"/>
              <w:rPr>
                <w:rFonts w:cs="Times New Roman"/>
                <w:sz w:val="20"/>
                <w:szCs w:val="20"/>
              </w:rPr>
            </w:pPr>
            <w:r>
              <w:rPr>
                <w:rFonts w:cs="Times New Roman"/>
                <w:sz w:val="20"/>
                <w:szCs w:val="20"/>
              </w:rPr>
              <w:t>.20*</w:t>
            </w:r>
          </w:p>
        </w:tc>
        <w:tc>
          <w:tcPr>
            <w:tcW w:w="745" w:type="dxa"/>
          </w:tcPr>
          <w:p w14:paraId="5900C54C" w14:textId="77777777" w:rsidR="00CB4EBE" w:rsidRPr="00DE15F4" w:rsidRDefault="00CB4EBE" w:rsidP="00B41496">
            <w:pPr>
              <w:jc w:val="center"/>
              <w:rPr>
                <w:rFonts w:cs="Times New Roman"/>
                <w:sz w:val="20"/>
                <w:szCs w:val="20"/>
              </w:rPr>
            </w:pPr>
            <w:r w:rsidRPr="00DE15F4">
              <w:rPr>
                <w:rFonts w:cs="Times New Roman"/>
                <w:sz w:val="20"/>
                <w:szCs w:val="20"/>
              </w:rPr>
              <w:t>–</w:t>
            </w:r>
          </w:p>
        </w:tc>
        <w:tc>
          <w:tcPr>
            <w:tcW w:w="745" w:type="dxa"/>
          </w:tcPr>
          <w:p w14:paraId="0D9DE023" w14:textId="77777777" w:rsidR="00CB4EBE" w:rsidRPr="00DE15F4" w:rsidRDefault="00CB4EBE" w:rsidP="00B41496">
            <w:pPr>
              <w:jc w:val="center"/>
              <w:rPr>
                <w:rFonts w:cs="Times New Roman"/>
                <w:sz w:val="20"/>
                <w:szCs w:val="20"/>
              </w:rPr>
            </w:pPr>
          </w:p>
        </w:tc>
        <w:tc>
          <w:tcPr>
            <w:tcW w:w="745" w:type="dxa"/>
          </w:tcPr>
          <w:p w14:paraId="7CAC44ED" w14:textId="77777777" w:rsidR="00CB4EBE" w:rsidRPr="00DE15F4" w:rsidRDefault="00CB4EBE" w:rsidP="00B41496">
            <w:pPr>
              <w:jc w:val="center"/>
              <w:rPr>
                <w:rFonts w:cs="Times New Roman"/>
                <w:sz w:val="20"/>
                <w:szCs w:val="20"/>
              </w:rPr>
            </w:pPr>
          </w:p>
        </w:tc>
      </w:tr>
      <w:tr w:rsidR="00CB4EBE" w:rsidRPr="00DE15F4" w14:paraId="32C12F68" w14:textId="77777777" w:rsidTr="00B41496">
        <w:trPr>
          <w:trHeight w:val="94"/>
        </w:trPr>
        <w:tc>
          <w:tcPr>
            <w:tcW w:w="2641" w:type="dxa"/>
            <w:tcBorders>
              <w:right w:val="single" w:sz="4" w:space="0" w:color="auto"/>
            </w:tcBorders>
            <w:vAlign w:val="center"/>
          </w:tcPr>
          <w:p w14:paraId="7AAF0BC5" w14:textId="77777777" w:rsidR="00CB4EBE" w:rsidRPr="00DE15F4" w:rsidRDefault="00CB4EBE" w:rsidP="00B41496">
            <w:pPr>
              <w:spacing w:line="480" w:lineRule="auto"/>
              <w:rPr>
                <w:rFonts w:cs="Times New Roman"/>
                <w:b/>
                <w:bCs/>
                <w:sz w:val="20"/>
                <w:szCs w:val="20"/>
              </w:rPr>
            </w:pPr>
            <w:r w:rsidRPr="00DE15F4">
              <w:rPr>
                <w:rFonts w:cs="Times New Roman"/>
                <w:b/>
                <w:bCs/>
                <w:sz w:val="20"/>
                <w:szCs w:val="20"/>
              </w:rPr>
              <w:t>7. Likelihood Prison</w:t>
            </w:r>
          </w:p>
        </w:tc>
        <w:tc>
          <w:tcPr>
            <w:tcW w:w="745" w:type="dxa"/>
            <w:tcBorders>
              <w:left w:val="single" w:sz="4" w:space="0" w:color="auto"/>
            </w:tcBorders>
          </w:tcPr>
          <w:p w14:paraId="28638A9D" w14:textId="77777777" w:rsidR="00CB4EBE" w:rsidRPr="00DE15F4" w:rsidRDefault="00CB4EBE" w:rsidP="00B41496">
            <w:pPr>
              <w:jc w:val="center"/>
              <w:rPr>
                <w:rFonts w:cs="Times New Roman"/>
                <w:sz w:val="20"/>
                <w:szCs w:val="20"/>
              </w:rPr>
            </w:pPr>
            <w:r w:rsidRPr="00DE15F4">
              <w:rPr>
                <w:rFonts w:cs="Times New Roman"/>
                <w:sz w:val="20"/>
                <w:szCs w:val="20"/>
              </w:rPr>
              <w:t>48.05</w:t>
            </w:r>
          </w:p>
        </w:tc>
        <w:tc>
          <w:tcPr>
            <w:tcW w:w="745" w:type="dxa"/>
            <w:tcBorders>
              <w:right w:val="single" w:sz="4" w:space="0" w:color="auto"/>
            </w:tcBorders>
          </w:tcPr>
          <w:p w14:paraId="0DC9813B" w14:textId="77777777" w:rsidR="00CB4EBE" w:rsidRPr="00DE15F4" w:rsidRDefault="00CB4EBE" w:rsidP="00B41496">
            <w:pPr>
              <w:jc w:val="center"/>
              <w:rPr>
                <w:rFonts w:cs="Times New Roman"/>
                <w:sz w:val="20"/>
                <w:szCs w:val="20"/>
              </w:rPr>
            </w:pPr>
            <w:r w:rsidRPr="00DE15F4">
              <w:rPr>
                <w:rFonts w:cs="Times New Roman"/>
                <w:sz w:val="20"/>
                <w:szCs w:val="20"/>
              </w:rPr>
              <w:t>24.70</w:t>
            </w:r>
          </w:p>
        </w:tc>
        <w:tc>
          <w:tcPr>
            <w:tcW w:w="745" w:type="dxa"/>
            <w:tcBorders>
              <w:left w:val="single" w:sz="4" w:space="0" w:color="auto"/>
            </w:tcBorders>
          </w:tcPr>
          <w:p w14:paraId="066F5FE5" w14:textId="77777777" w:rsidR="00CB4EBE" w:rsidRPr="00DE15F4" w:rsidRDefault="00CB4EBE" w:rsidP="00B41496">
            <w:pPr>
              <w:jc w:val="center"/>
              <w:rPr>
                <w:rFonts w:cs="Times New Roman"/>
                <w:sz w:val="20"/>
                <w:szCs w:val="20"/>
              </w:rPr>
            </w:pPr>
            <w:r w:rsidRPr="00DE15F4">
              <w:rPr>
                <w:rFonts w:cs="Times New Roman"/>
                <w:sz w:val="20"/>
                <w:szCs w:val="20"/>
              </w:rPr>
              <w:t>-.36**</w:t>
            </w:r>
          </w:p>
        </w:tc>
        <w:tc>
          <w:tcPr>
            <w:tcW w:w="745" w:type="dxa"/>
          </w:tcPr>
          <w:p w14:paraId="79BE9527" w14:textId="77777777" w:rsidR="00CB4EBE" w:rsidRPr="00DE15F4" w:rsidRDefault="00CB4EBE" w:rsidP="00B41496">
            <w:pPr>
              <w:jc w:val="center"/>
              <w:rPr>
                <w:rFonts w:cs="Times New Roman"/>
                <w:sz w:val="20"/>
                <w:szCs w:val="20"/>
              </w:rPr>
            </w:pPr>
            <w:r w:rsidRPr="00DE15F4">
              <w:rPr>
                <w:rFonts w:cs="Times New Roman"/>
                <w:sz w:val="20"/>
                <w:szCs w:val="20"/>
              </w:rPr>
              <w:t>-.47**</w:t>
            </w:r>
          </w:p>
        </w:tc>
        <w:tc>
          <w:tcPr>
            <w:tcW w:w="745" w:type="dxa"/>
          </w:tcPr>
          <w:p w14:paraId="1F6CE584" w14:textId="77777777" w:rsidR="00CB4EBE" w:rsidRPr="00DE15F4" w:rsidRDefault="00CB4EBE" w:rsidP="00B41496">
            <w:pPr>
              <w:jc w:val="center"/>
              <w:rPr>
                <w:rFonts w:cs="Times New Roman"/>
                <w:sz w:val="20"/>
                <w:szCs w:val="20"/>
              </w:rPr>
            </w:pPr>
            <w:r w:rsidRPr="00DE15F4">
              <w:rPr>
                <w:rFonts w:cs="Times New Roman"/>
                <w:sz w:val="20"/>
                <w:szCs w:val="20"/>
              </w:rPr>
              <w:t>.55**</w:t>
            </w:r>
          </w:p>
        </w:tc>
        <w:tc>
          <w:tcPr>
            <w:tcW w:w="745" w:type="dxa"/>
          </w:tcPr>
          <w:p w14:paraId="2FADC59B" w14:textId="77777777" w:rsidR="00CB4EBE" w:rsidRPr="00DE15F4" w:rsidRDefault="00CB4EBE" w:rsidP="00B41496">
            <w:pPr>
              <w:jc w:val="center"/>
              <w:rPr>
                <w:rFonts w:cs="Times New Roman"/>
                <w:sz w:val="20"/>
                <w:szCs w:val="20"/>
              </w:rPr>
            </w:pPr>
            <w:r w:rsidRPr="00DE15F4">
              <w:rPr>
                <w:rFonts w:cs="Times New Roman"/>
                <w:sz w:val="20"/>
                <w:szCs w:val="20"/>
              </w:rPr>
              <w:t>.16</w:t>
            </w:r>
          </w:p>
        </w:tc>
        <w:tc>
          <w:tcPr>
            <w:tcW w:w="745" w:type="dxa"/>
          </w:tcPr>
          <w:p w14:paraId="38829E2E" w14:textId="77777777" w:rsidR="00CB4EBE" w:rsidRPr="00DE15F4" w:rsidRDefault="00CB4EBE" w:rsidP="00B41496">
            <w:pPr>
              <w:jc w:val="center"/>
              <w:rPr>
                <w:rFonts w:cs="Times New Roman"/>
                <w:sz w:val="20"/>
                <w:szCs w:val="20"/>
              </w:rPr>
            </w:pPr>
            <w:r>
              <w:rPr>
                <w:rFonts w:cs="Times New Roman"/>
                <w:sz w:val="20"/>
                <w:szCs w:val="20"/>
              </w:rPr>
              <w:t>-.003</w:t>
            </w:r>
          </w:p>
        </w:tc>
        <w:tc>
          <w:tcPr>
            <w:tcW w:w="745" w:type="dxa"/>
          </w:tcPr>
          <w:p w14:paraId="05FB2082" w14:textId="77777777" w:rsidR="00CB4EBE" w:rsidRPr="00DE15F4" w:rsidRDefault="00CB4EBE" w:rsidP="00B41496">
            <w:pPr>
              <w:jc w:val="center"/>
              <w:rPr>
                <w:rFonts w:cs="Times New Roman"/>
                <w:sz w:val="20"/>
                <w:szCs w:val="20"/>
              </w:rPr>
            </w:pPr>
            <w:r w:rsidRPr="00DE15F4">
              <w:rPr>
                <w:rFonts w:cs="Times New Roman"/>
                <w:sz w:val="20"/>
                <w:szCs w:val="20"/>
              </w:rPr>
              <w:t>-.36**</w:t>
            </w:r>
          </w:p>
        </w:tc>
        <w:tc>
          <w:tcPr>
            <w:tcW w:w="745" w:type="dxa"/>
          </w:tcPr>
          <w:p w14:paraId="0E1ACDE2" w14:textId="77777777" w:rsidR="00CB4EBE" w:rsidRPr="00DE15F4" w:rsidRDefault="00CB4EBE" w:rsidP="00B41496">
            <w:pPr>
              <w:jc w:val="center"/>
              <w:rPr>
                <w:rFonts w:cs="Times New Roman"/>
                <w:sz w:val="20"/>
                <w:szCs w:val="20"/>
              </w:rPr>
            </w:pPr>
            <w:r w:rsidRPr="00DE15F4">
              <w:rPr>
                <w:rFonts w:cs="Times New Roman"/>
                <w:sz w:val="20"/>
                <w:szCs w:val="20"/>
              </w:rPr>
              <w:t>–</w:t>
            </w:r>
          </w:p>
        </w:tc>
        <w:tc>
          <w:tcPr>
            <w:tcW w:w="745" w:type="dxa"/>
          </w:tcPr>
          <w:p w14:paraId="3559027C" w14:textId="77777777" w:rsidR="00CB4EBE" w:rsidRPr="00DE15F4" w:rsidRDefault="00CB4EBE" w:rsidP="00B41496">
            <w:pPr>
              <w:jc w:val="center"/>
              <w:rPr>
                <w:rFonts w:cs="Times New Roman"/>
                <w:sz w:val="20"/>
                <w:szCs w:val="20"/>
              </w:rPr>
            </w:pPr>
          </w:p>
        </w:tc>
      </w:tr>
      <w:tr w:rsidR="00CB4EBE" w:rsidRPr="00DE15F4" w14:paraId="744EFD1C" w14:textId="77777777" w:rsidTr="00B41496">
        <w:trPr>
          <w:trHeight w:val="322"/>
        </w:trPr>
        <w:tc>
          <w:tcPr>
            <w:tcW w:w="2641" w:type="dxa"/>
            <w:tcBorders>
              <w:bottom w:val="single" w:sz="4" w:space="0" w:color="auto"/>
              <w:right w:val="single" w:sz="4" w:space="0" w:color="auto"/>
            </w:tcBorders>
            <w:vAlign w:val="center"/>
          </w:tcPr>
          <w:p w14:paraId="384472E3" w14:textId="77777777" w:rsidR="00CB4EBE" w:rsidRPr="00DE15F4" w:rsidRDefault="00CB4EBE" w:rsidP="00B41496">
            <w:pPr>
              <w:spacing w:line="480" w:lineRule="auto"/>
              <w:rPr>
                <w:rFonts w:cs="Times New Roman"/>
                <w:b/>
                <w:bCs/>
                <w:sz w:val="20"/>
                <w:szCs w:val="20"/>
              </w:rPr>
            </w:pPr>
            <w:r w:rsidRPr="00DE15F4">
              <w:rPr>
                <w:rFonts w:cs="Times New Roman"/>
                <w:b/>
                <w:bCs/>
                <w:sz w:val="20"/>
                <w:szCs w:val="20"/>
              </w:rPr>
              <w:t xml:space="preserve">8. Likelihood Hybrid </w:t>
            </w:r>
          </w:p>
        </w:tc>
        <w:tc>
          <w:tcPr>
            <w:tcW w:w="745" w:type="dxa"/>
            <w:tcBorders>
              <w:left w:val="single" w:sz="4" w:space="0" w:color="auto"/>
              <w:bottom w:val="single" w:sz="4" w:space="0" w:color="auto"/>
            </w:tcBorders>
          </w:tcPr>
          <w:p w14:paraId="34F83A98" w14:textId="77777777" w:rsidR="00CB4EBE" w:rsidRPr="00DE15F4" w:rsidRDefault="00CB4EBE" w:rsidP="00B41496">
            <w:pPr>
              <w:jc w:val="center"/>
              <w:rPr>
                <w:rFonts w:cs="Times New Roman"/>
                <w:sz w:val="20"/>
                <w:szCs w:val="20"/>
              </w:rPr>
            </w:pPr>
            <w:r w:rsidRPr="00DE15F4">
              <w:rPr>
                <w:rFonts w:cs="Times New Roman"/>
                <w:sz w:val="20"/>
                <w:szCs w:val="20"/>
              </w:rPr>
              <w:t>73.67</w:t>
            </w:r>
          </w:p>
        </w:tc>
        <w:tc>
          <w:tcPr>
            <w:tcW w:w="745" w:type="dxa"/>
            <w:tcBorders>
              <w:bottom w:val="single" w:sz="4" w:space="0" w:color="auto"/>
              <w:right w:val="single" w:sz="4" w:space="0" w:color="auto"/>
            </w:tcBorders>
          </w:tcPr>
          <w:p w14:paraId="31ECA1AD" w14:textId="77777777" w:rsidR="00CB4EBE" w:rsidRPr="00DE15F4" w:rsidRDefault="00CB4EBE" w:rsidP="00B41496">
            <w:pPr>
              <w:jc w:val="center"/>
              <w:rPr>
                <w:rFonts w:cs="Times New Roman"/>
                <w:sz w:val="20"/>
                <w:szCs w:val="20"/>
              </w:rPr>
            </w:pPr>
            <w:r w:rsidRPr="00DE15F4">
              <w:rPr>
                <w:rFonts w:cs="Times New Roman"/>
                <w:sz w:val="20"/>
                <w:szCs w:val="20"/>
              </w:rPr>
              <w:t>22.61</w:t>
            </w:r>
          </w:p>
        </w:tc>
        <w:tc>
          <w:tcPr>
            <w:tcW w:w="745" w:type="dxa"/>
            <w:tcBorders>
              <w:left w:val="single" w:sz="4" w:space="0" w:color="auto"/>
              <w:bottom w:val="single" w:sz="4" w:space="0" w:color="auto"/>
            </w:tcBorders>
          </w:tcPr>
          <w:p w14:paraId="5E033620" w14:textId="77777777" w:rsidR="00CB4EBE" w:rsidRPr="00DE15F4" w:rsidRDefault="00CB4EBE" w:rsidP="00B41496">
            <w:pPr>
              <w:jc w:val="center"/>
              <w:rPr>
                <w:rFonts w:cs="Times New Roman"/>
                <w:sz w:val="20"/>
                <w:szCs w:val="20"/>
              </w:rPr>
            </w:pPr>
            <w:r w:rsidRPr="00DE15F4">
              <w:rPr>
                <w:rFonts w:cs="Times New Roman"/>
                <w:sz w:val="20"/>
                <w:szCs w:val="20"/>
              </w:rPr>
              <w:t>.35**</w:t>
            </w:r>
          </w:p>
        </w:tc>
        <w:tc>
          <w:tcPr>
            <w:tcW w:w="745" w:type="dxa"/>
            <w:tcBorders>
              <w:bottom w:val="single" w:sz="4" w:space="0" w:color="auto"/>
            </w:tcBorders>
          </w:tcPr>
          <w:p w14:paraId="3C404005" w14:textId="77777777" w:rsidR="00CB4EBE" w:rsidRPr="00DE15F4" w:rsidRDefault="00CB4EBE" w:rsidP="00B41496">
            <w:pPr>
              <w:jc w:val="center"/>
              <w:rPr>
                <w:rFonts w:cs="Times New Roman"/>
                <w:sz w:val="20"/>
                <w:szCs w:val="20"/>
              </w:rPr>
            </w:pPr>
            <w:r w:rsidRPr="00DE15F4">
              <w:rPr>
                <w:rFonts w:cs="Times New Roman"/>
                <w:sz w:val="20"/>
                <w:szCs w:val="20"/>
              </w:rPr>
              <w:t>.24**</w:t>
            </w:r>
          </w:p>
        </w:tc>
        <w:tc>
          <w:tcPr>
            <w:tcW w:w="745" w:type="dxa"/>
            <w:tcBorders>
              <w:bottom w:val="single" w:sz="4" w:space="0" w:color="auto"/>
            </w:tcBorders>
          </w:tcPr>
          <w:p w14:paraId="07E4C3DB" w14:textId="77777777" w:rsidR="00CB4EBE" w:rsidRPr="00DE15F4" w:rsidRDefault="00CB4EBE" w:rsidP="00B41496">
            <w:pPr>
              <w:jc w:val="center"/>
              <w:rPr>
                <w:rFonts w:cs="Times New Roman"/>
                <w:sz w:val="20"/>
                <w:szCs w:val="20"/>
              </w:rPr>
            </w:pPr>
            <w:r w:rsidRPr="00DE15F4">
              <w:rPr>
                <w:rFonts w:cs="Times New Roman"/>
                <w:sz w:val="20"/>
                <w:szCs w:val="20"/>
              </w:rPr>
              <w:t>.19*</w:t>
            </w:r>
          </w:p>
        </w:tc>
        <w:tc>
          <w:tcPr>
            <w:tcW w:w="745" w:type="dxa"/>
            <w:tcBorders>
              <w:bottom w:val="single" w:sz="4" w:space="0" w:color="auto"/>
            </w:tcBorders>
          </w:tcPr>
          <w:p w14:paraId="6E3A5956" w14:textId="77777777" w:rsidR="00CB4EBE" w:rsidRPr="00DE15F4" w:rsidRDefault="00CB4EBE" w:rsidP="00B41496">
            <w:pPr>
              <w:jc w:val="center"/>
              <w:rPr>
                <w:rFonts w:cs="Times New Roman"/>
                <w:sz w:val="20"/>
                <w:szCs w:val="20"/>
              </w:rPr>
            </w:pPr>
            <w:r w:rsidRPr="00DE15F4">
              <w:rPr>
                <w:rFonts w:cs="Times New Roman"/>
                <w:sz w:val="20"/>
                <w:szCs w:val="20"/>
              </w:rPr>
              <w:t>.21*</w:t>
            </w:r>
          </w:p>
        </w:tc>
        <w:tc>
          <w:tcPr>
            <w:tcW w:w="745" w:type="dxa"/>
            <w:tcBorders>
              <w:bottom w:val="single" w:sz="4" w:space="0" w:color="auto"/>
            </w:tcBorders>
          </w:tcPr>
          <w:p w14:paraId="4F821B99" w14:textId="77777777" w:rsidR="00CB4EBE" w:rsidRPr="00DE15F4" w:rsidRDefault="00CB4EBE" w:rsidP="00B41496">
            <w:pPr>
              <w:jc w:val="center"/>
              <w:rPr>
                <w:rFonts w:cs="Times New Roman"/>
                <w:sz w:val="20"/>
                <w:szCs w:val="20"/>
              </w:rPr>
            </w:pPr>
            <w:r>
              <w:rPr>
                <w:rFonts w:cs="Times New Roman"/>
                <w:sz w:val="20"/>
                <w:szCs w:val="20"/>
              </w:rPr>
              <w:t>.05</w:t>
            </w:r>
          </w:p>
        </w:tc>
        <w:tc>
          <w:tcPr>
            <w:tcW w:w="745" w:type="dxa"/>
            <w:tcBorders>
              <w:bottom w:val="single" w:sz="4" w:space="0" w:color="auto"/>
            </w:tcBorders>
          </w:tcPr>
          <w:p w14:paraId="4D699107" w14:textId="77777777" w:rsidR="00CB4EBE" w:rsidRPr="00DE15F4" w:rsidRDefault="00CB4EBE" w:rsidP="00B41496">
            <w:pPr>
              <w:jc w:val="center"/>
              <w:rPr>
                <w:rFonts w:cs="Times New Roman"/>
                <w:sz w:val="20"/>
                <w:szCs w:val="20"/>
              </w:rPr>
            </w:pPr>
            <w:r w:rsidRPr="00DE15F4">
              <w:rPr>
                <w:rFonts w:cs="Times New Roman"/>
                <w:sz w:val="20"/>
                <w:szCs w:val="20"/>
              </w:rPr>
              <w:t>.26**</w:t>
            </w:r>
          </w:p>
        </w:tc>
        <w:tc>
          <w:tcPr>
            <w:tcW w:w="745" w:type="dxa"/>
            <w:tcBorders>
              <w:bottom w:val="single" w:sz="4" w:space="0" w:color="auto"/>
            </w:tcBorders>
          </w:tcPr>
          <w:p w14:paraId="65ED8837" w14:textId="77777777" w:rsidR="00CB4EBE" w:rsidRPr="00DE15F4" w:rsidRDefault="00CB4EBE" w:rsidP="00B41496">
            <w:pPr>
              <w:jc w:val="center"/>
              <w:rPr>
                <w:rFonts w:cs="Times New Roman"/>
                <w:sz w:val="20"/>
                <w:szCs w:val="20"/>
              </w:rPr>
            </w:pPr>
            <w:r w:rsidRPr="00DE15F4">
              <w:rPr>
                <w:rFonts w:cs="Times New Roman"/>
                <w:sz w:val="20"/>
                <w:szCs w:val="20"/>
              </w:rPr>
              <w:t>.50</w:t>
            </w:r>
          </w:p>
        </w:tc>
        <w:tc>
          <w:tcPr>
            <w:tcW w:w="745" w:type="dxa"/>
            <w:tcBorders>
              <w:bottom w:val="single" w:sz="4" w:space="0" w:color="auto"/>
            </w:tcBorders>
          </w:tcPr>
          <w:p w14:paraId="648F9B8B" w14:textId="77777777" w:rsidR="00CB4EBE" w:rsidRPr="00DE15F4" w:rsidRDefault="00CB4EBE" w:rsidP="00B41496">
            <w:pPr>
              <w:jc w:val="center"/>
              <w:rPr>
                <w:rFonts w:cs="Times New Roman"/>
                <w:sz w:val="20"/>
                <w:szCs w:val="20"/>
              </w:rPr>
            </w:pPr>
            <w:r w:rsidRPr="00DE15F4">
              <w:rPr>
                <w:rFonts w:cs="Times New Roman"/>
                <w:sz w:val="20"/>
                <w:szCs w:val="20"/>
              </w:rPr>
              <w:t>–</w:t>
            </w:r>
          </w:p>
        </w:tc>
      </w:tr>
    </w:tbl>
    <w:p w14:paraId="1550FE4E" w14:textId="77777777" w:rsidR="00CB4EBE" w:rsidRPr="008B0626" w:rsidRDefault="00CB4EBE" w:rsidP="00CB4EBE">
      <w:pPr>
        <w:spacing w:after="0" w:line="240" w:lineRule="auto"/>
        <w:rPr>
          <w:rFonts w:cs="Times New Roman"/>
        </w:rPr>
      </w:pPr>
      <w:r w:rsidRPr="008B0626">
        <w:rPr>
          <w:rFonts w:cs="Times New Roman"/>
        </w:rPr>
        <w:lastRenderedPageBreak/>
        <w:t>**. Correlation is significant at the 0.01 level (2-tailed).</w:t>
      </w:r>
    </w:p>
    <w:p w14:paraId="5F38B5CC" w14:textId="77777777" w:rsidR="00CB4EBE" w:rsidRPr="008B0626" w:rsidRDefault="00CB4EBE" w:rsidP="00CB4EBE">
      <w:pPr>
        <w:spacing w:after="0" w:line="480" w:lineRule="auto"/>
        <w:rPr>
          <w:rFonts w:cs="Times New Roman"/>
        </w:rPr>
      </w:pPr>
      <w:r w:rsidRPr="008B0626">
        <w:rPr>
          <w:rFonts w:cs="Times New Roman"/>
        </w:rPr>
        <w:t>*. Correlation is significant at the 0.05 level (2-tailed).</w:t>
      </w:r>
    </w:p>
    <w:p w14:paraId="687A173D" w14:textId="0A411852" w:rsidR="00E16EF1" w:rsidRDefault="00E16EF1" w:rsidP="00A57ED8">
      <w:pPr>
        <w:spacing w:line="276" w:lineRule="auto"/>
        <w:rPr>
          <w:rFonts w:eastAsia="Times New Roman" w:cs="Times New Roman"/>
          <w:lang w:eastAsia="en-GB"/>
        </w:rPr>
      </w:pPr>
      <w:r>
        <w:t xml:space="preserve">To consider whether these relationships differed depending on the condition to which the person was exposed, the correlation coefficients were calculated separately for participants who had been exposed to each condition. The results from this analysis can be found in </w:t>
      </w:r>
      <w:r w:rsidRPr="00585143">
        <w:rPr>
          <w:b/>
          <w:bCs/>
        </w:rPr>
        <w:t xml:space="preserve">OSF Appendix </w:t>
      </w:r>
      <w:r w:rsidR="00284821" w:rsidRPr="00585143">
        <w:rPr>
          <w:b/>
          <w:bCs/>
        </w:rPr>
        <w:t>3</w:t>
      </w:r>
      <w:r w:rsidR="00585143">
        <w:rPr>
          <w:b/>
          <w:bCs/>
        </w:rPr>
        <w:t xml:space="preserve"> [Peer review link: </w:t>
      </w:r>
      <w:hyperlink r:id="rId11" w:history="1">
        <w:r w:rsidR="00FE761E" w:rsidRPr="002B7C68">
          <w:rPr>
            <w:rStyle w:val="Hyperlink"/>
            <w:b/>
            <w:bCs/>
          </w:rPr>
          <w:t>https://osf.io/5728v/overview?view_only=cf2e98cffefb47dd8d8a43d7ac3a82ac</w:t>
        </w:r>
      </w:hyperlink>
      <w:r w:rsidR="00585143">
        <w:rPr>
          <w:b/>
          <w:bCs/>
        </w:rPr>
        <w:t>]</w:t>
      </w:r>
      <w:r w:rsidRPr="00585143">
        <w:rPr>
          <w:b/>
          <w:bCs/>
        </w:rPr>
        <w:t>.</w:t>
      </w:r>
      <w:r>
        <w:rPr>
          <w:b/>
          <w:bCs/>
        </w:rPr>
        <w:t xml:space="preserve"> </w:t>
      </w:r>
      <w:r>
        <w:t xml:space="preserve">Comparing these results with those for the whole sample, the clearest differences related to the correlation between Vowles 2 and Vowles – Confidence which was lower, and not </w:t>
      </w:r>
      <w:r w:rsidRPr="00327FC6">
        <w:t>statistically significant, in the ‘personality disorder’ condition (</w:t>
      </w:r>
      <w:r w:rsidRPr="00327FC6">
        <w:rPr>
          <w:rFonts w:eastAsia="Times New Roman" w:cs="Times New Roman"/>
          <w:lang w:eastAsia="en-GB"/>
        </w:rPr>
        <w:t xml:space="preserve">ρ=0.101, p=0.435). The equivalent correlation in the ‘schizophrenia’ condition was correspondingly somewhat stronger </w:t>
      </w:r>
      <w:r w:rsidRPr="00327FC6">
        <w:t>(</w:t>
      </w:r>
      <w:r w:rsidRPr="00327FC6">
        <w:rPr>
          <w:rFonts w:eastAsia="Times New Roman" w:cs="Times New Roman"/>
          <w:lang w:eastAsia="en-GB"/>
        </w:rPr>
        <w:t>ρ=0.430, p=&lt;0.001).</w:t>
      </w:r>
      <w:r>
        <w:rPr>
          <w:rFonts w:eastAsia="Times New Roman" w:cs="Times New Roman"/>
          <w:lang w:eastAsia="en-GB"/>
        </w:rPr>
        <w:t xml:space="preserve"> </w:t>
      </w:r>
    </w:p>
    <w:p w14:paraId="2EDA704E" w14:textId="77777777" w:rsidR="00E16EF1" w:rsidRDefault="00E16EF1" w:rsidP="00A57ED8">
      <w:pPr>
        <w:spacing w:line="276" w:lineRule="auto"/>
        <w:rPr>
          <w:rFonts w:eastAsia="Times New Roman" w:cs="Times New Roman"/>
          <w:lang w:eastAsia="en-GB"/>
        </w:rPr>
      </w:pPr>
    </w:p>
    <w:p w14:paraId="0D131E74" w14:textId="08769E35" w:rsidR="00E16EF1" w:rsidRPr="00EA443B" w:rsidRDefault="00E16EF1" w:rsidP="00A57ED8">
      <w:pPr>
        <w:spacing w:line="276" w:lineRule="auto"/>
      </w:pPr>
      <w:r>
        <w:rPr>
          <w:rFonts w:eastAsia="Times New Roman" w:cs="Times New Roman"/>
          <w:lang w:eastAsia="en-GB"/>
        </w:rPr>
        <w:t xml:space="preserve">Similarly, the relationship between Vowles 4 and Vowles – Confidence also seemed to change depending on the condition. In this case, </w:t>
      </w:r>
      <w:r w:rsidRPr="00327FC6">
        <w:rPr>
          <w:rFonts w:eastAsia="Times New Roman" w:cs="Times New Roman"/>
          <w:lang w:eastAsia="en-GB"/>
        </w:rPr>
        <w:t xml:space="preserve">in the ‘schizophrenia’ condition, the correlation was almost negligible and non-significant (ρ=0.036, p=0.785) whereas in the ‘personality disorder’ condition the correlation was correspondingly </w:t>
      </w:r>
      <w:r>
        <w:rPr>
          <w:rFonts w:eastAsia="Times New Roman" w:cs="Times New Roman"/>
          <w:lang w:eastAsia="en-GB"/>
        </w:rPr>
        <w:t>rather strong</w:t>
      </w:r>
      <w:r w:rsidRPr="00327FC6">
        <w:rPr>
          <w:rFonts w:eastAsia="Times New Roman" w:cs="Times New Roman"/>
          <w:lang w:eastAsia="en-GB"/>
        </w:rPr>
        <w:t xml:space="preserve"> (ρ=0.400, p=0.001). </w:t>
      </w:r>
    </w:p>
    <w:p w14:paraId="4B544726" w14:textId="77777777" w:rsidR="00F3176F" w:rsidRDefault="00F3176F" w:rsidP="00A57ED8">
      <w:pPr>
        <w:pStyle w:val="Heading3"/>
        <w:spacing w:line="276" w:lineRule="auto"/>
      </w:pPr>
    </w:p>
    <w:p w14:paraId="7A39E60C" w14:textId="22204719" w:rsidR="00641244" w:rsidRDefault="00D93E95" w:rsidP="00A57ED8">
      <w:pPr>
        <w:pStyle w:val="Heading2"/>
        <w:spacing w:line="276" w:lineRule="auto"/>
      </w:pPr>
      <w:r>
        <w:t xml:space="preserve">Differences in Vowles </w:t>
      </w:r>
      <w:r w:rsidR="00DB7B26">
        <w:t>r</w:t>
      </w:r>
      <w:r>
        <w:t xml:space="preserve">atings </w:t>
      </w:r>
      <w:r w:rsidR="00734D9C">
        <w:t>between conditions</w:t>
      </w:r>
    </w:p>
    <w:p w14:paraId="1FC05078" w14:textId="3C3AA178" w:rsidR="00D75665" w:rsidRDefault="00886CCC" w:rsidP="00A57ED8">
      <w:pPr>
        <w:spacing w:line="276" w:lineRule="auto"/>
      </w:pPr>
      <w:r w:rsidRPr="00A40B4A">
        <w:t xml:space="preserve">Frequencies of </w:t>
      </w:r>
      <w:r w:rsidRPr="00B33609">
        <w:t xml:space="preserve">the responses to the Vowles statements, broken down by condition, are indicated in </w:t>
      </w:r>
      <w:r w:rsidR="00BA0485" w:rsidRPr="00B33609">
        <w:t xml:space="preserve">OSF Appendix </w:t>
      </w:r>
      <w:r w:rsidR="00284821" w:rsidRPr="00B33609">
        <w:t>4</w:t>
      </w:r>
      <w:r w:rsidR="003E253B" w:rsidRPr="00B33609">
        <w:t>.</w:t>
      </w:r>
      <w:r w:rsidR="00D90ACD">
        <w:t xml:space="preserve"> </w:t>
      </w:r>
    </w:p>
    <w:p w14:paraId="4480EA44" w14:textId="77777777" w:rsidR="009C0235" w:rsidRPr="00A40B4A" w:rsidRDefault="009C0235" w:rsidP="00A57ED8">
      <w:pPr>
        <w:spacing w:line="276" w:lineRule="auto"/>
      </w:pPr>
    </w:p>
    <w:p w14:paraId="36CE2758" w14:textId="3AE8281B" w:rsidR="00F320BD" w:rsidRPr="00552242" w:rsidRDefault="00D75665" w:rsidP="00A57ED8">
      <w:pPr>
        <w:spacing w:line="276" w:lineRule="auto"/>
        <w:rPr>
          <w:b/>
          <w:bCs/>
          <w:color w:val="EE0000"/>
        </w:rPr>
      </w:pPr>
      <w:r>
        <w:t>To test whether</w:t>
      </w:r>
      <w:r w:rsidR="00310FD8">
        <w:t xml:space="preserve"> there were differences in the ratings given between conditions, a series of chi-squared tests were carried out. B</w:t>
      </w:r>
      <w:r w:rsidR="00886CCC" w:rsidRPr="00976CC9">
        <w:t xml:space="preserve">ecause of the </w:t>
      </w:r>
      <w:r w:rsidR="00154A93">
        <w:t>evident skew</w:t>
      </w:r>
      <w:r w:rsidR="00886CCC" w:rsidRPr="00976CC9">
        <w:t>, small cell-sizes</w:t>
      </w:r>
      <w:r w:rsidR="00154A93">
        <w:t>, and to be consistent</w:t>
      </w:r>
      <w:r w:rsidR="00C908F1">
        <w:t xml:space="preserve"> with the approach in Baldwin et al (2025), </w:t>
      </w:r>
      <w:r w:rsidR="00886CCC" w:rsidRPr="00976CC9">
        <w:t xml:space="preserve">response options were collapsed into </w:t>
      </w:r>
      <w:r w:rsidR="00223672">
        <w:t>four</w:t>
      </w:r>
      <w:r w:rsidR="00CE2857">
        <w:t xml:space="preserve"> </w:t>
      </w:r>
      <w:r w:rsidR="00886CCC" w:rsidRPr="00976CC9">
        <w:t>categories; all disagree responses</w:t>
      </w:r>
      <w:r w:rsidR="00223672">
        <w:t xml:space="preserve"> together, </w:t>
      </w:r>
      <w:r w:rsidR="00886CCC">
        <w:t>‘Slightly Agree’;</w:t>
      </w:r>
      <w:r w:rsidR="00886CCC" w:rsidRPr="00976CC9">
        <w:t xml:space="preserve"> </w:t>
      </w:r>
      <w:r w:rsidR="00886CCC">
        <w:t>‘A</w:t>
      </w:r>
      <w:r w:rsidR="00886CCC" w:rsidRPr="00976CC9">
        <w:t>gree</w:t>
      </w:r>
      <w:r w:rsidR="00886CCC">
        <w:t>’</w:t>
      </w:r>
      <w:r w:rsidR="00886CCC" w:rsidRPr="00976CC9">
        <w:t>; and finally</w:t>
      </w:r>
      <w:r w:rsidR="00886CCC">
        <w:t>,</w:t>
      </w:r>
      <w:r w:rsidR="00886CCC" w:rsidRPr="00976CC9">
        <w:t xml:space="preserve"> </w:t>
      </w:r>
      <w:r w:rsidR="00886CCC">
        <w:t>‘Strongly Agree’</w:t>
      </w:r>
      <w:r w:rsidR="00E76D6A">
        <w:t>. As in Baldwin et al (2025), none of the associated chi-squared tests were significant indicating that exposure to different diagnostic conditions did not have a detectable impact on Vowles ratings (Vowles 1:</w:t>
      </w:r>
      <w:r w:rsidR="00E76D6A" w:rsidRPr="00976CC9">
        <w:t xml:space="preserve"> </w:t>
      </w:r>
      <w:r w:rsidR="00E76D6A" w:rsidRPr="00976CC9">
        <w:rPr>
          <w:rFonts w:ascii="Arial" w:hAnsi="Arial" w:cs="Arial"/>
          <w:color w:val="202122"/>
          <w:sz w:val="27"/>
          <w:szCs w:val="27"/>
          <w:shd w:val="clear" w:color="auto" w:fill="FFFFFF"/>
        </w:rPr>
        <w:t>χ</w:t>
      </w:r>
      <w:r w:rsidR="00E76D6A" w:rsidRPr="00976CC9">
        <w:t>(</w:t>
      </w:r>
      <w:r w:rsidR="001B63E0">
        <w:t>3</w:t>
      </w:r>
      <w:r w:rsidR="00E76D6A" w:rsidRPr="00976CC9">
        <w:t xml:space="preserve">, </w:t>
      </w:r>
      <w:r w:rsidR="00E76D6A" w:rsidRPr="00976CC9">
        <w:rPr>
          <w:i/>
          <w:iCs/>
        </w:rPr>
        <w:t>N=</w:t>
      </w:r>
      <w:r w:rsidR="00E76D6A">
        <w:rPr>
          <w:i/>
          <w:iCs/>
        </w:rPr>
        <w:t>1</w:t>
      </w:r>
      <w:r w:rsidR="0074531A">
        <w:rPr>
          <w:i/>
          <w:iCs/>
        </w:rPr>
        <w:t>22</w:t>
      </w:r>
      <w:r w:rsidR="00E76D6A" w:rsidRPr="00976CC9">
        <w:t>)=</w:t>
      </w:r>
      <w:r w:rsidR="00EB2F5D">
        <w:t>0.84</w:t>
      </w:r>
      <w:r w:rsidR="00E76D6A" w:rsidRPr="00976CC9">
        <w:t xml:space="preserve">, </w:t>
      </w:r>
      <w:r w:rsidR="00E76D6A" w:rsidRPr="00976CC9">
        <w:rPr>
          <w:i/>
          <w:iCs/>
        </w:rPr>
        <w:t>p</w:t>
      </w:r>
      <w:r w:rsidR="00E76D6A" w:rsidRPr="00976CC9">
        <w:t>=</w:t>
      </w:r>
      <w:r w:rsidR="00E76D6A">
        <w:t>0.</w:t>
      </w:r>
      <w:r w:rsidR="0085246D">
        <w:t>84</w:t>
      </w:r>
      <w:r w:rsidR="00227058">
        <w:t>, V=0.083</w:t>
      </w:r>
      <w:r w:rsidR="00E76D6A">
        <w:t>; Vowles 2:</w:t>
      </w:r>
      <w:r w:rsidR="00E76D6A" w:rsidRPr="00976CC9">
        <w:t xml:space="preserve"> </w:t>
      </w:r>
      <w:r w:rsidR="00E76D6A" w:rsidRPr="00976CC9">
        <w:rPr>
          <w:rFonts w:ascii="Arial" w:hAnsi="Arial" w:cs="Arial"/>
          <w:color w:val="202122"/>
          <w:sz w:val="27"/>
          <w:szCs w:val="27"/>
          <w:shd w:val="clear" w:color="auto" w:fill="FFFFFF"/>
        </w:rPr>
        <w:t>χ</w:t>
      </w:r>
      <w:r w:rsidR="00E76D6A" w:rsidRPr="00976CC9">
        <w:t>(</w:t>
      </w:r>
      <w:r w:rsidR="001B63E0">
        <w:t>3</w:t>
      </w:r>
      <w:r w:rsidR="00E76D6A" w:rsidRPr="00976CC9">
        <w:t xml:space="preserve">, </w:t>
      </w:r>
      <w:r w:rsidR="00E76D6A" w:rsidRPr="00976CC9">
        <w:rPr>
          <w:i/>
          <w:iCs/>
        </w:rPr>
        <w:t>N=</w:t>
      </w:r>
      <w:r w:rsidR="00E76D6A">
        <w:rPr>
          <w:i/>
          <w:iCs/>
        </w:rPr>
        <w:t>1</w:t>
      </w:r>
      <w:r w:rsidR="0074531A">
        <w:rPr>
          <w:i/>
          <w:iCs/>
        </w:rPr>
        <w:t>22</w:t>
      </w:r>
      <w:r w:rsidR="00E76D6A" w:rsidRPr="00976CC9">
        <w:t>)=</w:t>
      </w:r>
      <w:r w:rsidR="00EB2F5D">
        <w:t>0.27</w:t>
      </w:r>
      <w:r w:rsidR="00E76D6A" w:rsidRPr="00976CC9">
        <w:t xml:space="preserve">, </w:t>
      </w:r>
      <w:r w:rsidR="00E76D6A" w:rsidRPr="00976CC9">
        <w:rPr>
          <w:i/>
          <w:iCs/>
        </w:rPr>
        <w:t>p</w:t>
      </w:r>
      <w:r w:rsidR="00E76D6A" w:rsidRPr="00976CC9">
        <w:t>=</w:t>
      </w:r>
      <w:r w:rsidR="00E76D6A">
        <w:t>0.</w:t>
      </w:r>
      <w:r w:rsidR="002D25B8">
        <w:t>96</w:t>
      </w:r>
      <w:r w:rsidR="00A74E7F">
        <w:t>, V=0.047</w:t>
      </w:r>
      <w:r w:rsidR="00E76D6A">
        <w:t>; Vowles 3:</w:t>
      </w:r>
      <w:r w:rsidR="00E76D6A" w:rsidRPr="00976CC9">
        <w:t xml:space="preserve"> </w:t>
      </w:r>
      <w:r w:rsidR="00E76D6A" w:rsidRPr="00976CC9">
        <w:rPr>
          <w:rFonts w:ascii="Arial" w:hAnsi="Arial" w:cs="Arial"/>
          <w:color w:val="202122"/>
          <w:sz w:val="27"/>
          <w:szCs w:val="27"/>
          <w:shd w:val="clear" w:color="auto" w:fill="FFFFFF"/>
        </w:rPr>
        <w:t>χ</w:t>
      </w:r>
      <w:r w:rsidR="00E76D6A" w:rsidRPr="00976CC9">
        <w:t>(</w:t>
      </w:r>
      <w:r w:rsidR="001B63E0">
        <w:t>3</w:t>
      </w:r>
      <w:r w:rsidR="00E76D6A" w:rsidRPr="00976CC9">
        <w:t xml:space="preserve">, </w:t>
      </w:r>
      <w:r w:rsidR="00E76D6A" w:rsidRPr="00976CC9">
        <w:rPr>
          <w:i/>
          <w:iCs/>
        </w:rPr>
        <w:t>N=1</w:t>
      </w:r>
      <w:r w:rsidR="0074531A">
        <w:rPr>
          <w:i/>
          <w:iCs/>
        </w:rPr>
        <w:t>22</w:t>
      </w:r>
      <w:r w:rsidR="00E76D6A" w:rsidRPr="00976CC9">
        <w:t>)=</w:t>
      </w:r>
      <w:r w:rsidR="002D25B8">
        <w:t>3.95</w:t>
      </w:r>
      <w:r w:rsidR="00E76D6A" w:rsidRPr="00976CC9">
        <w:t xml:space="preserve">, </w:t>
      </w:r>
      <w:r w:rsidR="00E76D6A" w:rsidRPr="00976CC9">
        <w:rPr>
          <w:i/>
          <w:iCs/>
        </w:rPr>
        <w:t>p</w:t>
      </w:r>
      <w:r w:rsidR="00E76D6A" w:rsidRPr="00976CC9">
        <w:t>=0.</w:t>
      </w:r>
      <w:r w:rsidR="002D25B8">
        <w:t>27</w:t>
      </w:r>
      <w:r w:rsidR="001E2984">
        <w:t>, V=0.18</w:t>
      </w:r>
      <w:r w:rsidR="00E76D6A">
        <w:t>; Vowles 4:</w:t>
      </w:r>
      <w:r w:rsidR="00E76D6A" w:rsidRPr="00976CC9">
        <w:t xml:space="preserve"> </w:t>
      </w:r>
      <w:r w:rsidR="00E76D6A" w:rsidRPr="00976CC9">
        <w:rPr>
          <w:rFonts w:ascii="Arial" w:hAnsi="Arial" w:cs="Arial"/>
          <w:color w:val="202122"/>
          <w:sz w:val="27"/>
          <w:szCs w:val="27"/>
          <w:shd w:val="clear" w:color="auto" w:fill="FFFFFF"/>
        </w:rPr>
        <w:t>χ</w:t>
      </w:r>
      <w:r w:rsidR="00E76D6A" w:rsidRPr="00976CC9">
        <w:t>(</w:t>
      </w:r>
      <w:r w:rsidR="001B63E0">
        <w:t>3</w:t>
      </w:r>
      <w:r w:rsidR="00E76D6A" w:rsidRPr="00976CC9">
        <w:t xml:space="preserve">, </w:t>
      </w:r>
      <w:r w:rsidR="00E76D6A" w:rsidRPr="00976CC9">
        <w:rPr>
          <w:i/>
          <w:iCs/>
        </w:rPr>
        <w:t>N=1</w:t>
      </w:r>
      <w:r w:rsidR="0074531A">
        <w:rPr>
          <w:i/>
          <w:iCs/>
        </w:rPr>
        <w:t>22</w:t>
      </w:r>
      <w:r w:rsidR="00E76D6A" w:rsidRPr="00976CC9">
        <w:t>)=</w:t>
      </w:r>
      <w:r w:rsidR="002D25B8">
        <w:t>2.39</w:t>
      </w:r>
      <w:r w:rsidR="00E76D6A" w:rsidRPr="00976CC9">
        <w:t xml:space="preserve">, </w:t>
      </w:r>
      <w:r w:rsidR="00E76D6A" w:rsidRPr="00976CC9">
        <w:rPr>
          <w:i/>
          <w:iCs/>
        </w:rPr>
        <w:t>p</w:t>
      </w:r>
      <w:r w:rsidR="00E76D6A" w:rsidRPr="00976CC9">
        <w:t>=0.</w:t>
      </w:r>
      <w:r w:rsidR="002D25B8">
        <w:t>50</w:t>
      </w:r>
      <w:r w:rsidR="001E2984">
        <w:t>, V=0.14</w:t>
      </w:r>
      <w:r w:rsidR="00A75DE7">
        <w:t xml:space="preserve">; </w:t>
      </w:r>
      <w:r w:rsidR="00F320BD">
        <w:t xml:space="preserve">Confidence: </w:t>
      </w:r>
      <w:r w:rsidR="00F320BD" w:rsidRPr="00976CC9">
        <w:rPr>
          <w:rFonts w:ascii="Arial" w:hAnsi="Arial" w:cs="Arial"/>
          <w:color w:val="202122"/>
          <w:sz w:val="27"/>
          <w:szCs w:val="27"/>
          <w:shd w:val="clear" w:color="auto" w:fill="FFFFFF"/>
        </w:rPr>
        <w:t>χ</w:t>
      </w:r>
      <w:r w:rsidR="00F320BD" w:rsidRPr="00976CC9">
        <w:t>(</w:t>
      </w:r>
      <w:r w:rsidR="00F320BD">
        <w:t>3</w:t>
      </w:r>
      <w:r w:rsidR="00F320BD" w:rsidRPr="00976CC9">
        <w:t xml:space="preserve">, </w:t>
      </w:r>
      <w:r w:rsidR="00F320BD" w:rsidRPr="00976CC9">
        <w:rPr>
          <w:i/>
          <w:iCs/>
        </w:rPr>
        <w:t>N=1</w:t>
      </w:r>
      <w:r w:rsidR="00F320BD">
        <w:rPr>
          <w:i/>
          <w:iCs/>
        </w:rPr>
        <w:t>22</w:t>
      </w:r>
      <w:r w:rsidR="00F320BD" w:rsidRPr="00976CC9">
        <w:t>)=</w:t>
      </w:r>
      <w:r w:rsidR="00F320BD">
        <w:t>4.97</w:t>
      </w:r>
      <w:r w:rsidR="00F320BD" w:rsidRPr="00976CC9">
        <w:t xml:space="preserve">, </w:t>
      </w:r>
      <w:r w:rsidR="00F320BD" w:rsidRPr="00976CC9">
        <w:rPr>
          <w:i/>
          <w:iCs/>
        </w:rPr>
        <w:t>p</w:t>
      </w:r>
      <w:r w:rsidR="00F320BD" w:rsidRPr="00976CC9">
        <w:t>=0.</w:t>
      </w:r>
      <w:r w:rsidR="00F320BD">
        <w:t>17</w:t>
      </w:r>
      <w:r w:rsidR="000425AA">
        <w:t>, V=0.20</w:t>
      </w:r>
      <w:r w:rsidR="00F320BD">
        <w:t>)</w:t>
      </w:r>
      <w:r w:rsidR="00CE2857">
        <w:t xml:space="preserve">. Interpretation of Cramer’s V indicates that the differences are indeed </w:t>
      </w:r>
      <w:r w:rsidR="00CD3B24">
        <w:t>reasonably</w:t>
      </w:r>
      <w:r w:rsidR="00CE2857">
        <w:t xml:space="preserve"> small and</w:t>
      </w:r>
      <w:r w:rsidR="00CD3B24">
        <w:t xml:space="preserve"> do not represent</w:t>
      </w:r>
      <w:r w:rsidR="00CE2857">
        <w:t xml:space="preserve"> larger missed effects due to an underpowered study</w:t>
      </w:r>
      <w:r w:rsidR="00F320BD">
        <w:t>.</w:t>
      </w:r>
    </w:p>
    <w:p w14:paraId="5FE6A919" w14:textId="77777777" w:rsidR="00886CCC" w:rsidRPr="00C72F7D" w:rsidRDefault="00886CCC" w:rsidP="00A57ED8">
      <w:pPr>
        <w:spacing w:line="276" w:lineRule="auto"/>
        <w:rPr>
          <w:b/>
          <w:bCs/>
        </w:rPr>
      </w:pPr>
    </w:p>
    <w:bookmarkEnd w:id="13"/>
    <w:p w14:paraId="4761728C" w14:textId="77777777" w:rsidR="00BA1440" w:rsidRDefault="00BA1440" w:rsidP="00A57ED8">
      <w:pPr>
        <w:pStyle w:val="Heading2"/>
        <w:spacing w:line="276" w:lineRule="auto"/>
      </w:pPr>
    </w:p>
    <w:p w14:paraId="20CC732F" w14:textId="77777777" w:rsidR="00CD3B24" w:rsidRDefault="00CD3B24" w:rsidP="00CD3B24"/>
    <w:p w14:paraId="5F92F103" w14:textId="77777777" w:rsidR="00CD3B24" w:rsidRDefault="00CD3B24" w:rsidP="00CD3B24"/>
    <w:p w14:paraId="3F59BCF5" w14:textId="77777777" w:rsidR="00CD3B24" w:rsidRDefault="00CD3B24" w:rsidP="00CD3B24"/>
    <w:p w14:paraId="1A224CE2" w14:textId="77777777" w:rsidR="00CD3B24" w:rsidRPr="00CD3B24" w:rsidRDefault="00CD3B24" w:rsidP="00CD3B24"/>
    <w:p w14:paraId="05951F7B" w14:textId="73E4E957" w:rsidR="00A40A69" w:rsidRDefault="00BA1440" w:rsidP="00A57ED8">
      <w:pPr>
        <w:pStyle w:val="Heading2"/>
        <w:spacing w:line="276" w:lineRule="auto"/>
      </w:pPr>
      <w:r>
        <w:lastRenderedPageBreak/>
        <w:t>Differences in Sentenc</w:t>
      </w:r>
      <w:r w:rsidR="00C87C5A">
        <w:t xml:space="preserve">ing </w:t>
      </w:r>
      <w:r>
        <w:t>by Condition</w:t>
      </w:r>
    </w:p>
    <w:p w14:paraId="0F4A2407" w14:textId="6E58C895" w:rsidR="00E63445" w:rsidRDefault="005D336C" w:rsidP="00A57ED8">
      <w:pPr>
        <w:spacing w:line="276" w:lineRule="auto"/>
      </w:pPr>
      <w:r>
        <w:fldChar w:fldCharType="begin"/>
      </w:r>
      <w:r>
        <w:instrText xml:space="preserve"> REF _Ref202989614 \h </w:instrText>
      </w:r>
      <w:r w:rsidR="00A57ED8">
        <w:instrText xml:space="preserve"> \* MERGEFORMAT </w:instrText>
      </w:r>
      <w:r>
        <w:fldChar w:fldCharType="separate"/>
      </w:r>
      <w:r w:rsidR="00060CEA" w:rsidRPr="00C72F7D">
        <w:rPr>
          <w:b/>
          <w:bCs/>
        </w:rPr>
        <w:t xml:space="preserve">Table </w:t>
      </w:r>
      <w:r w:rsidR="00060CEA">
        <w:rPr>
          <w:b/>
          <w:bCs/>
          <w:noProof/>
        </w:rPr>
        <w:t>4</w:t>
      </w:r>
      <w:r>
        <w:fldChar w:fldCharType="end"/>
      </w:r>
      <w:r>
        <w:t xml:space="preserve"> shows the overall sentence outcomes by condition</w:t>
      </w:r>
      <w:r w:rsidR="00340503">
        <w:t xml:space="preserve">. It also shows the mean likelihood and confidence scores in relation to each of the potential sentencing options. </w:t>
      </w:r>
    </w:p>
    <w:p w14:paraId="15E1C800" w14:textId="69C31767" w:rsidR="00A57ED8" w:rsidRDefault="00A57ED8" w:rsidP="00A57ED8">
      <w:pPr>
        <w:spacing w:line="276" w:lineRule="auto"/>
      </w:pPr>
    </w:p>
    <w:p w14:paraId="12309651" w14:textId="79D8C4C5" w:rsidR="005D336C" w:rsidRPr="00C72F7D" w:rsidRDefault="005D336C" w:rsidP="005D336C">
      <w:pPr>
        <w:pStyle w:val="Caption"/>
        <w:keepNext/>
        <w:rPr>
          <w:b/>
          <w:bCs/>
        </w:rPr>
      </w:pPr>
      <w:bookmarkStart w:id="15" w:name="_Ref202989614"/>
      <w:r w:rsidRPr="00C72F7D">
        <w:rPr>
          <w:b/>
          <w:bCs/>
        </w:rPr>
        <w:t xml:space="preserve">Table </w:t>
      </w:r>
      <w:bookmarkEnd w:id="15"/>
      <w:r w:rsidR="00BF560F">
        <w:rPr>
          <w:b/>
          <w:bCs/>
        </w:rPr>
        <w:t>4</w:t>
      </w:r>
      <w:r w:rsidRPr="00C72F7D">
        <w:rPr>
          <w:b/>
          <w:bCs/>
        </w:rPr>
        <w:t>: Sentence Outcomes by Condition</w:t>
      </w:r>
    </w:p>
    <w:tbl>
      <w:tblPr>
        <w:tblStyle w:val="TableGridLight"/>
        <w:tblW w:w="9356" w:type="dxa"/>
        <w:tblInd w:w="-5" w:type="dxa"/>
        <w:tblLook w:val="04A0" w:firstRow="1" w:lastRow="0" w:firstColumn="1" w:lastColumn="0" w:noHBand="0" w:noVBand="1"/>
      </w:tblPr>
      <w:tblGrid>
        <w:gridCol w:w="2935"/>
        <w:gridCol w:w="2027"/>
        <w:gridCol w:w="1701"/>
        <w:gridCol w:w="2693"/>
      </w:tblGrid>
      <w:tr w:rsidR="00B83732" w:rsidRPr="00C15D97" w14:paraId="149FD476" w14:textId="1DA55B8B" w:rsidTr="00732AC3">
        <w:trPr>
          <w:trHeight w:val="273"/>
        </w:trPr>
        <w:tc>
          <w:tcPr>
            <w:tcW w:w="2935" w:type="dxa"/>
            <w:noWrap/>
            <w:hideMark/>
          </w:tcPr>
          <w:p w14:paraId="2A54E7A7" w14:textId="77777777" w:rsidR="00B83732" w:rsidRPr="00B83732" w:rsidRDefault="00B83732" w:rsidP="005B08F3">
            <w:pPr>
              <w:spacing w:line="276" w:lineRule="auto"/>
              <w:rPr>
                <w:rFonts w:eastAsia="Times New Roman" w:cs="Calibri"/>
                <w:b/>
                <w:bCs/>
                <w:sz w:val="18"/>
                <w:szCs w:val="18"/>
                <w:lang w:eastAsia="en-GB"/>
              </w:rPr>
            </w:pPr>
            <w:r w:rsidRPr="00B83732">
              <w:rPr>
                <w:rFonts w:eastAsia="Times New Roman" w:cs="Calibri"/>
                <w:b/>
                <w:bCs/>
                <w:sz w:val="18"/>
                <w:szCs w:val="18"/>
                <w:lang w:eastAsia="en-GB"/>
              </w:rPr>
              <w:t>Sentence</w:t>
            </w:r>
          </w:p>
        </w:tc>
        <w:tc>
          <w:tcPr>
            <w:tcW w:w="2027" w:type="dxa"/>
            <w:noWrap/>
            <w:hideMark/>
          </w:tcPr>
          <w:p w14:paraId="57C21527" w14:textId="0615206F" w:rsidR="00B83732" w:rsidRPr="00B83732" w:rsidRDefault="00B83732" w:rsidP="005B08F3">
            <w:pPr>
              <w:spacing w:line="276" w:lineRule="auto"/>
              <w:rPr>
                <w:rFonts w:eastAsia="Times New Roman" w:cs="Calibri"/>
                <w:b/>
                <w:bCs/>
                <w:sz w:val="18"/>
                <w:szCs w:val="18"/>
                <w:lang w:eastAsia="en-GB"/>
              </w:rPr>
            </w:pPr>
            <w:r w:rsidRPr="00B83732">
              <w:rPr>
                <w:rFonts w:eastAsia="Times New Roman" w:cs="Calibri"/>
                <w:b/>
                <w:bCs/>
                <w:sz w:val="18"/>
                <w:szCs w:val="18"/>
                <w:lang w:eastAsia="en-GB"/>
              </w:rPr>
              <w:t>Personality Disorder</w:t>
            </w:r>
          </w:p>
        </w:tc>
        <w:tc>
          <w:tcPr>
            <w:tcW w:w="1701" w:type="dxa"/>
            <w:noWrap/>
            <w:hideMark/>
          </w:tcPr>
          <w:p w14:paraId="4BB25CD2" w14:textId="77777777" w:rsidR="00B83732" w:rsidRPr="00B83732" w:rsidRDefault="00B83732" w:rsidP="005B08F3">
            <w:pPr>
              <w:spacing w:line="276" w:lineRule="auto"/>
              <w:rPr>
                <w:rFonts w:eastAsia="Times New Roman" w:cs="Calibri"/>
                <w:b/>
                <w:bCs/>
                <w:sz w:val="18"/>
                <w:szCs w:val="18"/>
                <w:lang w:eastAsia="en-GB"/>
              </w:rPr>
            </w:pPr>
            <w:r w:rsidRPr="00B83732">
              <w:rPr>
                <w:rFonts w:eastAsia="Times New Roman" w:cs="Calibri"/>
                <w:b/>
                <w:bCs/>
                <w:sz w:val="18"/>
                <w:szCs w:val="18"/>
                <w:lang w:eastAsia="en-GB"/>
              </w:rPr>
              <w:t>Schizophrenia</w:t>
            </w:r>
          </w:p>
        </w:tc>
        <w:tc>
          <w:tcPr>
            <w:tcW w:w="2693" w:type="dxa"/>
          </w:tcPr>
          <w:p w14:paraId="39E3D781" w14:textId="77777777" w:rsidR="00B83732" w:rsidRDefault="00B83732" w:rsidP="005B08F3">
            <w:pPr>
              <w:spacing w:line="276" w:lineRule="auto"/>
              <w:rPr>
                <w:rFonts w:eastAsia="Times New Roman" w:cs="Calibri"/>
                <w:b/>
                <w:bCs/>
                <w:sz w:val="18"/>
                <w:szCs w:val="18"/>
                <w:lang w:eastAsia="en-GB"/>
              </w:rPr>
            </w:pPr>
            <w:r w:rsidRPr="00B83732">
              <w:rPr>
                <w:rFonts w:eastAsia="Times New Roman" w:cs="Calibri"/>
                <w:b/>
                <w:bCs/>
                <w:sz w:val="18"/>
                <w:szCs w:val="18"/>
                <w:lang w:eastAsia="en-GB"/>
              </w:rPr>
              <w:t>Significant difference</w:t>
            </w:r>
            <w:r w:rsidR="00A07BD4">
              <w:rPr>
                <w:rFonts w:eastAsia="Times New Roman" w:cs="Calibri"/>
                <w:b/>
                <w:bCs/>
                <w:sz w:val="18"/>
                <w:szCs w:val="18"/>
                <w:lang w:eastAsia="en-GB"/>
              </w:rPr>
              <w:t xml:space="preserve"> between conditions</w:t>
            </w:r>
            <w:r w:rsidRPr="00B83732">
              <w:rPr>
                <w:rFonts w:eastAsia="Times New Roman" w:cs="Calibri"/>
                <w:b/>
                <w:bCs/>
                <w:sz w:val="18"/>
                <w:szCs w:val="18"/>
                <w:lang w:eastAsia="en-GB"/>
              </w:rPr>
              <w:t>?</w:t>
            </w:r>
          </w:p>
          <w:p w14:paraId="6BB5B132" w14:textId="6AF023AD" w:rsidR="005F29E7" w:rsidRPr="00B83732" w:rsidRDefault="005F29E7" w:rsidP="005B08F3">
            <w:pPr>
              <w:spacing w:line="276" w:lineRule="auto"/>
              <w:rPr>
                <w:rFonts w:eastAsia="Times New Roman" w:cs="Calibri"/>
                <w:b/>
                <w:bCs/>
                <w:sz w:val="18"/>
                <w:szCs w:val="18"/>
                <w:lang w:eastAsia="en-GB"/>
              </w:rPr>
            </w:pPr>
            <w:r>
              <w:rPr>
                <w:rFonts w:eastAsia="Times New Roman" w:cs="Calibri"/>
                <w:b/>
                <w:bCs/>
                <w:sz w:val="18"/>
                <w:szCs w:val="18"/>
                <w:lang w:eastAsia="en-GB"/>
              </w:rPr>
              <w:t>(significant differences highlighted in bold)</w:t>
            </w:r>
          </w:p>
        </w:tc>
      </w:tr>
      <w:tr w:rsidR="00B83732" w:rsidRPr="00C15D97" w14:paraId="275717AD" w14:textId="6C3C5D6E" w:rsidTr="00732AC3">
        <w:trPr>
          <w:trHeight w:val="273"/>
        </w:trPr>
        <w:tc>
          <w:tcPr>
            <w:tcW w:w="2935" w:type="dxa"/>
            <w:noWrap/>
            <w:hideMark/>
          </w:tcPr>
          <w:p w14:paraId="52A6631F" w14:textId="3823773A" w:rsidR="00B83732" w:rsidRPr="00B83732" w:rsidRDefault="00B83732" w:rsidP="005B08F3">
            <w:pPr>
              <w:spacing w:line="276" w:lineRule="auto"/>
              <w:rPr>
                <w:rFonts w:eastAsia="Times New Roman" w:cs="Calibri"/>
                <w:sz w:val="18"/>
                <w:szCs w:val="18"/>
                <w:lang w:eastAsia="en-GB"/>
              </w:rPr>
            </w:pPr>
            <w:r w:rsidRPr="00B83732">
              <w:rPr>
                <w:rFonts w:eastAsia="Times New Roman" w:cs="Calibri"/>
                <w:sz w:val="18"/>
                <w:szCs w:val="18"/>
                <w:lang w:eastAsia="en-GB"/>
              </w:rPr>
              <w:t>Prison: Overall Sentence n (%)</w:t>
            </w:r>
          </w:p>
        </w:tc>
        <w:tc>
          <w:tcPr>
            <w:tcW w:w="2027" w:type="dxa"/>
            <w:noWrap/>
          </w:tcPr>
          <w:p w14:paraId="21DE16AC" w14:textId="3EA6E7A1" w:rsidR="00B83732" w:rsidRPr="00B83732" w:rsidRDefault="00B83732" w:rsidP="005B08F3">
            <w:pPr>
              <w:spacing w:line="276" w:lineRule="auto"/>
              <w:jc w:val="right"/>
              <w:rPr>
                <w:rFonts w:eastAsia="Times New Roman" w:cs="Calibri"/>
                <w:sz w:val="18"/>
                <w:szCs w:val="18"/>
                <w:lang w:eastAsia="en-GB"/>
              </w:rPr>
            </w:pPr>
            <w:r w:rsidRPr="00B83732">
              <w:rPr>
                <w:rFonts w:eastAsia="Times New Roman" w:cs="Calibri"/>
                <w:sz w:val="18"/>
                <w:szCs w:val="18"/>
                <w:lang w:eastAsia="en-GB"/>
              </w:rPr>
              <w:t>11 (17.7%)</w:t>
            </w:r>
          </w:p>
        </w:tc>
        <w:tc>
          <w:tcPr>
            <w:tcW w:w="1701" w:type="dxa"/>
            <w:noWrap/>
          </w:tcPr>
          <w:p w14:paraId="60188299" w14:textId="02F22E10" w:rsidR="00B83732" w:rsidRPr="000923BB" w:rsidRDefault="00B83732" w:rsidP="005B08F3">
            <w:pPr>
              <w:spacing w:line="276" w:lineRule="auto"/>
              <w:jc w:val="right"/>
              <w:rPr>
                <w:rFonts w:eastAsia="Times New Roman" w:cs="Calibri"/>
                <w:sz w:val="18"/>
                <w:szCs w:val="18"/>
                <w:lang w:eastAsia="en-GB"/>
              </w:rPr>
            </w:pPr>
            <w:r w:rsidRPr="000923BB">
              <w:rPr>
                <w:rFonts w:eastAsia="Times New Roman" w:cs="Calibri"/>
                <w:sz w:val="18"/>
                <w:szCs w:val="18"/>
                <w:lang w:eastAsia="en-GB"/>
              </w:rPr>
              <w:t>5 (8.3%)</w:t>
            </w:r>
          </w:p>
        </w:tc>
        <w:tc>
          <w:tcPr>
            <w:tcW w:w="2693" w:type="dxa"/>
            <w:vMerge w:val="restart"/>
            <w:vAlign w:val="center"/>
          </w:tcPr>
          <w:p w14:paraId="62D93221" w14:textId="0E9D86F2" w:rsidR="00B83732" w:rsidRPr="000923BB" w:rsidRDefault="009E144F" w:rsidP="000923BB">
            <w:pPr>
              <w:spacing w:line="276" w:lineRule="auto"/>
              <w:jc w:val="center"/>
              <w:rPr>
                <w:rFonts w:eastAsia="Times New Roman" w:cs="Calibri"/>
                <w:sz w:val="18"/>
                <w:szCs w:val="18"/>
                <w:lang w:eastAsia="en-GB"/>
              </w:rPr>
            </w:pPr>
            <w:proofErr w:type="gramStart"/>
            <w:r w:rsidRPr="000923BB">
              <w:rPr>
                <w:rFonts w:ascii="Arial" w:hAnsi="Arial" w:cs="Arial"/>
                <w:color w:val="202122"/>
                <w:sz w:val="18"/>
                <w:szCs w:val="18"/>
                <w:shd w:val="clear" w:color="auto" w:fill="FFFFFF"/>
              </w:rPr>
              <w:t>χ</w:t>
            </w:r>
            <w:r w:rsidRPr="000923BB">
              <w:rPr>
                <w:sz w:val="18"/>
                <w:szCs w:val="18"/>
              </w:rPr>
              <w:t>(</w:t>
            </w:r>
            <w:proofErr w:type="gramEnd"/>
            <w:r w:rsidR="0012377B" w:rsidRPr="000923BB">
              <w:rPr>
                <w:sz w:val="18"/>
                <w:szCs w:val="18"/>
              </w:rPr>
              <w:t>2</w:t>
            </w:r>
            <w:r w:rsidRPr="000923BB">
              <w:rPr>
                <w:sz w:val="18"/>
                <w:szCs w:val="18"/>
              </w:rPr>
              <w:t xml:space="preserve">, </w:t>
            </w:r>
            <w:r w:rsidRPr="000923BB">
              <w:rPr>
                <w:i/>
                <w:iCs/>
                <w:sz w:val="18"/>
                <w:szCs w:val="18"/>
              </w:rPr>
              <w:t>N=</w:t>
            </w:r>
            <w:proofErr w:type="gramStart"/>
            <w:r w:rsidRPr="000923BB">
              <w:rPr>
                <w:i/>
                <w:iCs/>
                <w:sz w:val="18"/>
                <w:szCs w:val="18"/>
              </w:rPr>
              <w:t>122</w:t>
            </w:r>
            <w:r w:rsidRPr="000923BB">
              <w:rPr>
                <w:sz w:val="18"/>
                <w:szCs w:val="18"/>
              </w:rPr>
              <w:t>)=</w:t>
            </w:r>
            <w:proofErr w:type="gramEnd"/>
            <w:r w:rsidR="0012377B" w:rsidRPr="000923BB">
              <w:rPr>
                <w:sz w:val="18"/>
                <w:szCs w:val="18"/>
              </w:rPr>
              <w:t>4.17</w:t>
            </w:r>
            <w:r w:rsidRPr="000923BB">
              <w:rPr>
                <w:sz w:val="18"/>
                <w:szCs w:val="18"/>
              </w:rPr>
              <w:t xml:space="preserve">, </w:t>
            </w:r>
            <w:r w:rsidRPr="000923BB">
              <w:rPr>
                <w:i/>
                <w:iCs/>
                <w:sz w:val="18"/>
                <w:szCs w:val="18"/>
              </w:rPr>
              <w:t>p</w:t>
            </w:r>
            <w:r w:rsidRPr="000923BB">
              <w:rPr>
                <w:sz w:val="18"/>
                <w:szCs w:val="18"/>
              </w:rPr>
              <w:t>=0.</w:t>
            </w:r>
            <w:r w:rsidR="0012377B" w:rsidRPr="000923BB">
              <w:rPr>
                <w:sz w:val="18"/>
                <w:szCs w:val="18"/>
              </w:rPr>
              <w:t>12</w:t>
            </w:r>
            <w:r w:rsidR="00AD0EF6">
              <w:rPr>
                <w:sz w:val="18"/>
                <w:szCs w:val="18"/>
              </w:rPr>
              <w:t>, V=-0.185</w:t>
            </w:r>
          </w:p>
        </w:tc>
      </w:tr>
      <w:tr w:rsidR="00B83732" w:rsidRPr="00C15D97" w14:paraId="5A024E98" w14:textId="24A13BCF" w:rsidTr="00732AC3">
        <w:trPr>
          <w:trHeight w:val="273"/>
        </w:trPr>
        <w:tc>
          <w:tcPr>
            <w:tcW w:w="2935" w:type="dxa"/>
            <w:noWrap/>
          </w:tcPr>
          <w:p w14:paraId="2DDA3D35" w14:textId="10B31119" w:rsidR="00B83732" w:rsidRPr="00B83732" w:rsidRDefault="00B83732" w:rsidP="00EE36B5">
            <w:pPr>
              <w:spacing w:line="276" w:lineRule="auto"/>
              <w:rPr>
                <w:rFonts w:eastAsia="Times New Roman" w:cs="Calibri"/>
                <w:sz w:val="18"/>
                <w:szCs w:val="18"/>
                <w:lang w:eastAsia="en-GB"/>
              </w:rPr>
            </w:pPr>
            <w:r w:rsidRPr="00B83732">
              <w:rPr>
                <w:rFonts w:eastAsia="Times New Roman" w:cs="Calibri"/>
                <w:sz w:val="18"/>
                <w:szCs w:val="18"/>
                <w:lang w:eastAsia="en-GB"/>
              </w:rPr>
              <w:t>S.37/41 Overall Sentence n (%)</w:t>
            </w:r>
          </w:p>
        </w:tc>
        <w:tc>
          <w:tcPr>
            <w:tcW w:w="2027" w:type="dxa"/>
            <w:noWrap/>
          </w:tcPr>
          <w:p w14:paraId="2765ADF3" w14:textId="35D7F3E9" w:rsidR="00B83732" w:rsidRPr="00B83732" w:rsidRDefault="00B83732" w:rsidP="00EE36B5">
            <w:pPr>
              <w:spacing w:line="276" w:lineRule="auto"/>
              <w:jc w:val="right"/>
              <w:rPr>
                <w:rFonts w:eastAsia="Times New Roman" w:cs="Calibri"/>
                <w:sz w:val="18"/>
                <w:szCs w:val="18"/>
                <w:lang w:eastAsia="en-GB"/>
              </w:rPr>
            </w:pPr>
            <w:r w:rsidRPr="00B83732">
              <w:rPr>
                <w:rFonts w:eastAsia="Times New Roman" w:cs="Calibri"/>
                <w:sz w:val="18"/>
                <w:szCs w:val="18"/>
                <w:lang w:eastAsia="en-GB"/>
              </w:rPr>
              <w:t>16 (25.8%)</w:t>
            </w:r>
          </w:p>
        </w:tc>
        <w:tc>
          <w:tcPr>
            <w:tcW w:w="1701" w:type="dxa"/>
            <w:noWrap/>
          </w:tcPr>
          <w:p w14:paraId="02CEFE66" w14:textId="6A46C5E5" w:rsidR="00B83732" w:rsidRPr="000923BB" w:rsidRDefault="00B83732" w:rsidP="00EE36B5">
            <w:pPr>
              <w:spacing w:line="276" w:lineRule="auto"/>
              <w:jc w:val="right"/>
              <w:rPr>
                <w:rFonts w:eastAsia="Times New Roman" w:cs="Calibri"/>
                <w:sz w:val="18"/>
                <w:szCs w:val="18"/>
                <w:lang w:eastAsia="en-GB"/>
              </w:rPr>
            </w:pPr>
            <w:r w:rsidRPr="000923BB">
              <w:rPr>
                <w:rFonts w:eastAsia="Times New Roman" w:cs="Calibri"/>
                <w:sz w:val="18"/>
                <w:szCs w:val="18"/>
                <w:lang w:eastAsia="en-GB"/>
              </w:rPr>
              <w:t>11 (18.3%)</w:t>
            </w:r>
          </w:p>
        </w:tc>
        <w:tc>
          <w:tcPr>
            <w:tcW w:w="2693" w:type="dxa"/>
            <w:vMerge/>
          </w:tcPr>
          <w:p w14:paraId="58804C77" w14:textId="77777777" w:rsidR="00B83732" w:rsidRPr="000923BB" w:rsidRDefault="00B83732" w:rsidP="00EE36B5">
            <w:pPr>
              <w:spacing w:line="276" w:lineRule="auto"/>
              <w:jc w:val="right"/>
              <w:rPr>
                <w:rFonts w:eastAsia="Times New Roman" w:cs="Calibri"/>
                <w:sz w:val="18"/>
                <w:szCs w:val="18"/>
                <w:lang w:eastAsia="en-GB"/>
              </w:rPr>
            </w:pPr>
          </w:p>
        </w:tc>
      </w:tr>
      <w:tr w:rsidR="00B83732" w:rsidRPr="00C15D97" w14:paraId="0FFF3535" w14:textId="52A1FD89" w:rsidTr="00732AC3">
        <w:trPr>
          <w:trHeight w:val="273"/>
        </w:trPr>
        <w:tc>
          <w:tcPr>
            <w:tcW w:w="2935" w:type="dxa"/>
            <w:noWrap/>
            <w:hideMark/>
          </w:tcPr>
          <w:p w14:paraId="5334177F" w14:textId="2CFE2467" w:rsidR="00B83732" w:rsidRPr="00B83732" w:rsidRDefault="00B83732" w:rsidP="00EE36B5">
            <w:pPr>
              <w:spacing w:line="276" w:lineRule="auto"/>
              <w:rPr>
                <w:rFonts w:eastAsia="Times New Roman" w:cs="Calibri"/>
                <w:sz w:val="18"/>
                <w:szCs w:val="18"/>
                <w:lang w:eastAsia="en-GB"/>
              </w:rPr>
            </w:pPr>
            <w:r w:rsidRPr="00B83732">
              <w:rPr>
                <w:rFonts w:eastAsia="Times New Roman" w:cs="Calibri"/>
                <w:sz w:val="18"/>
                <w:szCs w:val="18"/>
                <w:lang w:eastAsia="en-GB"/>
              </w:rPr>
              <w:t>S.45A: Overall Sentence n (%)</w:t>
            </w:r>
          </w:p>
        </w:tc>
        <w:tc>
          <w:tcPr>
            <w:tcW w:w="2027" w:type="dxa"/>
            <w:noWrap/>
          </w:tcPr>
          <w:p w14:paraId="2389AEEF" w14:textId="17C24555" w:rsidR="00B83732" w:rsidRPr="00B83732" w:rsidRDefault="00B83732" w:rsidP="00EE36B5">
            <w:pPr>
              <w:spacing w:line="276" w:lineRule="auto"/>
              <w:jc w:val="right"/>
              <w:rPr>
                <w:rFonts w:eastAsia="Times New Roman" w:cs="Calibri"/>
                <w:sz w:val="18"/>
                <w:szCs w:val="18"/>
                <w:lang w:eastAsia="en-GB"/>
              </w:rPr>
            </w:pPr>
            <w:r w:rsidRPr="00B83732">
              <w:rPr>
                <w:rFonts w:eastAsia="Times New Roman" w:cs="Calibri"/>
                <w:sz w:val="18"/>
                <w:szCs w:val="18"/>
                <w:lang w:eastAsia="en-GB"/>
              </w:rPr>
              <w:t>35 (56.5%)</w:t>
            </w:r>
          </w:p>
        </w:tc>
        <w:tc>
          <w:tcPr>
            <w:tcW w:w="1701" w:type="dxa"/>
            <w:noWrap/>
          </w:tcPr>
          <w:p w14:paraId="7408C875" w14:textId="7B85C4FA" w:rsidR="00B83732" w:rsidRPr="000923BB" w:rsidRDefault="00B83732" w:rsidP="00EE36B5">
            <w:pPr>
              <w:spacing w:line="276" w:lineRule="auto"/>
              <w:jc w:val="right"/>
              <w:rPr>
                <w:rFonts w:eastAsia="Times New Roman" w:cs="Calibri"/>
                <w:sz w:val="18"/>
                <w:szCs w:val="18"/>
                <w:lang w:eastAsia="en-GB"/>
              </w:rPr>
            </w:pPr>
            <w:r w:rsidRPr="000923BB">
              <w:rPr>
                <w:rFonts w:eastAsia="Times New Roman" w:cs="Calibri"/>
                <w:sz w:val="18"/>
                <w:szCs w:val="18"/>
                <w:lang w:eastAsia="en-GB"/>
              </w:rPr>
              <w:t>44 (73.3%)</w:t>
            </w:r>
          </w:p>
        </w:tc>
        <w:tc>
          <w:tcPr>
            <w:tcW w:w="2693" w:type="dxa"/>
            <w:vMerge/>
          </w:tcPr>
          <w:p w14:paraId="2B886031" w14:textId="77777777" w:rsidR="00B83732" w:rsidRPr="000923BB" w:rsidRDefault="00B83732" w:rsidP="00EE36B5">
            <w:pPr>
              <w:spacing w:line="276" w:lineRule="auto"/>
              <w:jc w:val="right"/>
              <w:rPr>
                <w:rFonts w:eastAsia="Times New Roman" w:cs="Calibri"/>
                <w:sz w:val="18"/>
                <w:szCs w:val="18"/>
                <w:lang w:eastAsia="en-GB"/>
              </w:rPr>
            </w:pPr>
          </w:p>
        </w:tc>
      </w:tr>
      <w:tr w:rsidR="00B83732" w:rsidRPr="005700B0" w14:paraId="6954629B" w14:textId="2E8ECB0C" w:rsidTr="00732AC3">
        <w:trPr>
          <w:trHeight w:val="273"/>
        </w:trPr>
        <w:tc>
          <w:tcPr>
            <w:tcW w:w="2935" w:type="dxa"/>
            <w:noWrap/>
          </w:tcPr>
          <w:p w14:paraId="6C5D7F80" w14:textId="36606C95" w:rsidR="00B83732" w:rsidRPr="00B83732" w:rsidRDefault="00B83732" w:rsidP="00741FA1">
            <w:pPr>
              <w:spacing w:line="276" w:lineRule="auto"/>
              <w:rPr>
                <w:rFonts w:eastAsia="Times New Roman" w:cs="Calibri"/>
                <w:sz w:val="18"/>
                <w:szCs w:val="18"/>
                <w:lang w:eastAsia="en-GB"/>
              </w:rPr>
            </w:pPr>
            <w:r w:rsidRPr="00B83732">
              <w:rPr>
                <w:rFonts w:eastAsia="Times New Roman" w:cs="Calibri"/>
                <w:sz w:val="18"/>
                <w:szCs w:val="18"/>
                <w:lang w:eastAsia="en-GB"/>
              </w:rPr>
              <w:t>Prison: Mean likelihood (SD)</w:t>
            </w:r>
          </w:p>
        </w:tc>
        <w:tc>
          <w:tcPr>
            <w:tcW w:w="2027" w:type="dxa"/>
            <w:noWrap/>
          </w:tcPr>
          <w:p w14:paraId="18AA65CB" w14:textId="29D431CC" w:rsidR="00B83732" w:rsidRPr="00B83732" w:rsidRDefault="00B83732" w:rsidP="00741FA1">
            <w:pPr>
              <w:spacing w:line="276" w:lineRule="auto"/>
              <w:jc w:val="right"/>
              <w:rPr>
                <w:rFonts w:eastAsia="Times New Roman" w:cs="Calibri"/>
                <w:sz w:val="18"/>
                <w:szCs w:val="18"/>
                <w:lang w:eastAsia="en-GB"/>
              </w:rPr>
            </w:pPr>
            <w:r w:rsidRPr="00B83732">
              <w:rPr>
                <w:rFonts w:eastAsia="Times New Roman" w:cs="Calibri"/>
                <w:sz w:val="18"/>
                <w:szCs w:val="18"/>
                <w:lang w:eastAsia="en-GB"/>
              </w:rPr>
              <w:t>50.84 (27.69)</w:t>
            </w:r>
          </w:p>
        </w:tc>
        <w:tc>
          <w:tcPr>
            <w:tcW w:w="1701" w:type="dxa"/>
            <w:noWrap/>
          </w:tcPr>
          <w:p w14:paraId="5C0FE86C" w14:textId="3E0E929B" w:rsidR="00B83732" w:rsidRPr="000923BB" w:rsidRDefault="00B83732" w:rsidP="00741FA1">
            <w:pPr>
              <w:spacing w:line="276" w:lineRule="auto"/>
              <w:jc w:val="right"/>
              <w:rPr>
                <w:rFonts w:eastAsia="Times New Roman" w:cs="Calibri"/>
                <w:sz w:val="18"/>
                <w:szCs w:val="18"/>
                <w:lang w:eastAsia="en-GB"/>
              </w:rPr>
            </w:pPr>
            <w:r w:rsidRPr="000923BB">
              <w:rPr>
                <w:rFonts w:eastAsia="Times New Roman" w:cs="Calibri"/>
                <w:sz w:val="18"/>
                <w:szCs w:val="18"/>
                <w:lang w:eastAsia="en-GB"/>
              </w:rPr>
              <w:t>45.17 (21.02)</w:t>
            </w:r>
          </w:p>
        </w:tc>
        <w:tc>
          <w:tcPr>
            <w:tcW w:w="2693" w:type="dxa"/>
          </w:tcPr>
          <w:p w14:paraId="37104654" w14:textId="3D81F3B8" w:rsidR="00B83732" w:rsidRPr="005700B0" w:rsidRDefault="00EB6A13" w:rsidP="00741FA1">
            <w:pPr>
              <w:spacing w:line="276" w:lineRule="auto"/>
              <w:jc w:val="right"/>
              <w:rPr>
                <w:rFonts w:eastAsia="Times New Roman" w:cs="Calibri"/>
                <w:sz w:val="18"/>
                <w:szCs w:val="18"/>
                <w:lang w:eastAsia="en-GB"/>
              </w:rPr>
            </w:pPr>
            <w:proofErr w:type="gramStart"/>
            <w:r w:rsidRPr="005700B0">
              <w:rPr>
                <w:rFonts w:eastAsia="Times New Roman" w:cs="Calibri"/>
                <w:sz w:val="18"/>
                <w:szCs w:val="18"/>
                <w:lang w:eastAsia="en-GB"/>
              </w:rPr>
              <w:t>t(120)</w:t>
            </w:r>
            <w:r w:rsidR="008D3965" w:rsidRPr="005700B0">
              <w:rPr>
                <w:rFonts w:eastAsia="Times New Roman" w:cs="Calibri"/>
                <w:sz w:val="18"/>
                <w:szCs w:val="18"/>
                <w:lang w:eastAsia="en-GB"/>
              </w:rPr>
              <w:t>=</w:t>
            </w:r>
            <w:proofErr w:type="gramEnd"/>
            <w:r w:rsidR="008D3965" w:rsidRPr="005700B0">
              <w:rPr>
                <w:rFonts w:eastAsia="Times New Roman" w:cs="Calibri"/>
                <w:sz w:val="18"/>
                <w:szCs w:val="18"/>
                <w:lang w:eastAsia="en-GB"/>
              </w:rPr>
              <w:t>1.27, p=0.21</w:t>
            </w:r>
            <w:r w:rsidR="00186143">
              <w:rPr>
                <w:rFonts w:eastAsia="Times New Roman" w:cs="Calibri"/>
                <w:sz w:val="18"/>
                <w:szCs w:val="18"/>
                <w:lang w:eastAsia="en-GB"/>
              </w:rPr>
              <w:t>, d=0.23</w:t>
            </w:r>
          </w:p>
        </w:tc>
      </w:tr>
      <w:tr w:rsidR="00B83732" w:rsidRPr="005700B0" w14:paraId="0FD47762" w14:textId="36C6FA0F" w:rsidTr="00732AC3">
        <w:trPr>
          <w:trHeight w:val="273"/>
        </w:trPr>
        <w:tc>
          <w:tcPr>
            <w:tcW w:w="2935" w:type="dxa"/>
            <w:noWrap/>
          </w:tcPr>
          <w:p w14:paraId="675DDF84" w14:textId="5852AAF7" w:rsidR="00B83732" w:rsidRPr="00B83732" w:rsidRDefault="00B83732" w:rsidP="00741FA1">
            <w:pPr>
              <w:spacing w:line="276" w:lineRule="auto"/>
              <w:rPr>
                <w:rFonts w:eastAsia="Times New Roman" w:cs="Calibri"/>
                <w:sz w:val="18"/>
                <w:szCs w:val="18"/>
                <w:lang w:eastAsia="en-GB"/>
              </w:rPr>
            </w:pPr>
            <w:r w:rsidRPr="00B83732">
              <w:rPr>
                <w:rFonts w:eastAsia="Times New Roman" w:cs="Calibri"/>
                <w:sz w:val="18"/>
                <w:szCs w:val="18"/>
                <w:lang w:eastAsia="en-GB"/>
              </w:rPr>
              <w:t>S.37/41: Mean likelihood (SD)</w:t>
            </w:r>
          </w:p>
        </w:tc>
        <w:tc>
          <w:tcPr>
            <w:tcW w:w="2027" w:type="dxa"/>
            <w:noWrap/>
          </w:tcPr>
          <w:p w14:paraId="2892CB45" w14:textId="037C97EA" w:rsidR="00B83732" w:rsidRPr="00B83732" w:rsidRDefault="00B83732" w:rsidP="00741FA1">
            <w:pPr>
              <w:spacing w:line="276" w:lineRule="auto"/>
              <w:jc w:val="right"/>
              <w:rPr>
                <w:rFonts w:eastAsia="Times New Roman" w:cs="Calibri"/>
                <w:sz w:val="18"/>
                <w:szCs w:val="18"/>
                <w:lang w:eastAsia="en-GB"/>
              </w:rPr>
            </w:pPr>
            <w:r w:rsidRPr="00B83732">
              <w:rPr>
                <w:rFonts w:eastAsia="Times New Roman" w:cs="Calibri"/>
                <w:sz w:val="18"/>
                <w:szCs w:val="18"/>
                <w:lang w:eastAsia="en-GB"/>
              </w:rPr>
              <w:t>63.15 (27.93)</w:t>
            </w:r>
          </w:p>
        </w:tc>
        <w:tc>
          <w:tcPr>
            <w:tcW w:w="1701" w:type="dxa"/>
            <w:noWrap/>
          </w:tcPr>
          <w:p w14:paraId="228CD502" w14:textId="4B987E91" w:rsidR="00B83732" w:rsidRPr="000923BB" w:rsidRDefault="00B83732" w:rsidP="00741FA1">
            <w:pPr>
              <w:spacing w:line="276" w:lineRule="auto"/>
              <w:jc w:val="right"/>
              <w:rPr>
                <w:rFonts w:eastAsia="Times New Roman" w:cs="Calibri"/>
                <w:sz w:val="18"/>
                <w:szCs w:val="18"/>
                <w:lang w:eastAsia="en-GB"/>
              </w:rPr>
            </w:pPr>
            <w:r w:rsidRPr="000923BB">
              <w:rPr>
                <w:rFonts w:eastAsia="Times New Roman" w:cs="Calibri"/>
                <w:sz w:val="18"/>
                <w:szCs w:val="18"/>
                <w:lang w:eastAsia="en-GB"/>
              </w:rPr>
              <w:t>65.03 (22.19)</w:t>
            </w:r>
          </w:p>
        </w:tc>
        <w:tc>
          <w:tcPr>
            <w:tcW w:w="2693" w:type="dxa"/>
          </w:tcPr>
          <w:p w14:paraId="0A73D650" w14:textId="37B18858" w:rsidR="00B83732" w:rsidRPr="005700B0" w:rsidRDefault="008D3965" w:rsidP="00741FA1">
            <w:pPr>
              <w:spacing w:line="276" w:lineRule="auto"/>
              <w:jc w:val="right"/>
              <w:rPr>
                <w:rFonts w:eastAsia="Times New Roman" w:cs="Calibri"/>
                <w:sz w:val="18"/>
                <w:szCs w:val="18"/>
                <w:lang w:eastAsia="en-GB"/>
              </w:rPr>
            </w:pPr>
            <w:proofErr w:type="gramStart"/>
            <w:r w:rsidRPr="005700B0">
              <w:rPr>
                <w:rFonts w:eastAsia="Times New Roman" w:cs="Calibri"/>
                <w:sz w:val="18"/>
                <w:szCs w:val="18"/>
                <w:lang w:eastAsia="en-GB"/>
              </w:rPr>
              <w:t>t(120)=</w:t>
            </w:r>
            <w:proofErr w:type="gramEnd"/>
            <w:r w:rsidRPr="005700B0">
              <w:rPr>
                <w:rFonts w:eastAsia="Times New Roman" w:cs="Calibri"/>
                <w:sz w:val="18"/>
                <w:szCs w:val="18"/>
                <w:lang w:eastAsia="en-GB"/>
              </w:rPr>
              <w:t>0.41, p=0.68</w:t>
            </w:r>
            <w:r w:rsidR="00665EF4">
              <w:rPr>
                <w:rFonts w:eastAsia="Times New Roman" w:cs="Calibri"/>
                <w:sz w:val="18"/>
                <w:szCs w:val="18"/>
                <w:lang w:eastAsia="en-GB"/>
              </w:rPr>
              <w:t>, d=0.07</w:t>
            </w:r>
          </w:p>
        </w:tc>
      </w:tr>
      <w:tr w:rsidR="005F29E7" w:rsidRPr="005700B0" w14:paraId="22FF7E54" w14:textId="64C8EB45" w:rsidTr="00732AC3">
        <w:trPr>
          <w:trHeight w:val="273"/>
        </w:trPr>
        <w:tc>
          <w:tcPr>
            <w:tcW w:w="2935" w:type="dxa"/>
            <w:noWrap/>
            <w:hideMark/>
          </w:tcPr>
          <w:p w14:paraId="4CA8D9BE" w14:textId="5713DBB7" w:rsidR="005F29E7" w:rsidRPr="00B83732" w:rsidRDefault="005F29E7" w:rsidP="005F29E7">
            <w:pPr>
              <w:spacing w:line="276" w:lineRule="auto"/>
              <w:rPr>
                <w:rFonts w:eastAsia="Times New Roman" w:cs="Calibri"/>
                <w:sz w:val="18"/>
                <w:szCs w:val="18"/>
                <w:lang w:eastAsia="en-GB"/>
              </w:rPr>
            </w:pPr>
            <w:r w:rsidRPr="00B83732">
              <w:rPr>
                <w:rFonts w:eastAsia="Times New Roman" w:cs="Calibri"/>
                <w:sz w:val="18"/>
                <w:szCs w:val="18"/>
                <w:lang w:eastAsia="en-GB"/>
              </w:rPr>
              <w:t xml:space="preserve">S.45A: Mean likelihood (SD) </w:t>
            </w:r>
          </w:p>
        </w:tc>
        <w:tc>
          <w:tcPr>
            <w:tcW w:w="2027" w:type="dxa"/>
            <w:noWrap/>
          </w:tcPr>
          <w:p w14:paraId="598ECD31" w14:textId="451D7377" w:rsidR="005F29E7" w:rsidRPr="00B83732" w:rsidRDefault="005F29E7" w:rsidP="005F29E7">
            <w:pPr>
              <w:spacing w:line="276" w:lineRule="auto"/>
              <w:jc w:val="right"/>
              <w:rPr>
                <w:rFonts w:eastAsia="Times New Roman" w:cs="Calibri"/>
                <w:sz w:val="18"/>
                <w:szCs w:val="18"/>
                <w:lang w:eastAsia="en-GB"/>
              </w:rPr>
            </w:pPr>
            <w:r w:rsidRPr="00B83732">
              <w:rPr>
                <w:rFonts w:eastAsia="Times New Roman" w:cs="Calibri"/>
                <w:sz w:val="18"/>
                <w:szCs w:val="18"/>
                <w:lang w:eastAsia="en-GB"/>
              </w:rPr>
              <w:t>69.69 (24.90)</w:t>
            </w:r>
          </w:p>
        </w:tc>
        <w:tc>
          <w:tcPr>
            <w:tcW w:w="1701" w:type="dxa"/>
            <w:noWrap/>
          </w:tcPr>
          <w:p w14:paraId="5662AFCF" w14:textId="251C9A23" w:rsidR="005F29E7" w:rsidRPr="000923BB" w:rsidRDefault="005F29E7" w:rsidP="005F29E7">
            <w:pPr>
              <w:spacing w:line="276" w:lineRule="auto"/>
              <w:jc w:val="right"/>
              <w:rPr>
                <w:rFonts w:eastAsia="Times New Roman" w:cs="Calibri"/>
                <w:sz w:val="18"/>
                <w:szCs w:val="18"/>
                <w:lang w:eastAsia="en-GB"/>
              </w:rPr>
            </w:pPr>
            <w:r w:rsidRPr="000923BB">
              <w:rPr>
                <w:rFonts w:eastAsia="Times New Roman" w:cs="Calibri"/>
                <w:sz w:val="18"/>
                <w:szCs w:val="18"/>
                <w:lang w:eastAsia="en-GB"/>
              </w:rPr>
              <w:t>77.80 (19.32)</w:t>
            </w:r>
          </w:p>
        </w:tc>
        <w:tc>
          <w:tcPr>
            <w:tcW w:w="2693" w:type="dxa"/>
          </w:tcPr>
          <w:p w14:paraId="0AF69CCC" w14:textId="3CFBB469" w:rsidR="005F29E7" w:rsidRPr="005700B0" w:rsidRDefault="005F29E7" w:rsidP="005F29E7">
            <w:pPr>
              <w:spacing w:line="276" w:lineRule="auto"/>
              <w:jc w:val="right"/>
              <w:rPr>
                <w:rFonts w:eastAsia="Times New Roman" w:cs="Calibri"/>
                <w:sz w:val="18"/>
                <w:szCs w:val="18"/>
                <w:lang w:eastAsia="en-GB"/>
              </w:rPr>
            </w:pPr>
            <w:proofErr w:type="gramStart"/>
            <w:r w:rsidRPr="005700B0">
              <w:rPr>
                <w:rFonts w:eastAsia="Times New Roman" w:cs="Calibri"/>
                <w:sz w:val="18"/>
                <w:szCs w:val="18"/>
                <w:lang w:eastAsia="en-GB"/>
              </w:rPr>
              <w:t>t(120)=</w:t>
            </w:r>
            <w:proofErr w:type="gramEnd"/>
            <w:r w:rsidRPr="005700B0">
              <w:rPr>
                <w:rFonts w:eastAsia="Times New Roman" w:cs="Calibri"/>
                <w:sz w:val="18"/>
                <w:szCs w:val="18"/>
                <w:lang w:eastAsia="en-GB"/>
              </w:rPr>
              <w:t>2.01, p=0.047*</w:t>
            </w:r>
            <w:r w:rsidR="00374E2D">
              <w:rPr>
                <w:rFonts w:eastAsia="Times New Roman" w:cs="Calibri"/>
                <w:sz w:val="18"/>
                <w:szCs w:val="18"/>
                <w:lang w:eastAsia="en-GB"/>
              </w:rPr>
              <w:t>, d=0.36</w:t>
            </w:r>
          </w:p>
        </w:tc>
      </w:tr>
      <w:tr w:rsidR="005F29E7" w:rsidRPr="005700B0" w14:paraId="0416C2F1" w14:textId="48FE7747" w:rsidTr="00732AC3">
        <w:trPr>
          <w:trHeight w:val="273"/>
        </w:trPr>
        <w:tc>
          <w:tcPr>
            <w:tcW w:w="2935" w:type="dxa"/>
            <w:noWrap/>
          </w:tcPr>
          <w:p w14:paraId="77F17E86" w14:textId="37E87E4B" w:rsidR="005F29E7" w:rsidRPr="00B83732" w:rsidRDefault="005F29E7" w:rsidP="005F29E7">
            <w:pPr>
              <w:spacing w:line="276" w:lineRule="auto"/>
              <w:rPr>
                <w:rFonts w:eastAsia="Times New Roman" w:cs="Calibri"/>
                <w:sz w:val="18"/>
                <w:szCs w:val="18"/>
                <w:lang w:eastAsia="en-GB"/>
              </w:rPr>
            </w:pPr>
            <w:r w:rsidRPr="00B83732">
              <w:rPr>
                <w:rFonts w:eastAsia="Times New Roman" w:cs="Calibri"/>
                <w:sz w:val="18"/>
                <w:szCs w:val="18"/>
                <w:lang w:eastAsia="en-GB"/>
              </w:rPr>
              <w:t>Prison: Mean confidence (SD)</w:t>
            </w:r>
          </w:p>
        </w:tc>
        <w:tc>
          <w:tcPr>
            <w:tcW w:w="2027" w:type="dxa"/>
            <w:noWrap/>
          </w:tcPr>
          <w:p w14:paraId="56C18DF3" w14:textId="0C8668C1" w:rsidR="005F29E7" w:rsidRPr="00B83732" w:rsidRDefault="005F29E7" w:rsidP="005F29E7">
            <w:pPr>
              <w:spacing w:line="276" w:lineRule="auto"/>
              <w:jc w:val="right"/>
              <w:rPr>
                <w:rFonts w:eastAsia="Times New Roman" w:cs="Calibri"/>
                <w:sz w:val="18"/>
                <w:szCs w:val="18"/>
                <w:lang w:eastAsia="en-GB"/>
              </w:rPr>
            </w:pPr>
            <w:r w:rsidRPr="00B83732">
              <w:rPr>
                <w:rFonts w:eastAsia="Times New Roman" w:cs="Calibri"/>
                <w:sz w:val="18"/>
                <w:szCs w:val="18"/>
                <w:lang w:eastAsia="en-GB"/>
              </w:rPr>
              <w:t>74.77 (23.62)</w:t>
            </w:r>
          </w:p>
        </w:tc>
        <w:tc>
          <w:tcPr>
            <w:tcW w:w="1701" w:type="dxa"/>
            <w:noWrap/>
          </w:tcPr>
          <w:p w14:paraId="5A6F8A3A" w14:textId="44B784F1" w:rsidR="005F29E7" w:rsidRPr="000923BB" w:rsidRDefault="005F29E7" w:rsidP="005F29E7">
            <w:pPr>
              <w:spacing w:line="276" w:lineRule="auto"/>
              <w:jc w:val="right"/>
              <w:rPr>
                <w:rFonts w:eastAsia="Times New Roman" w:cs="Calibri"/>
                <w:sz w:val="18"/>
                <w:szCs w:val="18"/>
                <w:lang w:eastAsia="en-GB"/>
              </w:rPr>
            </w:pPr>
            <w:r w:rsidRPr="000923BB">
              <w:rPr>
                <w:rFonts w:eastAsia="Times New Roman" w:cs="Calibri"/>
                <w:sz w:val="18"/>
                <w:szCs w:val="18"/>
                <w:lang w:eastAsia="en-GB"/>
              </w:rPr>
              <w:t>69.08 (20.07)</w:t>
            </w:r>
          </w:p>
        </w:tc>
        <w:tc>
          <w:tcPr>
            <w:tcW w:w="2693" w:type="dxa"/>
          </w:tcPr>
          <w:p w14:paraId="6532C5AB" w14:textId="53A46CE8" w:rsidR="005F29E7" w:rsidRPr="005700B0" w:rsidRDefault="005F29E7" w:rsidP="005F29E7">
            <w:pPr>
              <w:spacing w:line="276" w:lineRule="auto"/>
              <w:jc w:val="right"/>
              <w:rPr>
                <w:rFonts w:eastAsia="Times New Roman" w:cs="Calibri"/>
                <w:sz w:val="18"/>
                <w:szCs w:val="18"/>
                <w:lang w:eastAsia="en-GB"/>
              </w:rPr>
            </w:pPr>
            <w:proofErr w:type="gramStart"/>
            <w:r w:rsidRPr="005700B0">
              <w:rPr>
                <w:rFonts w:eastAsia="Times New Roman" w:cs="Calibri"/>
                <w:sz w:val="18"/>
                <w:szCs w:val="18"/>
                <w:lang w:eastAsia="en-GB"/>
              </w:rPr>
              <w:t>t(120)=</w:t>
            </w:r>
            <w:proofErr w:type="gramEnd"/>
            <w:r w:rsidRPr="005700B0">
              <w:rPr>
                <w:rFonts w:eastAsia="Times New Roman" w:cs="Calibri"/>
                <w:sz w:val="18"/>
                <w:szCs w:val="18"/>
                <w:lang w:eastAsia="en-GB"/>
              </w:rPr>
              <w:t>1.43, p=0.15</w:t>
            </w:r>
            <w:r w:rsidR="00374E2D">
              <w:rPr>
                <w:rFonts w:eastAsia="Times New Roman" w:cs="Calibri"/>
                <w:sz w:val="18"/>
                <w:szCs w:val="18"/>
                <w:lang w:eastAsia="en-GB"/>
              </w:rPr>
              <w:t>, d=0.26</w:t>
            </w:r>
          </w:p>
        </w:tc>
      </w:tr>
      <w:tr w:rsidR="005F29E7" w:rsidRPr="005700B0" w14:paraId="1385F148" w14:textId="73CDEA0B" w:rsidTr="00732AC3">
        <w:trPr>
          <w:trHeight w:val="273"/>
        </w:trPr>
        <w:tc>
          <w:tcPr>
            <w:tcW w:w="2935" w:type="dxa"/>
            <w:noWrap/>
          </w:tcPr>
          <w:p w14:paraId="106D44F8" w14:textId="78EA873A" w:rsidR="005F29E7" w:rsidRPr="00B83732" w:rsidRDefault="005F29E7" w:rsidP="005F29E7">
            <w:pPr>
              <w:spacing w:line="276" w:lineRule="auto"/>
              <w:rPr>
                <w:rFonts w:eastAsia="Times New Roman" w:cs="Calibri"/>
                <w:sz w:val="18"/>
                <w:szCs w:val="18"/>
                <w:lang w:eastAsia="en-GB"/>
              </w:rPr>
            </w:pPr>
            <w:r w:rsidRPr="00B83732">
              <w:rPr>
                <w:rFonts w:eastAsia="Times New Roman" w:cs="Calibri"/>
                <w:sz w:val="18"/>
                <w:szCs w:val="18"/>
                <w:lang w:eastAsia="en-GB"/>
              </w:rPr>
              <w:t>S.37/41: Mean confidence (SD)</w:t>
            </w:r>
          </w:p>
        </w:tc>
        <w:tc>
          <w:tcPr>
            <w:tcW w:w="2027" w:type="dxa"/>
            <w:noWrap/>
          </w:tcPr>
          <w:p w14:paraId="3296027C" w14:textId="2823468F" w:rsidR="005F29E7" w:rsidRPr="00B83732" w:rsidRDefault="005F29E7" w:rsidP="005F29E7">
            <w:pPr>
              <w:spacing w:line="276" w:lineRule="auto"/>
              <w:jc w:val="right"/>
              <w:rPr>
                <w:rFonts w:eastAsia="Times New Roman" w:cs="Calibri"/>
                <w:sz w:val="18"/>
                <w:szCs w:val="18"/>
                <w:lang w:eastAsia="en-GB"/>
              </w:rPr>
            </w:pPr>
            <w:r>
              <w:rPr>
                <w:rFonts w:eastAsia="Times New Roman" w:cs="Calibri"/>
                <w:sz w:val="18"/>
                <w:szCs w:val="18"/>
                <w:lang w:eastAsia="en-GB"/>
              </w:rPr>
              <w:t>73.40 (18.77)</w:t>
            </w:r>
          </w:p>
        </w:tc>
        <w:tc>
          <w:tcPr>
            <w:tcW w:w="1701" w:type="dxa"/>
            <w:noWrap/>
          </w:tcPr>
          <w:p w14:paraId="3FEA1DCC" w14:textId="36B9CF44" w:rsidR="005F29E7" w:rsidRPr="00B83732" w:rsidRDefault="005F29E7" w:rsidP="005F29E7">
            <w:pPr>
              <w:spacing w:line="276" w:lineRule="auto"/>
              <w:jc w:val="right"/>
              <w:rPr>
                <w:rFonts w:eastAsia="Times New Roman" w:cs="Calibri"/>
                <w:sz w:val="18"/>
                <w:szCs w:val="18"/>
                <w:lang w:eastAsia="en-GB"/>
              </w:rPr>
            </w:pPr>
            <w:r>
              <w:rPr>
                <w:rFonts w:eastAsia="Times New Roman" w:cs="Calibri"/>
                <w:sz w:val="18"/>
                <w:szCs w:val="18"/>
                <w:lang w:eastAsia="en-GB"/>
              </w:rPr>
              <w:t>63.80 (21.09)</w:t>
            </w:r>
          </w:p>
        </w:tc>
        <w:tc>
          <w:tcPr>
            <w:tcW w:w="2693" w:type="dxa"/>
          </w:tcPr>
          <w:p w14:paraId="3D989B29" w14:textId="3AC4A0D0" w:rsidR="005F29E7" w:rsidRPr="005700B0" w:rsidRDefault="005F29E7" w:rsidP="005F29E7">
            <w:pPr>
              <w:spacing w:line="276" w:lineRule="auto"/>
              <w:jc w:val="right"/>
              <w:rPr>
                <w:rFonts w:eastAsia="Times New Roman" w:cs="Calibri"/>
                <w:sz w:val="18"/>
                <w:szCs w:val="18"/>
                <w:lang w:eastAsia="en-GB"/>
              </w:rPr>
            </w:pPr>
            <w:proofErr w:type="gramStart"/>
            <w:r w:rsidRPr="005700B0">
              <w:rPr>
                <w:rFonts w:eastAsia="Times New Roman" w:cs="Calibri"/>
                <w:sz w:val="18"/>
                <w:szCs w:val="18"/>
                <w:lang w:eastAsia="en-GB"/>
              </w:rPr>
              <w:t>t(120)=</w:t>
            </w:r>
            <w:proofErr w:type="gramEnd"/>
            <w:r w:rsidRPr="005700B0">
              <w:rPr>
                <w:rFonts w:eastAsia="Times New Roman" w:cs="Calibri"/>
                <w:sz w:val="18"/>
                <w:szCs w:val="18"/>
                <w:lang w:eastAsia="en-GB"/>
              </w:rPr>
              <w:t>2.66, p&lt;0.01**</w:t>
            </w:r>
            <w:proofErr w:type="gramStart"/>
            <w:r w:rsidR="00374E2D">
              <w:rPr>
                <w:rFonts w:eastAsia="Times New Roman" w:cs="Calibri"/>
                <w:sz w:val="18"/>
                <w:szCs w:val="18"/>
                <w:lang w:eastAsia="en-GB"/>
              </w:rPr>
              <w:t xml:space="preserve">, </w:t>
            </w:r>
            <w:r w:rsidR="006D652D">
              <w:rPr>
                <w:rFonts w:eastAsia="Times New Roman" w:cs="Calibri"/>
                <w:sz w:val="18"/>
                <w:szCs w:val="18"/>
                <w:lang w:eastAsia="en-GB"/>
              </w:rPr>
              <w:t xml:space="preserve"> d</w:t>
            </w:r>
            <w:proofErr w:type="gramEnd"/>
            <w:r w:rsidR="006D652D">
              <w:rPr>
                <w:rFonts w:eastAsia="Times New Roman" w:cs="Calibri"/>
                <w:sz w:val="18"/>
                <w:szCs w:val="18"/>
                <w:lang w:eastAsia="en-GB"/>
              </w:rPr>
              <w:t>=0.48</w:t>
            </w:r>
          </w:p>
        </w:tc>
      </w:tr>
      <w:tr w:rsidR="005F29E7" w:rsidRPr="00C15D97" w14:paraId="41983BD8" w14:textId="04014336" w:rsidTr="00732AC3">
        <w:trPr>
          <w:trHeight w:val="273"/>
        </w:trPr>
        <w:tc>
          <w:tcPr>
            <w:tcW w:w="2935" w:type="dxa"/>
            <w:noWrap/>
          </w:tcPr>
          <w:p w14:paraId="0506688D" w14:textId="68A641CB" w:rsidR="005F29E7" w:rsidRPr="00B83732" w:rsidRDefault="005F29E7" w:rsidP="005F29E7">
            <w:pPr>
              <w:spacing w:line="276" w:lineRule="auto"/>
              <w:rPr>
                <w:rFonts w:eastAsia="Times New Roman" w:cs="Calibri"/>
                <w:sz w:val="18"/>
                <w:szCs w:val="18"/>
                <w:lang w:eastAsia="en-GB"/>
              </w:rPr>
            </w:pPr>
            <w:r w:rsidRPr="00B83732">
              <w:rPr>
                <w:rFonts w:eastAsia="Times New Roman" w:cs="Calibri"/>
                <w:sz w:val="18"/>
                <w:szCs w:val="18"/>
                <w:lang w:eastAsia="en-GB"/>
              </w:rPr>
              <w:t>S</w:t>
            </w:r>
            <w:r w:rsidR="006D652D">
              <w:rPr>
                <w:rFonts w:eastAsia="Times New Roman" w:cs="Calibri"/>
                <w:sz w:val="18"/>
                <w:szCs w:val="18"/>
                <w:lang w:eastAsia="en-GB"/>
              </w:rPr>
              <w:t>.</w:t>
            </w:r>
            <w:r w:rsidRPr="00B83732">
              <w:rPr>
                <w:rFonts w:eastAsia="Times New Roman" w:cs="Calibri"/>
                <w:sz w:val="18"/>
                <w:szCs w:val="18"/>
                <w:lang w:eastAsia="en-GB"/>
              </w:rPr>
              <w:t xml:space="preserve">45A: Mean confidence (SD) </w:t>
            </w:r>
          </w:p>
        </w:tc>
        <w:tc>
          <w:tcPr>
            <w:tcW w:w="2027" w:type="dxa"/>
            <w:noWrap/>
          </w:tcPr>
          <w:p w14:paraId="61E5A606" w14:textId="4CCC9769" w:rsidR="005F29E7" w:rsidRPr="00B83732" w:rsidRDefault="005F29E7" w:rsidP="005F29E7">
            <w:pPr>
              <w:spacing w:line="276" w:lineRule="auto"/>
              <w:jc w:val="right"/>
              <w:rPr>
                <w:rFonts w:eastAsia="Times New Roman" w:cs="Calibri"/>
                <w:sz w:val="18"/>
                <w:szCs w:val="18"/>
                <w:lang w:eastAsia="en-GB"/>
              </w:rPr>
            </w:pPr>
            <w:r>
              <w:rPr>
                <w:rFonts w:eastAsia="Times New Roman" w:cs="Calibri"/>
                <w:sz w:val="18"/>
                <w:szCs w:val="18"/>
                <w:lang w:eastAsia="en-GB"/>
              </w:rPr>
              <w:t>76.65 (20.84)</w:t>
            </w:r>
          </w:p>
        </w:tc>
        <w:tc>
          <w:tcPr>
            <w:tcW w:w="1701" w:type="dxa"/>
            <w:noWrap/>
          </w:tcPr>
          <w:p w14:paraId="421F3099" w14:textId="190B7301" w:rsidR="005F29E7" w:rsidRPr="00B83732" w:rsidRDefault="005F29E7" w:rsidP="005F29E7">
            <w:pPr>
              <w:spacing w:line="276" w:lineRule="auto"/>
              <w:jc w:val="right"/>
              <w:rPr>
                <w:rFonts w:eastAsia="Times New Roman" w:cs="Calibri"/>
                <w:sz w:val="18"/>
                <w:szCs w:val="18"/>
                <w:lang w:eastAsia="en-GB"/>
              </w:rPr>
            </w:pPr>
            <w:r>
              <w:rPr>
                <w:rFonts w:eastAsia="Times New Roman" w:cs="Calibri"/>
                <w:sz w:val="18"/>
                <w:szCs w:val="18"/>
                <w:lang w:eastAsia="en-GB"/>
              </w:rPr>
              <w:t>72.78 (18.52)</w:t>
            </w:r>
          </w:p>
        </w:tc>
        <w:tc>
          <w:tcPr>
            <w:tcW w:w="2693" w:type="dxa"/>
          </w:tcPr>
          <w:p w14:paraId="3F7C1368" w14:textId="6D9008ED" w:rsidR="005F29E7" w:rsidRPr="00B83732" w:rsidRDefault="005F29E7" w:rsidP="005F29E7">
            <w:pPr>
              <w:spacing w:line="276" w:lineRule="auto"/>
              <w:jc w:val="right"/>
              <w:rPr>
                <w:rFonts w:eastAsia="Times New Roman" w:cs="Calibri"/>
                <w:sz w:val="18"/>
                <w:szCs w:val="18"/>
                <w:lang w:eastAsia="en-GB"/>
              </w:rPr>
            </w:pPr>
            <w:proofErr w:type="gramStart"/>
            <w:r>
              <w:rPr>
                <w:rFonts w:eastAsia="Times New Roman" w:cs="Calibri"/>
                <w:sz w:val="18"/>
                <w:szCs w:val="18"/>
                <w:lang w:eastAsia="en-GB"/>
              </w:rPr>
              <w:t>t(120)=</w:t>
            </w:r>
            <w:proofErr w:type="gramEnd"/>
            <w:r>
              <w:rPr>
                <w:rFonts w:eastAsia="Times New Roman" w:cs="Calibri"/>
                <w:sz w:val="18"/>
                <w:szCs w:val="18"/>
                <w:lang w:eastAsia="en-GB"/>
              </w:rPr>
              <w:t>1.08, p=0.</w:t>
            </w:r>
            <w:proofErr w:type="gramStart"/>
            <w:r>
              <w:rPr>
                <w:rFonts w:eastAsia="Times New Roman" w:cs="Calibri"/>
                <w:sz w:val="18"/>
                <w:szCs w:val="18"/>
                <w:lang w:eastAsia="en-GB"/>
              </w:rPr>
              <w:t>28</w:t>
            </w:r>
            <w:r w:rsidR="006D652D">
              <w:rPr>
                <w:rFonts w:eastAsia="Times New Roman" w:cs="Calibri"/>
                <w:sz w:val="18"/>
                <w:szCs w:val="18"/>
                <w:lang w:eastAsia="en-GB"/>
              </w:rPr>
              <w:t xml:space="preserve">, </w:t>
            </w:r>
            <w:r w:rsidR="006368A1">
              <w:rPr>
                <w:rFonts w:eastAsia="Times New Roman" w:cs="Calibri"/>
                <w:sz w:val="18"/>
                <w:szCs w:val="18"/>
                <w:lang w:eastAsia="en-GB"/>
              </w:rPr>
              <w:t xml:space="preserve"> d</w:t>
            </w:r>
            <w:proofErr w:type="gramEnd"/>
            <w:r w:rsidR="006368A1">
              <w:rPr>
                <w:rFonts w:eastAsia="Times New Roman" w:cs="Calibri"/>
                <w:sz w:val="18"/>
                <w:szCs w:val="18"/>
                <w:lang w:eastAsia="en-GB"/>
              </w:rPr>
              <w:t>=0.20</w:t>
            </w:r>
          </w:p>
        </w:tc>
      </w:tr>
      <w:tr w:rsidR="00DE02C2" w:rsidRPr="00C15D97" w14:paraId="556CBF2C" w14:textId="77777777" w:rsidTr="00732AC3">
        <w:trPr>
          <w:trHeight w:val="273"/>
        </w:trPr>
        <w:tc>
          <w:tcPr>
            <w:tcW w:w="9356" w:type="dxa"/>
            <w:gridSpan w:val="4"/>
            <w:shd w:val="clear" w:color="auto" w:fill="000000" w:themeFill="text1"/>
            <w:noWrap/>
          </w:tcPr>
          <w:p w14:paraId="6E2325C4" w14:textId="65F17D59" w:rsidR="00DE02C2" w:rsidRPr="000D6A0B" w:rsidRDefault="00624A6D" w:rsidP="00624A6D">
            <w:pPr>
              <w:tabs>
                <w:tab w:val="left" w:pos="460"/>
              </w:tabs>
              <w:spacing w:line="276" w:lineRule="auto"/>
              <w:rPr>
                <w:rFonts w:eastAsia="Times New Roman" w:cs="Calibri"/>
                <w:b/>
                <w:bCs/>
                <w:color w:val="FFFFFF" w:themeColor="background1"/>
                <w:sz w:val="18"/>
                <w:szCs w:val="18"/>
                <w:lang w:eastAsia="en-GB"/>
              </w:rPr>
            </w:pPr>
            <w:r w:rsidRPr="000D6A0B">
              <w:rPr>
                <w:rFonts w:eastAsia="Times New Roman" w:cs="Calibri"/>
                <w:b/>
                <w:bCs/>
                <w:color w:val="FFFFFF" w:themeColor="background1"/>
                <w:sz w:val="18"/>
                <w:szCs w:val="18"/>
                <w:lang w:eastAsia="en-GB"/>
              </w:rPr>
              <w:t xml:space="preserve">Combined Sample: Baldwin et al (PD and </w:t>
            </w:r>
            <w:proofErr w:type="spellStart"/>
            <w:r w:rsidRPr="000D6A0B">
              <w:rPr>
                <w:rFonts w:eastAsia="Times New Roman" w:cs="Calibri"/>
                <w:b/>
                <w:bCs/>
                <w:color w:val="FFFFFF" w:themeColor="background1"/>
                <w:sz w:val="18"/>
                <w:szCs w:val="18"/>
                <w:lang w:eastAsia="en-GB"/>
              </w:rPr>
              <w:t>Sz</w:t>
            </w:r>
            <w:proofErr w:type="spellEnd"/>
            <w:r w:rsidRPr="000D6A0B">
              <w:rPr>
                <w:rFonts w:eastAsia="Times New Roman" w:cs="Calibri"/>
                <w:b/>
                <w:bCs/>
                <w:color w:val="FFFFFF" w:themeColor="background1"/>
                <w:sz w:val="18"/>
                <w:szCs w:val="18"/>
                <w:lang w:eastAsia="en-GB"/>
              </w:rPr>
              <w:t xml:space="preserve"> conditions only) and </w:t>
            </w:r>
            <w:r w:rsidR="000D6A0B" w:rsidRPr="000D6A0B">
              <w:rPr>
                <w:rFonts w:eastAsia="Times New Roman" w:cs="Calibri"/>
                <w:b/>
                <w:bCs/>
                <w:color w:val="FFFFFF" w:themeColor="background1"/>
                <w:sz w:val="18"/>
                <w:szCs w:val="18"/>
                <w:lang w:eastAsia="en-GB"/>
              </w:rPr>
              <w:t>current sample</w:t>
            </w:r>
            <w:r w:rsidR="00BD398D">
              <w:rPr>
                <w:rFonts w:eastAsia="Times New Roman" w:cs="Calibri"/>
                <w:b/>
                <w:bCs/>
                <w:color w:val="FFFFFF" w:themeColor="background1"/>
                <w:sz w:val="18"/>
                <w:szCs w:val="18"/>
                <w:lang w:eastAsia="en-GB"/>
              </w:rPr>
              <w:t xml:space="preserve"> (Combined sample n=</w:t>
            </w:r>
            <w:r w:rsidR="00E02BC9">
              <w:rPr>
                <w:rFonts w:eastAsia="Times New Roman" w:cs="Calibri"/>
                <w:b/>
                <w:bCs/>
                <w:color w:val="FFFFFF" w:themeColor="background1"/>
                <w:sz w:val="18"/>
                <w:szCs w:val="18"/>
                <w:lang w:eastAsia="en-GB"/>
              </w:rPr>
              <w:t>244</w:t>
            </w:r>
          </w:p>
        </w:tc>
      </w:tr>
      <w:tr w:rsidR="006B7D61" w:rsidRPr="00C15D97" w14:paraId="4B5907E9" w14:textId="77777777" w:rsidTr="00732AC3">
        <w:trPr>
          <w:trHeight w:val="273"/>
        </w:trPr>
        <w:tc>
          <w:tcPr>
            <w:tcW w:w="2935" w:type="dxa"/>
            <w:noWrap/>
          </w:tcPr>
          <w:p w14:paraId="6596002C" w14:textId="56AAC813" w:rsidR="006B7D61" w:rsidRPr="00B83732" w:rsidRDefault="006B7D61" w:rsidP="000D6A0B">
            <w:pPr>
              <w:spacing w:line="276" w:lineRule="auto"/>
              <w:rPr>
                <w:rFonts w:eastAsia="Times New Roman" w:cs="Calibri"/>
                <w:sz w:val="18"/>
                <w:szCs w:val="18"/>
                <w:lang w:eastAsia="en-GB"/>
              </w:rPr>
            </w:pPr>
            <w:r w:rsidRPr="00B83732">
              <w:rPr>
                <w:rFonts w:eastAsia="Times New Roman" w:cs="Calibri"/>
                <w:sz w:val="18"/>
                <w:szCs w:val="18"/>
                <w:lang w:eastAsia="en-GB"/>
              </w:rPr>
              <w:t>Prison: Overall Sentence n (%)</w:t>
            </w:r>
          </w:p>
        </w:tc>
        <w:tc>
          <w:tcPr>
            <w:tcW w:w="2027" w:type="dxa"/>
            <w:noWrap/>
          </w:tcPr>
          <w:p w14:paraId="469181C8" w14:textId="70EE880E" w:rsidR="006B7D61" w:rsidRDefault="006B7D61" w:rsidP="000D6A0B">
            <w:pPr>
              <w:spacing w:line="276" w:lineRule="auto"/>
              <w:jc w:val="right"/>
              <w:rPr>
                <w:rFonts w:eastAsia="Times New Roman" w:cs="Calibri"/>
                <w:sz w:val="18"/>
                <w:szCs w:val="18"/>
                <w:lang w:eastAsia="en-GB"/>
              </w:rPr>
            </w:pPr>
            <w:r>
              <w:rPr>
                <w:rFonts w:eastAsia="Times New Roman" w:cs="Calibri"/>
                <w:sz w:val="18"/>
                <w:szCs w:val="18"/>
                <w:lang w:eastAsia="en-GB"/>
              </w:rPr>
              <w:t>15 (12.5%)</w:t>
            </w:r>
          </w:p>
        </w:tc>
        <w:tc>
          <w:tcPr>
            <w:tcW w:w="1701" w:type="dxa"/>
            <w:noWrap/>
          </w:tcPr>
          <w:p w14:paraId="572CC1C7" w14:textId="7F788620" w:rsidR="006B7D61" w:rsidRDefault="006B7D61" w:rsidP="000D6A0B">
            <w:pPr>
              <w:spacing w:line="276" w:lineRule="auto"/>
              <w:jc w:val="right"/>
              <w:rPr>
                <w:rFonts w:eastAsia="Times New Roman" w:cs="Calibri"/>
                <w:sz w:val="18"/>
                <w:szCs w:val="18"/>
                <w:lang w:eastAsia="en-GB"/>
              </w:rPr>
            </w:pPr>
            <w:r>
              <w:rPr>
                <w:rFonts w:eastAsia="Times New Roman" w:cs="Calibri"/>
                <w:sz w:val="18"/>
                <w:szCs w:val="18"/>
                <w:lang w:eastAsia="en-GB"/>
              </w:rPr>
              <w:t>5 (4.0%)</w:t>
            </w:r>
          </w:p>
        </w:tc>
        <w:tc>
          <w:tcPr>
            <w:tcW w:w="2693" w:type="dxa"/>
            <w:vMerge w:val="restart"/>
          </w:tcPr>
          <w:p w14:paraId="6B12CD40" w14:textId="2F84C26A" w:rsidR="006B7D61" w:rsidRDefault="006B7D61" w:rsidP="000D6A0B">
            <w:pPr>
              <w:spacing w:line="276" w:lineRule="auto"/>
              <w:jc w:val="right"/>
              <w:rPr>
                <w:rFonts w:eastAsia="Times New Roman" w:cs="Calibri"/>
                <w:sz w:val="18"/>
                <w:szCs w:val="18"/>
                <w:lang w:eastAsia="en-GB"/>
              </w:rPr>
            </w:pPr>
            <w:proofErr w:type="gramStart"/>
            <w:r w:rsidRPr="000923BB">
              <w:rPr>
                <w:rFonts w:ascii="Arial" w:hAnsi="Arial" w:cs="Arial"/>
                <w:color w:val="202122"/>
                <w:sz w:val="18"/>
                <w:szCs w:val="18"/>
                <w:shd w:val="clear" w:color="auto" w:fill="FFFFFF"/>
              </w:rPr>
              <w:t>χ</w:t>
            </w:r>
            <w:r w:rsidRPr="000923BB">
              <w:rPr>
                <w:sz w:val="18"/>
                <w:szCs w:val="18"/>
              </w:rPr>
              <w:t>(</w:t>
            </w:r>
            <w:proofErr w:type="gramEnd"/>
            <w:r w:rsidRPr="000923BB">
              <w:rPr>
                <w:sz w:val="18"/>
                <w:szCs w:val="18"/>
              </w:rPr>
              <w:t xml:space="preserve">2, </w:t>
            </w:r>
            <w:r w:rsidRPr="000923BB">
              <w:rPr>
                <w:i/>
                <w:iCs/>
                <w:sz w:val="18"/>
                <w:szCs w:val="18"/>
              </w:rPr>
              <w:t>N=</w:t>
            </w:r>
            <w:proofErr w:type="gramStart"/>
            <w:r>
              <w:rPr>
                <w:i/>
                <w:iCs/>
                <w:sz w:val="18"/>
                <w:szCs w:val="18"/>
              </w:rPr>
              <w:t>244</w:t>
            </w:r>
            <w:r w:rsidRPr="000923BB">
              <w:rPr>
                <w:sz w:val="18"/>
                <w:szCs w:val="18"/>
              </w:rPr>
              <w:t>)=</w:t>
            </w:r>
            <w:proofErr w:type="gramEnd"/>
            <w:r>
              <w:rPr>
                <w:sz w:val="18"/>
                <w:szCs w:val="18"/>
              </w:rPr>
              <w:t>8.97</w:t>
            </w:r>
            <w:r w:rsidRPr="000923BB">
              <w:rPr>
                <w:sz w:val="18"/>
                <w:szCs w:val="18"/>
              </w:rPr>
              <w:t xml:space="preserve">, </w:t>
            </w:r>
            <w:r w:rsidRPr="000923BB">
              <w:rPr>
                <w:i/>
                <w:iCs/>
                <w:sz w:val="18"/>
                <w:szCs w:val="18"/>
              </w:rPr>
              <w:t>p</w:t>
            </w:r>
            <w:r w:rsidRPr="000923BB">
              <w:rPr>
                <w:sz w:val="18"/>
                <w:szCs w:val="18"/>
              </w:rPr>
              <w:t>=0.</w:t>
            </w:r>
            <w:r>
              <w:rPr>
                <w:sz w:val="18"/>
                <w:szCs w:val="18"/>
              </w:rPr>
              <w:t>011</w:t>
            </w:r>
            <w:r w:rsidR="00D90206">
              <w:rPr>
                <w:sz w:val="18"/>
                <w:szCs w:val="18"/>
              </w:rPr>
              <w:t>, V=0.192</w:t>
            </w:r>
          </w:p>
        </w:tc>
      </w:tr>
      <w:tr w:rsidR="006B7D61" w:rsidRPr="00C15D97" w14:paraId="31CEFA0F" w14:textId="77777777" w:rsidTr="00732AC3">
        <w:trPr>
          <w:trHeight w:val="273"/>
        </w:trPr>
        <w:tc>
          <w:tcPr>
            <w:tcW w:w="2935" w:type="dxa"/>
            <w:noWrap/>
          </w:tcPr>
          <w:p w14:paraId="65BDCAC1" w14:textId="70CA6980" w:rsidR="006B7D61" w:rsidRPr="00B83732" w:rsidRDefault="006B7D61" w:rsidP="000D6A0B">
            <w:pPr>
              <w:spacing w:line="276" w:lineRule="auto"/>
              <w:rPr>
                <w:rFonts w:eastAsia="Times New Roman" w:cs="Calibri"/>
                <w:sz w:val="18"/>
                <w:szCs w:val="18"/>
                <w:lang w:eastAsia="en-GB"/>
              </w:rPr>
            </w:pPr>
            <w:r w:rsidRPr="00B83732">
              <w:rPr>
                <w:rFonts w:eastAsia="Times New Roman" w:cs="Calibri"/>
                <w:sz w:val="18"/>
                <w:szCs w:val="18"/>
                <w:lang w:eastAsia="en-GB"/>
              </w:rPr>
              <w:t>S.37/41 Overall Sentence n (%)</w:t>
            </w:r>
          </w:p>
        </w:tc>
        <w:tc>
          <w:tcPr>
            <w:tcW w:w="2027" w:type="dxa"/>
            <w:noWrap/>
          </w:tcPr>
          <w:p w14:paraId="3D182A6D" w14:textId="79ABAB5F" w:rsidR="006B7D61" w:rsidRDefault="006B7D61" w:rsidP="000D6A0B">
            <w:pPr>
              <w:spacing w:line="276" w:lineRule="auto"/>
              <w:jc w:val="right"/>
              <w:rPr>
                <w:rFonts w:eastAsia="Times New Roman" w:cs="Calibri"/>
                <w:sz w:val="18"/>
                <w:szCs w:val="18"/>
                <w:lang w:eastAsia="en-GB"/>
              </w:rPr>
            </w:pPr>
            <w:r>
              <w:rPr>
                <w:rFonts w:eastAsia="Times New Roman" w:cs="Calibri"/>
                <w:sz w:val="18"/>
                <w:szCs w:val="18"/>
                <w:lang w:eastAsia="en-GB"/>
              </w:rPr>
              <w:t>31 (25.8%)</w:t>
            </w:r>
          </w:p>
        </w:tc>
        <w:tc>
          <w:tcPr>
            <w:tcW w:w="1701" w:type="dxa"/>
            <w:noWrap/>
          </w:tcPr>
          <w:p w14:paraId="6320690B" w14:textId="64D55FCB" w:rsidR="006B7D61" w:rsidRDefault="006B7D61" w:rsidP="000D6A0B">
            <w:pPr>
              <w:spacing w:line="276" w:lineRule="auto"/>
              <w:jc w:val="right"/>
              <w:rPr>
                <w:rFonts w:eastAsia="Times New Roman" w:cs="Calibri"/>
                <w:sz w:val="18"/>
                <w:szCs w:val="18"/>
                <w:lang w:eastAsia="en-GB"/>
              </w:rPr>
            </w:pPr>
            <w:r>
              <w:rPr>
                <w:rFonts w:eastAsia="Times New Roman" w:cs="Calibri"/>
                <w:sz w:val="18"/>
                <w:szCs w:val="18"/>
                <w:lang w:eastAsia="en-GB"/>
              </w:rPr>
              <w:t>23 (18.5%)</w:t>
            </w:r>
          </w:p>
        </w:tc>
        <w:tc>
          <w:tcPr>
            <w:tcW w:w="2693" w:type="dxa"/>
            <w:vMerge/>
          </w:tcPr>
          <w:p w14:paraId="6D6AB5D7" w14:textId="77777777" w:rsidR="006B7D61" w:rsidRDefault="006B7D61" w:rsidP="000D6A0B">
            <w:pPr>
              <w:spacing w:line="276" w:lineRule="auto"/>
              <w:jc w:val="right"/>
              <w:rPr>
                <w:rFonts w:eastAsia="Times New Roman" w:cs="Calibri"/>
                <w:sz w:val="18"/>
                <w:szCs w:val="18"/>
                <w:lang w:eastAsia="en-GB"/>
              </w:rPr>
            </w:pPr>
          </w:p>
        </w:tc>
      </w:tr>
      <w:tr w:rsidR="006B7D61" w:rsidRPr="00C15D97" w14:paraId="2BCCDACE" w14:textId="77777777" w:rsidTr="00732AC3">
        <w:trPr>
          <w:trHeight w:val="273"/>
        </w:trPr>
        <w:tc>
          <w:tcPr>
            <w:tcW w:w="2935" w:type="dxa"/>
            <w:noWrap/>
          </w:tcPr>
          <w:p w14:paraId="56603B93" w14:textId="203E4338" w:rsidR="006B7D61" w:rsidRPr="00B83732" w:rsidRDefault="006B7D61" w:rsidP="000D6A0B">
            <w:pPr>
              <w:spacing w:line="276" w:lineRule="auto"/>
              <w:rPr>
                <w:rFonts w:eastAsia="Times New Roman" w:cs="Calibri"/>
                <w:sz w:val="18"/>
                <w:szCs w:val="18"/>
                <w:lang w:eastAsia="en-GB"/>
              </w:rPr>
            </w:pPr>
            <w:r w:rsidRPr="00B83732">
              <w:rPr>
                <w:rFonts w:eastAsia="Times New Roman" w:cs="Calibri"/>
                <w:sz w:val="18"/>
                <w:szCs w:val="18"/>
                <w:lang w:eastAsia="en-GB"/>
              </w:rPr>
              <w:t>S.45A: Overall Sentence n (%)</w:t>
            </w:r>
          </w:p>
        </w:tc>
        <w:tc>
          <w:tcPr>
            <w:tcW w:w="2027" w:type="dxa"/>
            <w:noWrap/>
          </w:tcPr>
          <w:p w14:paraId="44DA5569" w14:textId="3D90A327" w:rsidR="006B7D61" w:rsidRDefault="006B7D61" w:rsidP="000D6A0B">
            <w:pPr>
              <w:spacing w:line="276" w:lineRule="auto"/>
              <w:jc w:val="right"/>
              <w:rPr>
                <w:rFonts w:eastAsia="Times New Roman" w:cs="Calibri"/>
                <w:sz w:val="18"/>
                <w:szCs w:val="18"/>
                <w:lang w:eastAsia="en-GB"/>
              </w:rPr>
            </w:pPr>
            <w:r>
              <w:rPr>
                <w:rFonts w:eastAsia="Times New Roman" w:cs="Calibri"/>
                <w:sz w:val="18"/>
                <w:szCs w:val="18"/>
                <w:lang w:eastAsia="en-GB"/>
              </w:rPr>
              <w:t>74 (61.7%)</w:t>
            </w:r>
          </w:p>
        </w:tc>
        <w:tc>
          <w:tcPr>
            <w:tcW w:w="1701" w:type="dxa"/>
            <w:noWrap/>
          </w:tcPr>
          <w:p w14:paraId="070B8347" w14:textId="2E67F904" w:rsidR="006B7D61" w:rsidRDefault="006B7D61" w:rsidP="000D6A0B">
            <w:pPr>
              <w:spacing w:line="276" w:lineRule="auto"/>
              <w:jc w:val="right"/>
              <w:rPr>
                <w:rFonts w:eastAsia="Times New Roman" w:cs="Calibri"/>
                <w:sz w:val="18"/>
                <w:szCs w:val="18"/>
                <w:lang w:eastAsia="en-GB"/>
              </w:rPr>
            </w:pPr>
            <w:r>
              <w:rPr>
                <w:rFonts w:eastAsia="Times New Roman" w:cs="Calibri"/>
                <w:sz w:val="18"/>
                <w:szCs w:val="18"/>
                <w:lang w:eastAsia="en-GB"/>
              </w:rPr>
              <w:t>96 (77.4%)</w:t>
            </w:r>
          </w:p>
        </w:tc>
        <w:tc>
          <w:tcPr>
            <w:tcW w:w="2693" w:type="dxa"/>
            <w:vMerge/>
          </w:tcPr>
          <w:p w14:paraId="5FB7DE02" w14:textId="77777777" w:rsidR="006B7D61" w:rsidRDefault="006B7D61" w:rsidP="000D6A0B">
            <w:pPr>
              <w:spacing w:line="276" w:lineRule="auto"/>
              <w:jc w:val="right"/>
              <w:rPr>
                <w:rFonts w:eastAsia="Times New Roman" w:cs="Calibri"/>
                <w:sz w:val="18"/>
                <w:szCs w:val="18"/>
                <w:lang w:eastAsia="en-GB"/>
              </w:rPr>
            </w:pPr>
          </w:p>
        </w:tc>
      </w:tr>
    </w:tbl>
    <w:p w14:paraId="3E9E2618" w14:textId="77777777" w:rsidR="00E63445" w:rsidRDefault="00E63445" w:rsidP="00E63445">
      <w:pPr>
        <w:spacing w:line="360" w:lineRule="auto"/>
      </w:pPr>
    </w:p>
    <w:p w14:paraId="1153ECA8" w14:textId="033F494B" w:rsidR="009D33A9" w:rsidRDefault="002B1AB5" w:rsidP="00A57ED8">
      <w:pPr>
        <w:spacing w:line="276" w:lineRule="auto"/>
      </w:pPr>
      <w:r>
        <w:t>For the present sample, t</w:t>
      </w:r>
      <w:r w:rsidR="009D33A9">
        <w:t>he results indicated that the diagnostic condition had, overall, a relatively limited impact on final decision-making, with no overall differences in the final sentences given</w:t>
      </w:r>
      <w:r w:rsidR="007F66FD">
        <w:t xml:space="preserve"> between conditions</w:t>
      </w:r>
      <w:r w:rsidR="00505333">
        <w:t xml:space="preserve"> on the chi-squared analysis. </w:t>
      </w:r>
    </w:p>
    <w:p w14:paraId="3E6408D6" w14:textId="77777777" w:rsidR="00171841" w:rsidRPr="007F66FD" w:rsidRDefault="00171841" w:rsidP="00A57ED8">
      <w:pPr>
        <w:spacing w:line="276" w:lineRule="auto"/>
      </w:pPr>
    </w:p>
    <w:p w14:paraId="46225513" w14:textId="30946547" w:rsidR="009D33A9" w:rsidRDefault="009D33A9" w:rsidP="00A57ED8">
      <w:pPr>
        <w:spacing w:line="276" w:lineRule="auto"/>
      </w:pPr>
      <w:r>
        <w:t>This pattern was largely repeated in the analysis of likelihood and confidence of the individual sentencing options</w:t>
      </w:r>
      <w:r w:rsidR="00504BA6">
        <w:t xml:space="preserve"> in the present sample</w:t>
      </w:r>
      <w:r w:rsidR="007F66FD">
        <w:t>. There were two significant differences; the likelihood of giving a s.45A was significantly higher in the schizophrenia condition compared to the personality disorder condition</w:t>
      </w:r>
      <w:r w:rsidR="001548FD">
        <w:t xml:space="preserve"> (associated with a small effect size)</w:t>
      </w:r>
      <w:r w:rsidR="007F66FD">
        <w:t>, and the confidence in the s.37/41 verdict was significantly higher in the personality disorder condition compared to the schizophrenia condition</w:t>
      </w:r>
      <w:r w:rsidR="001548FD">
        <w:t xml:space="preserve"> (associated with a medium effect size)</w:t>
      </w:r>
      <w:r w:rsidR="007F66FD">
        <w:t xml:space="preserve">. </w:t>
      </w:r>
    </w:p>
    <w:p w14:paraId="6A7C45BF" w14:textId="77777777" w:rsidR="0030103C" w:rsidRDefault="0030103C" w:rsidP="00A57ED8">
      <w:pPr>
        <w:spacing w:line="276" w:lineRule="auto"/>
      </w:pPr>
    </w:p>
    <w:p w14:paraId="411079B2" w14:textId="47FE1F7F" w:rsidR="00504BA6" w:rsidRDefault="00504BA6" w:rsidP="00A57ED8">
      <w:pPr>
        <w:spacing w:line="276" w:lineRule="auto"/>
      </w:pPr>
      <w:r>
        <w:t xml:space="preserve">For the total sentencing comparison only, we </w:t>
      </w:r>
      <w:r w:rsidR="008F0B61">
        <w:t>combined the samples from the previous study with those from the present study and conducted a chi-squared analysis to assess whether was a significant difference in relation to condition.</w:t>
      </w:r>
      <w:r w:rsidR="001B43E2">
        <w:t xml:space="preserve"> This was to maximise the potential power to detect an effect.</w:t>
      </w:r>
      <w:r w:rsidR="008F0B61">
        <w:t xml:space="preserve"> With this larger combined sample size, the chi-squared analysis did indeed show a significant effect</w:t>
      </w:r>
      <w:r w:rsidR="00EB389D">
        <w:t xml:space="preserve"> (Table 4)</w:t>
      </w:r>
      <w:r w:rsidR="008F0B61">
        <w:t xml:space="preserve">. When considering the pattern of results overall, </w:t>
      </w:r>
      <w:proofErr w:type="gramStart"/>
      <w:r w:rsidR="008F0B61">
        <w:t>it would appear that a</w:t>
      </w:r>
      <w:proofErr w:type="gramEnd"/>
      <w:r w:rsidR="008F0B61">
        <w:t xml:space="preserve"> personality disorder diagnosis was somewhat more likely to result in a prison sentence, and less likely to result in a hybrid order, than when a diagnosis of schizophrenia was given.</w:t>
      </w:r>
      <w:r w:rsidR="00414A32">
        <w:t xml:space="preserve"> However, this was overall a relatively small effect, and it must be stressed that regardless of diagnosis, the hybrid order was the most common outcome. </w:t>
      </w:r>
    </w:p>
    <w:p w14:paraId="5E43A0FB" w14:textId="3DF650E0" w:rsidR="005453D1" w:rsidRDefault="005453D1" w:rsidP="00A57ED8">
      <w:pPr>
        <w:pStyle w:val="Heading2"/>
        <w:spacing w:line="276" w:lineRule="auto"/>
      </w:pPr>
      <w:r>
        <w:lastRenderedPageBreak/>
        <w:t xml:space="preserve">Logistic Regression </w:t>
      </w:r>
    </w:p>
    <w:p w14:paraId="7A270921" w14:textId="5EE650F5" w:rsidR="00331B2B" w:rsidRPr="00CE2857" w:rsidRDefault="00EA7A40" w:rsidP="00A57ED8">
      <w:pPr>
        <w:pStyle w:val="Caption"/>
        <w:keepNext/>
        <w:spacing w:line="276" w:lineRule="auto"/>
        <w:rPr>
          <w:i w:val="0"/>
          <w:iCs w:val="0"/>
          <w:color w:val="000000" w:themeColor="text1"/>
          <w:sz w:val="22"/>
          <w:szCs w:val="22"/>
        </w:rPr>
      </w:pPr>
      <w:r w:rsidRPr="00254FC8">
        <w:rPr>
          <w:i w:val="0"/>
          <w:iCs w:val="0"/>
          <w:color w:val="000000" w:themeColor="text1"/>
          <w:sz w:val="22"/>
          <w:szCs w:val="22"/>
        </w:rPr>
        <w:t>To understand the way in which the Vowles statements were used in final sentencing de</w:t>
      </w:r>
      <w:r w:rsidR="003218B6" w:rsidRPr="00254FC8">
        <w:rPr>
          <w:i w:val="0"/>
          <w:iCs w:val="0"/>
          <w:color w:val="000000" w:themeColor="text1"/>
          <w:sz w:val="22"/>
          <w:szCs w:val="22"/>
        </w:rPr>
        <w:t>c</w:t>
      </w:r>
      <w:r w:rsidRPr="00254FC8">
        <w:rPr>
          <w:i w:val="0"/>
          <w:iCs w:val="0"/>
          <w:color w:val="000000" w:themeColor="text1"/>
          <w:sz w:val="22"/>
          <w:szCs w:val="22"/>
        </w:rPr>
        <w:t xml:space="preserve">isions, a logistic regression was conducted with final sentence as the </w:t>
      </w:r>
      <w:r w:rsidR="003218B6" w:rsidRPr="00254FC8">
        <w:rPr>
          <w:i w:val="0"/>
          <w:iCs w:val="0"/>
          <w:color w:val="000000" w:themeColor="text1"/>
          <w:sz w:val="22"/>
          <w:szCs w:val="22"/>
        </w:rPr>
        <w:t xml:space="preserve">dependent variable. </w:t>
      </w:r>
      <w:r w:rsidR="0098299D">
        <w:rPr>
          <w:i w:val="0"/>
          <w:iCs w:val="0"/>
          <w:color w:val="000000" w:themeColor="text1"/>
          <w:sz w:val="22"/>
          <w:szCs w:val="22"/>
        </w:rPr>
        <w:t>As with our previous study</w:t>
      </w:r>
      <w:r w:rsidR="00733305">
        <w:rPr>
          <w:i w:val="0"/>
          <w:iCs w:val="0"/>
          <w:color w:val="000000" w:themeColor="text1"/>
          <w:sz w:val="22"/>
          <w:szCs w:val="22"/>
        </w:rPr>
        <w:t>, the number of participants in the ‘prison’ sentencing group was relatively small,</w:t>
      </w:r>
      <w:r w:rsidR="001215F5">
        <w:rPr>
          <w:i w:val="0"/>
          <w:iCs w:val="0"/>
          <w:color w:val="000000" w:themeColor="text1"/>
          <w:sz w:val="22"/>
          <w:szCs w:val="22"/>
        </w:rPr>
        <w:t xml:space="preserve"> and it was therefore likely that </w:t>
      </w:r>
      <w:r w:rsidR="00370DC9">
        <w:rPr>
          <w:i w:val="0"/>
          <w:iCs w:val="0"/>
          <w:color w:val="000000" w:themeColor="text1"/>
          <w:sz w:val="22"/>
          <w:szCs w:val="22"/>
        </w:rPr>
        <w:t xml:space="preserve">an ordinal regression </w:t>
      </w:r>
      <w:r w:rsidR="00621BD9">
        <w:rPr>
          <w:i w:val="0"/>
          <w:iCs w:val="0"/>
          <w:color w:val="000000" w:themeColor="text1"/>
          <w:sz w:val="22"/>
          <w:szCs w:val="22"/>
        </w:rPr>
        <w:t xml:space="preserve">would be unstable or underpowered to meaningfully predict this decision. Thus, as with Baldwin et al, </w:t>
      </w:r>
      <w:r w:rsidR="002F247F">
        <w:rPr>
          <w:i w:val="0"/>
          <w:iCs w:val="0"/>
          <w:color w:val="000000" w:themeColor="text1"/>
          <w:sz w:val="22"/>
          <w:szCs w:val="22"/>
        </w:rPr>
        <w:t xml:space="preserve">we </w:t>
      </w:r>
      <w:r w:rsidR="00F339C5">
        <w:rPr>
          <w:i w:val="0"/>
          <w:iCs w:val="0"/>
          <w:color w:val="000000" w:themeColor="text1"/>
          <w:sz w:val="22"/>
          <w:szCs w:val="22"/>
        </w:rPr>
        <w:t>ran</w:t>
      </w:r>
      <w:r w:rsidR="00621BD9">
        <w:rPr>
          <w:i w:val="0"/>
          <w:iCs w:val="0"/>
          <w:color w:val="000000" w:themeColor="text1"/>
          <w:sz w:val="22"/>
          <w:szCs w:val="22"/>
        </w:rPr>
        <w:t xml:space="preserve"> a binary logistic regression excluding the prison sentencing decisions</w:t>
      </w:r>
      <w:r w:rsidR="00483515">
        <w:rPr>
          <w:i w:val="0"/>
          <w:iCs w:val="0"/>
          <w:color w:val="000000" w:themeColor="text1"/>
          <w:sz w:val="22"/>
          <w:szCs w:val="22"/>
        </w:rPr>
        <w:t xml:space="preserve"> and representing the </w:t>
      </w:r>
      <w:r w:rsidR="00331B2B">
        <w:rPr>
          <w:i w:val="0"/>
          <w:iCs w:val="0"/>
          <w:color w:val="000000" w:themeColor="text1"/>
          <w:sz w:val="22"/>
          <w:szCs w:val="22"/>
        </w:rPr>
        <w:t xml:space="preserve">prediction of s.37/41 vs. s/45A outcomes only. </w:t>
      </w:r>
    </w:p>
    <w:p w14:paraId="506A486A" w14:textId="25C6CDE6" w:rsidR="005979BF" w:rsidRDefault="00DB35B9" w:rsidP="00CA4F69">
      <w:pPr>
        <w:pStyle w:val="Caption"/>
        <w:keepNext/>
        <w:spacing w:line="276" w:lineRule="auto"/>
        <w:rPr>
          <w:b/>
          <w:bCs/>
        </w:rPr>
      </w:pPr>
      <w:r w:rsidRPr="00CE2857">
        <w:rPr>
          <w:i w:val="0"/>
          <w:iCs w:val="0"/>
          <w:color w:val="000000" w:themeColor="text1"/>
          <w:sz w:val="22"/>
          <w:szCs w:val="22"/>
        </w:rPr>
        <w:t xml:space="preserve">The output from the </w:t>
      </w:r>
      <w:r w:rsidR="00370DC9">
        <w:rPr>
          <w:i w:val="0"/>
          <w:iCs w:val="0"/>
          <w:color w:val="000000" w:themeColor="text1"/>
          <w:sz w:val="22"/>
          <w:szCs w:val="22"/>
        </w:rPr>
        <w:t xml:space="preserve">logistic </w:t>
      </w:r>
      <w:r w:rsidRPr="00CE2857">
        <w:rPr>
          <w:i w:val="0"/>
          <w:iCs w:val="0"/>
          <w:color w:val="000000" w:themeColor="text1"/>
          <w:sz w:val="22"/>
          <w:szCs w:val="22"/>
        </w:rPr>
        <w:t xml:space="preserve">regression is in </w:t>
      </w:r>
      <w:r w:rsidRPr="00CE2857">
        <w:rPr>
          <w:i w:val="0"/>
          <w:iCs w:val="0"/>
          <w:color w:val="000000" w:themeColor="text1"/>
          <w:sz w:val="22"/>
          <w:szCs w:val="22"/>
        </w:rPr>
        <w:fldChar w:fldCharType="begin"/>
      </w:r>
      <w:r w:rsidRPr="00CE2857">
        <w:rPr>
          <w:i w:val="0"/>
          <w:iCs w:val="0"/>
          <w:color w:val="000000" w:themeColor="text1"/>
          <w:sz w:val="22"/>
          <w:szCs w:val="22"/>
        </w:rPr>
        <w:instrText xml:space="preserve"> REF _Ref203068636 \h  \* MERGEFORMAT </w:instrText>
      </w:r>
      <w:r w:rsidRPr="00CE2857">
        <w:rPr>
          <w:i w:val="0"/>
          <w:iCs w:val="0"/>
          <w:color w:val="000000" w:themeColor="text1"/>
          <w:sz w:val="22"/>
          <w:szCs w:val="22"/>
        </w:rPr>
      </w:r>
      <w:r w:rsidRPr="00CE2857">
        <w:rPr>
          <w:i w:val="0"/>
          <w:iCs w:val="0"/>
          <w:color w:val="000000" w:themeColor="text1"/>
          <w:sz w:val="22"/>
          <w:szCs w:val="22"/>
        </w:rPr>
        <w:fldChar w:fldCharType="separate"/>
      </w:r>
      <w:r w:rsidRPr="00CE2857">
        <w:rPr>
          <w:i w:val="0"/>
          <w:iCs w:val="0"/>
          <w:color w:val="000000" w:themeColor="text1"/>
          <w:sz w:val="22"/>
          <w:szCs w:val="22"/>
        </w:rPr>
        <w:t xml:space="preserve">Table </w:t>
      </w:r>
      <w:r w:rsidRPr="00CE2857">
        <w:rPr>
          <w:i w:val="0"/>
          <w:iCs w:val="0"/>
          <w:noProof/>
          <w:color w:val="000000" w:themeColor="text1"/>
          <w:sz w:val="22"/>
          <w:szCs w:val="22"/>
        </w:rPr>
        <w:t>5</w:t>
      </w:r>
      <w:r w:rsidRPr="00CE2857">
        <w:rPr>
          <w:i w:val="0"/>
          <w:iCs w:val="0"/>
          <w:color w:val="000000" w:themeColor="text1"/>
          <w:sz w:val="22"/>
          <w:szCs w:val="22"/>
        </w:rPr>
        <w:fldChar w:fldCharType="end"/>
      </w:r>
      <w:r w:rsidRPr="00CE2857">
        <w:rPr>
          <w:i w:val="0"/>
          <w:iCs w:val="0"/>
          <w:color w:val="000000" w:themeColor="text1"/>
          <w:sz w:val="22"/>
          <w:szCs w:val="22"/>
        </w:rPr>
        <w:t xml:space="preserve">. Consistent with the other analyses, the logistic regression demonstrated that the manipulation on diagnosis made no difference to decision-making. This remained consistent throughout </w:t>
      </w:r>
      <w:proofErr w:type="gramStart"/>
      <w:r w:rsidRPr="00CE2857">
        <w:rPr>
          <w:i w:val="0"/>
          <w:iCs w:val="0"/>
          <w:color w:val="000000" w:themeColor="text1"/>
          <w:sz w:val="22"/>
          <w:szCs w:val="22"/>
        </w:rPr>
        <w:t>all of</w:t>
      </w:r>
      <w:proofErr w:type="gramEnd"/>
      <w:r w:rsidRPr="00CE2857">
        <w:rPr>
          <w:i w:val="0"/>
          <w:iCs w:val="0"/>
          <w:color w:val="000000" w:themeColor="text1"/>
          <w:sz w:val="22"/>
          <w:szCs w:val="22"/>
        </w:rPr>
        <w:t xml:space="preserve"> the conditions. In Model 2, the only variable to make a significant contribution to decision-making was Vowles 3 (Requires Punishment). The direction of effect was such that higher scores on Vowles 3 were associated with a greater likelihood of making a hybrid order recommendation. None of the other Vowles statements were predictive of final decision-making. The addition of the confidence in the Vowles rating in Model 3 made no further difference, nor did the addition of any of the demographic variables in Model 4 (although gender did show a trend towards significance</w:t>
      </w:r>
      <w:r w:rsidR="007877E1" w:rsidRPr="00CE2857">
        <w:rPr>
          <w:i w:val="0"/>
          <w:iCs w:val="0"/>
          <w:color w:val="000000" w:themeColor="text1"/>
          <w:sz w:val="22"/>
          <w:szCs w:val="22"/>
        </w:rPr>
        <w:t>, with females being more likely to recommend a hybrid order than a hospital order</w:t>
      </w:r>
      <w:r w:rsidRPr="00CE2857">
        <w:rPr>
          <w:i w:val="0"/>
          <w:iCs w:val="0"/>
          <w:color w:val="000000" w:themeColor="text1"/>
          <w:sz w:val="22"/>
          <w:szCs w:val="22"/>
        </w:rPr>
        <w:t xml:space="preserve">). </w:t>
      </w:r>
      <w:bookmarkStart w:id="16" w:name="_Ref203068636"/>
    </w:p>
    <w:p w14:paraId="1448085F" w14:textId="6FA2B798" w:rsidR="00C72F7D" w:rsidRPr="00C72F7D" w:rsidRDefault="00C72F7D" w:rsidP="00C72F7D">
      <w:pPr>
        <w:pStyle w:val="Caption"/>
        <w:keepNext/>
        <w:rPr>
          <w:b/>
          <w:bCs/>
        </w:rPr>
      </w:pPr>
      <w:r w:rsidRPr="00C72F7D">
        <w:rPr>
          <w:b/>
          <w:bCs/>
        </w:rPr>
        <w:t xml:space="preserve">Table </w:t>
      </w:r>
      <w:bookmarkEnd w:id="16"/>
      <w:r w:rsidR="004E56A0">
        <w:rPr>
          <w:b/>
          <w:bCs/>
        </w:rPr>
        <w:t>5</w:t>
      </w:r>
      <w:r w:rsidRPr="00C72F7D">
        <w:rPr>
          <w:b/>
          <w:bCs/>
        </w:rPr>
        <w:t>: Logistic Regression – Prediction of Sentence (s.37/41 or s.45A outcomes only)</w:t>
      </w:r>
    </w:p>
    <w:tbl>
      <w:tblPr>
        <w:tblStyle w:val="TableGridLight"/>
        <w:tblW w:w="9658" w:type="dxa"/>
        <w:tblLayout w:type="fixed"/>
        <w:tblLook w:val="06A0" w:firstRow="1" w:lastRow="0" w:firstColumn="1" w:lastColumn="0" w:noHBand="1" w:noVBand="1"/>
      </w:tblPr>
      <w:tblGrid>
        <w:gridCol w:w="2650"/>
        <w:gridCol w:w="1752"/>
        <w:gridCol w:w="1752"/>
        <w:gridCol w:w="1752"/>
        <w:gridCol w:w="1752"/>
      </w:tblGrid>
      <w:tr w:rsidR="00D92C89" w:rsidRPr="007F73AE" w14:paraId="4B80648D" w14:textId="1D5767AB" w:rsidTr="00D92C89">
        <w:trPr>
          <w:trHeight w:val="507"/>
        </w:trPr>
        <w:tc>
          <w:tcPr>
            <w:tcW w:w="2650" w:type="dxa"/>
          </w:tcPr>
          <w:p w14:paraId="2527C874" w14:textId="77777777" w:rsidR="00D92C89" w:rsidRPr="007F73AE" w:rsidRDefault="00D92C89" w:rsidP="00DF0C0D">
            <w:pPr>
              <w:spacing w:line="276" w:lineRule="auto"/>
              <w:rPr>
                <w:rFonts w:eastAsia="Calibri" w:cs="Times New Roman"/>
                <w:color w:val="000000" w:themeColor="text1"/>
                <w:sz w:val="18"/>
                <w:szCs w:val="18"/>
              </w:rPr>
            </w:pPr>
          </w:p>
        </w:tc>
        <w:tc>
          <w:tcPr>
            <w:tcW w:w="1752" w:type="dxa"/>
          </w:tcPr>
          <w:p w14:paraId="0241C94F" w14:textId="77777777" w:rsidR="00D92C89" w:rsidRPr="007F73AE" w:rsidRDefault="00D92C89" w:rsidP="00DF0C0D">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 xml:space="preserve">Model 1: Condition </w:t>
            </w:r>
          </w:p>
        </w:tc>
        <w:tc>
          <w:tcPr>
            <w:tcW w:w="1752" w:type="dxa"/>
          </w:tcPr>
          <w:p w14:paraId="30D493E6" w14:textId="77777777" w:rsidR="00D92C89" w:rsidRPr="007F73AE" w:rsidRDefault="00D92C89" w:rsidP="00DF0C0D">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 xml:space="preserve">Model 2: </w:t>
            </w:r>
            <w:r w:rsidRPr="007F73AE">
              <w:rPr>
                <w:rFonts w:cs="Times New Roman"/>
                <w:b/>
                <w:bCs/>
                <w:sz w:val="18"/>
                <w:szCs w:val="18"/>
              </w:rPr>
              <w:br/>
            </w:r>
            <w:r w:rsidRPr="007F73AE">
              <w:rPr>
                <w:rFonts w:eastAsia="Calibri" w:cs="Times New Roman"/>
                <w:b/>
                <w:bCs/>
                <w:color w:val="000000" w:themeColor="text1"/>
                <w:sz w:val="18"/>
                <w:szCs w:val="18"/>
              </w:rPr>
              <w:t>Model 1 + Vowles Terms</w:t>
            </w:r>
          </w:p>
        </w:tc>
        <w:tc>
          <w:tcPr>
            <w:tcW w:w="1752" w:type="dxa"/>
          </w:tcPr>
          <w:p w14:paraId="663A9ADF" w14:textId="77777777" w:rsidR="00D92C89" w:rsidRPr="007F73AE" w:rsidRDefault="00D92C89" w:rsidP="00DF0C0D">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 xml:space="preserve">Model 3: </w:t>
            </w:r>
          </w:p>
          <w:p w14:paraId="71545651" w14:textId="3D4305A8" w:rsidR="00D92C89" w:rsidRPr="007F73AE" w:rsidRDefault="00D92C89" w:rsidP="00DF0C0D">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 xml:space="preserve">Model 2 + </w:t>
            </w:r>
            <w:r>
              <w:rPr>
                <w:rFonts w:eastAsia="Calibri" w:cs="Times New Roman"/>
                <w:b/>
                <w:bCs/>
                <w:color w:val="000000" w:themeColor="text1"/>
                <w:sz w:val="18"/>
                <w:szCs w:val="18"/>
              </w:rPr>
              <w:t>Vowles Confidence</w:t>
            </w:r>
          </w:p>
        </w:tc>
        <w:tc>
          <w:tcPr>
            <w:tcW w:w="1752" w:type="dxa"/>
          </w:tcPr>
          <w:p w14:paraId="49C867CA" w14:textId="77777777" w:rsidR="00D92C89" w:rsidRDefault="00D92C89" w:rsidP="00DF0C0D">
            <w:pPr>
              <w:spacing w:line="276" w:lineRule="auto"/>
              <w:rPr>
                <w:rFonts w:eastAsia="Calibri" w:cs="Times New Roman"/>
                <w:b/>
                <w:bCs/>
                <w:color w:val="000000" w:themeColor="text1"/>
                <w:sz w:val="18"/>
                <w:szCs w:val="18"/>
              </w:rPr>
            </w:pPr>
            <w:r>
              <w:rPr>
                <w:rFonts w:eastAsia="Calibri" w:cs="Times New Roman"/>
                <w:b/>
                <w:bCs/>
                <w:color w:val="000000" w:themeColor="text1"/>
                <w:sz w:val="18"/>
                <w:szCs w:val="18"/>
              </w:rPr>
              <w:t>Model 4:</w:t>
            </w:r>
          </w:p>
          <w:p w14:paraId="3D30D680" w14:textId="5B1C7C9C" w:rsidR="00D92C89" w:rsidRPr="007F73AE" w:rsidRDefault="00D92C89" w:rsidP="00DF0C0D">
            <w:pPr>
              <w:spacing w:line="276" w:lineRule="auto"/>
              <w:rPr>
                <w:rFonts w:eastAsia="Calibri" w:cs="Times New Roman"/>
                <w:b/>
                <w:bCs/>
                <w:color w:val="000000" w:themeColor="text1"/>
                <w:sz w:val="18"/>
                <w:szCs w:val="18"/>
              </w:rPr>
            </w:pPr>
            <w:r>
              <w:rPr>
                <w:rFonts w:eastAsia="Calibri" w:cs="Times New Roman"/>
                <w:b/>
                <w:bCs/>
                <w:color w:val="000000" w:themeColor="text1"/>
                <w:sz w:val="18"/>
                <w:szCs w:val="18"/>
              </w:rPr>
              <w:t>Model 3 + Demographic Variables</w:t>
            </w:r>
          </w:p>
        </w:tc>
      </w:tr>
      <w:tr w:rsidR="00D92C89" w:rsidRPr="007F73AE" w14:paraId="5C2C7325" w14:textId="15A1BC00" w:rsidTr="00D92C89">
        <w:trPr>
          <w:trHeight w:val="140"/>
        </w:trPr>
        <w:tc>
          <w:tcPr>
            <w:tcW w:w="2650" w:type="dxa"/>
          </w:tcPr>
          <w:p w14:paraId="179E4A45" w14:textId="77777777" w:rsidR="00D92C89" w:rsidRPr="007F73AE" w:rsidRDefault="00D92C89" w:rsidP="00DF0C0D">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 xml:space="preserve">Nagelkerke </w:t>
            </w:r>
            <w:r w:rsidRPr="007F73AE">
              <w:rPr>
                <w:rFonts w:eastAsia="Calibri" w:cs="Times New Roman"/>
                <w:b/>
                <w:bCs/>
                <w:i/>
                <w:iCs/>
                <w:color w:val="000000" w:themeColor="text1"/>
                <w:sz w:val="18"/>
                <w:szCs w:val="18"/>
              </w:rPr>
              <w:t>R</w:t>
            </w:r>
            <w:r w:rsidRPr="007F73AE">
              <w:rPr>
                <w:rFonts w:eastAsia="Calibri" w:cs="Times New Roman"/>
                <w:b/>
                <w:bCs/>
                <w:color w:val="000000" w:themeColor="text1"/>
                <w:sz w:val="18"/>
                <w:szCs w:val="18"/>
                <w:vertAlign w:val="superscript"/>
              </w:rPr>
              <w:t>2</w:t>
            </w:r>
            <w:r w:rsidRPr="007F73AE">
              <w:rPr>
                <w:rFonts w:eastAsia="Calibri" w:cs="Times New Roman"/>
                <w:b/>
                <w:bCs/>
                <w:color w:val="000000" w:themeColor="text1"/>
                <w:sz w:val="18"/>
                <w:szCs w:val="18"/>
              </w:rPr>
              <w:t xml:space="preserve"> </w:t>
            </w:r>
          </w:p>
        </w:tc>
        <w:tc>
          <w:tcPr>
            <w:tcW w:w="1752" w:type="dxa"/>
          </w:tcPr>
          <w:p w14:paraId="2E93F2C3" w14:textId="4D8059DE" w:rsidR="00D92C89" w:rsidRPr="007F73AE" w:rsidRDefault="00D92C89" w:rsidP="00DF0C0D">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0.0</w:t>
            </w:r>
            <w:r>
              <w:rPr>
                <w:rFonts w:eastAsia="Calibri" w:cs="Times New Roman"/>
                <w:color w:val="000000" w:themeColor="text1"/>
                <w:sz w:val="18"/>
                <w:szCs w:val="18"/>
              </w:rPr>
              <w:t>25</w:t>
            </w:r>
          </w:p>
        </w:tc>
        <w:tc>
          <w:tcPr>
            <w:tcW w:w="1752" w:type="dxa"/>
          </w:tcPr>
          <w:p w14:paraId="7CD4F76E" w14:textId="3E409144" w:rsidR="00D92C89" w:rsidRPr="007F73AE" w:rsidRDefault="00D92C89" w:rsidP="00DF0C0D">
            <w:pPr>
              <w:spacing w:line="276" w:lineRule="auto"/>
              <w:rPr>
                <w:rFonts w:eastAsia="Calibri" w:cs="Times New Roman"/>
                <w:sz w:val="18"/>
                <w:szCs w:val="18"/>
              </w:rPr>
            </w:pPr>
            <w:r w:rsidRPr="007F73AE">
              <w:rPr>
                <w:rFonts w:eastAsia="Calibri" w:cs="Times New Roman"/>
                <w:sz w:val="18"/>
                <w:szCs w:val="18"/>
              </w:rPr>
              <w:t>0.</w:t>
            </w:r>
            <w:r>
              <w:rPr>
                <w:rFonts w:eastAsia="Calibri" w:cs="Times New Roman"/>
                <w:sz w:val="18"/>
                <w:szCs w:val="18"/>
              </w:rPr>
              <w:t>128</w:t>
            </w:r>
          </w:p>
        </w:tc>
        <w:tc>
          <w:tcPr>
            <w:tcW w:w="1752" w:type="dxa"/>
          </w:tcPr>
          <w:p w14:paraId="112539F0" w14:textId="67F1761A" w:rsidR="00D92C89" w:rsidRPr="007F73AE" w:rsidRDefault="00D92C89" w:rsidP="00DF0C0D">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0.</w:t>
            </w:r>
            <w:r>
              <w:rPr>
                <w:rFonts w:eastAsia="Calibri" w:cs="Times New Roman"/>
                <w:color w:val="000000" w:themeColor="text1"/>
                <w:sz w:val="18"/>
                <w:szCs w:val="18"/>
              </w:rPr>
              <w:t>141</w:t>
            </w:r>
          </w:p>
        </w:tc>
        <w:tc>
          <w:tcPr>
            <w:tcW w:w="1752" w:type="dxa"/>
          </w:tcPr>
          <w:p w14:paraId="78B61B1F" w14:textId="422EC1C6" w:rsidR="00D92C89" w:rsidRPr="007F73AE" w:rsidRDefault="00D92C89" w:rsidP="00DF0C0D">
            <w:pPr>
              <w:spacing w:line="276" w:lineRule="auto"/>
              <w:rPr>
                <w:rFonts w:eastAsia="Calibri" w:cs="Times New Roman"/>
                <w:color w:val="000000" w:themeColor="text1"/>
                <w:sz w:val="18"/>
                <w:szCs w:val="18"/>
              </w:rPr>
            </w:pPr>
            <w:r>
              <w:rPr>
                <w:rFonts w:eastAsia="Calibri" w:cs="Times New Roman"/>
                <w:color w:val="000000" w:themeColor="text1"/>
                <w:sz w:val="18"/>
                <w:szCs w:val="18"/>
              </w:rPr>
              <w:t>0.191</w:t>
            </w:r>
          </w:p>
        </w:tc>
      </w:tr>
      <w:tr w:rsidR="00D92C89" w:rsidRPr="007F73AE" w14:paraId="00195124" w14:textId="7D3B6D44" w:rsidTr="00D92C89">
        <w:trPr>
          <w:trHeight w:val="280"/>
        </w:trPr>
        <w:tc>
          <w:tcPr>
            <w:tcW w:w="2650" w:type="dxa"/>
          </w:tcPr>
          <w:p w14:paraId="304A2CCE" w14:textId="77777777" w:rsidR="00D92C89" w:rsidRPr="007F73AE" w:rsidRDefault="00D92C89" w:rsidP="00D92C89">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Constant</w:t>
            </w:r>
          </w:p>
        </w:tc>
        <w:tc>
          <w:tcPr>
            <w:tcW w:w="1752" w:type="dxa"/>
          </w:tcPr>
          <w:p w14:paraId="28A5B6ED" w14:textId="715B17C8"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0.783</w:t>
            </w:r>
            <w:r w:rsidRPr="007F73AE">
              <w:rPr>
                <w:rFonts w:eastAsia="Calibri" w:cs="Times New Roman"/>
                <w:color w:val="000000" w:themeColor="text1"/>
                <w:sz w:val="18"/>
                <w:szCs w:val="18"/>
              </w:rPr>
              <w:t>, SE=0.3</w:t>
            </w:r>
            <w:r>
              <w:rPr>
                <w:rFonts w:eastAsia="Calibri" w:cs="Times New Roman"/>
                <w:color w:val="000000" w:themeColor="text1"/>
                <w:sz w:val="18"/>
                <w:szCs w:val="18"/>
              </w:rPr>
              <w:t>02</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&lt;0.001</w:t>
            </w:r>
          </w:p>
        </w:tc>
        <w:tc>
          <w:tcPr>
            <w:tcW w:w="1752" w:type="dxa"/>
          </w:tcPr>
          <w:p w14:paraId="78675EA3" w14:textId="28464EE3"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1.989</w:t>
            </w:r>
            <w:r w:rsidRPr="007F73AE">
              <w:rPr>
                <w:rFonts w:eastAsia="Calibri" w:cs="Times New Roman"/>
                <w:color w:val="000000" w:themeColor="text1"/>
                <w:sz w:val="18"/>
                <w:szCs w:val="18"/>
              </w:rPr>
              <w:t>, SE=</w:t>
            </w:r>
            <w:r>
              <w:rPr>
                <w:rFonts w:eastAsia="Calibri" w:cs="Times New Roman"/>
                <w:color w:val="000000" w:themeColor="text1"/>
                <w:sz w:val="18"/>
                <w:szCs w:val="18"/>
              </w:rPr>
              <w:t>2.060</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334</w:t>
            </w:r>
          </w:p>
        </w:tc>
        <w:tc>
          <w:tcPr>
            <w:tcW w:w="1752" w:type="dxa"/>
          </w:tcPr>
          <w:p w14:paraId="30A68A6D" w14:textId="3B366E72"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-1.807</w:t>
            </w:r>
            <w:r w:rsidRPr="007F73AE">
              <w:rPr>
                <w:rFonts w:eastAsia="Calibri" w:cs="Times New Roman"/>
                <w:color w:val="000000" w:themeColor="text1"/>
                <w:sz w:val="18"/>
                <w:szCs w:val="18"/>
              </w:rPr>
              <w:t>, SE=2.</w:t>
            </w:r>
            <w:r>
              <w:rPr>
                <w:rFonts w:eastAsia="Calibri" w:cs="Times New Roman"/>
                <w:color w:val="000000" w:themeColor="text1"/>
                <w:sz w:val="18"/>
                <w:szCs w:val="18"/>
              </w:rPr>
              <w:t>056</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380</w:t>
            </w:r>
          </w:p>
        </w:tc>
        <w:tc>
          <w:tcPr>
            <w:tcW w:w="1752" w:type="dxa"/>
          </w:tcPr>
          <w:p w14:paraId="6BDBD764" w14:textId="7D6D53EF"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-1.664</w:t>
            </w:r>
            <w:r w:rsidRPr="007F73AE">
              <w:rPr>
                <w:rFonts w:eastAsia="Calibri" w:cs="Times New Roman"/>
                <w:color w:val="000000" w:themeColor="text1"/>
                <w:sz w:val="18"/>
                <w:szCs w:val="18"/>
              </w:rPr>
              <w:t>, SE=2.</w:t>
            </w:r>
            <w:r>
              <w:rPr>
                <w:rFonts w:eastAsia="Calibri" w:cs="Times New Roman"/>
                <w:color w:val="000000" w:themeColor="text1"/>
                <w:sz w:val="18"/>
                <w:szCs w:val="18"/>
              </w:rPr>
              <w:t>137</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436</w:t>
            </w:r>
          </w:p>
        </w:tc>
      </w:tr>
      <w:tr w:rsidR="00D92C89" w:rsidRPr="007F73AE" w14:paraId="6290D0A9" w14:textId="6BE303BF" w:rsidTr="00D92C89">
        <w:trPr>
          <w:trHeight w:val="286"/>
        </w:trPr>
        <w:tc>
          <w:tcPr>
            <w:tcW w:w="2650" w:type="dxa"/>
          </w:tcPr>
          <w:p w14:paraId="3B97E057" w14:textId="26F94335" w:rsidR="00D92C89" w:rsidRPr="007F73AE" w:rsidRDefault="00D92C89" w:rsidP="00D92C89">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Condition (</w:t>
            </w:r>
            <w:r>
              <w:rPr>
                <w:rFonts w:eastAsia="Calibri" w:cs="Times New Roman"/>
                <w:b/>
                <w:bCs/>
                <w:color w:val="000000" w:themeColor="text1"/>
                <w:sz w:val="18"/>
                <w:szCs w:val="18"/>
              </w:rPr>
              <w:t>Personality Disorder v Schizophrenia)</w:t>
            </w:r>
          </w:p>
        </w:tc>
        <w:tc>
          <w:tcPr>
            <w:tcW w:w="1752" w:type="dxa"/>
          </w:tcPr>
          <w:p w14:paraId="4C863EF3" w14:textId="1E1481C7"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0.604</w:t>
            </w:r>
            <w:r w:rsidRPr="007F73AE">
              <w:rPr>
                <w:rFonts w:eastAsia="Calibri" w:cs="Times New Roman"/>
                <w:color w:val="000000" w:themeColor="text1"/>
                <w:sz w:val="18"/>
                <w:szCs w:val="18"/>
              </w:rPr>
              <w:t>, SE=</w:t>
            </w:r>
            <w:r>
              <w:rPr>
                <w:rFonts w:eastAsia="Calibri" w:cs="Times New Roman"/>
                <w:color w:val="000000" w:themeColor="text1"/>
                <w:sz w:val="18"/>
                <w:szCs w:val="18"/>
              </w:rPr>
              <w:t>0.452</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w:t>
            </w:r>
            <w:r>
              <w:rPr>
                <w:rFonts w:eastAsia="Calibri" w:cs="Times New Roman"/>
                <w:color w:val="000000" w:themeColor="text1"/>
                <w:sz w:val="18"/>
                <w:szCs w:val="18"/>
              </w:rPr>
              <w:t>0.182</w:t>
            </w:r>
          </w:p>
        </w:tc>
        <w:tc>
          <w:tcPr>
            <w:tcW w:w="1752" w:type="dxa"/>
          </w:tcPr>
          <w:p w14:paraId="5529C5D8" w14:textId="3A5C86E2"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0.677</w:t>
            </w:r>
            <w:r w:rsidRPr="007F73AE">
              <w:rPr>
                <w:rFonts w:eastAsia="Calibri" w:cs="Times New Roman"/>
                <w:color w:val="000000" w:themeColor="text1"/>
                <w:sz w:val="18"/>
                <w:szCs w:val="18"/>
              </w:rPr>
              <w:t>, SE=0.</w:t>
            </w:r>
            <w:r>
              <w:rPr>
                <w:rFonts w:eastAsia="Calibri" w:cs="Times New Roman"/>
                <w:color w:val="000000" w:themeColor="text1"/>
                <w:sz w:val="18"/>
                <w:szCs w:val="18"/>
              </w:rPr>
              <w:t>475</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154</w:t>
            </w:r>
          </w:p>
        </w:tc>
        <w:tc>
          <w:tcPr>
            <w:tcW w:w="1752" w:type="dxa"/>
          </w:tcPr>
          <w:p w14:paraId="3E97D9F1" w14:textId="59E21C4E"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0.689</w:t>
            </w:r>
            <w:r w:rsidRPr="007F73AE">
              <w:rPr>
                <w:rFonts w:eastAsia="Calibri" w:cs="Times New Roman"/>
                <w:color w:val="000000" w:themeColor="text1"/>
                <w:sz w:val="18"/>
                <w:szCs w:val="18"/>
              </w:rPr>
              <w:t>, SE=0.</w:t>
            </w:r>
            <w:r>
              <w:rPr>
                <w:rFonts w:eastAsia="Calibri" w:cs="Times New Roman"/>
                <w:color w:val="000000" w:themeColor="text1"/>
                <w:sz w:val="18"/>
                <w:szCs w:val="18"/>
              </w:rPr>
              <w:t>478</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149</w:t>
            </w:r>
          </w:p>
        </w:tc>
        <w:tc>
          <w:tcPr>
            <w:tcW w:w="1752" w:type="dxa"/>
          </w:tcPr>
          <w:p w14:paraId="7F13B04B" w14:textId="32A59610"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0.678</w:t>
            </w:r>
            <w:r w:rsidRPr="007F73AE">
              <w:rPr>
                <w:rFonts w:eastAsia="Calibri" w:cs="Times New Roman"/>
                <w:color w:val="000000" w:themeColor="text1"/>
                <w:sz w:val="18"/>
                <w:szCs w:val="18"/>
              </w:rPr>
              <w:t>, SE=0.</w:t>
            </w:r>
            <w:r>
              <w:rPr>
                <w:rFonts w:eastAsia="Calibri" w:cs="Times New Roman"/>
                <w:color w:val="000000" w:themeColor="text1"/>
                <w:sz w:val="18"/>
                <w:szCs w:val="18"/>
              </w:rPr>
              <w:t>502</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177</w:t>
            </w:r>
          </w:p>
        </w:tc>
      </w:tr>
      <w:tr w:rsidR="00D92C89" w:rsidRPr="007F73AE" w14:paraId="5479B492" w14:textId="315F1B78" w:rsidTr="00D92C89">
        <w:trPr>
          <w:trHeight w:val="415"/>
        </w:trPr>
        <w:tc>
          <w:tcPr>
            <w:tcW w:w="2650" w:type="dxa"/>
          </w:tcPr>
          <w:p w14:paraId="399B06E4" w14:textId="77777777" w:rsidR="00D92C89" w:rsidRPr="007F73AE" w:rsidRDefault="00D92C89" w:rsidP="00D92C89">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Vowles 1 (Requires Treatment)</w:t>
            </w:r>
          </w:p>
        </w:tc>
        <w:tc>
          <w:tcPr>
            <w:tcW w:w="1752" w:type="dxa"/>
            <w:shd w:val="clear" w:color="auto" w:fill="E8E8E8" w:themeFill="background2"/>
          </w:tcPr>
          <w:p w14:paraId="0B642E1A" w14:textId="77777777" w:rsidR="00D92C89" w:rsidRPr="007F73AE" w:rsidRDefault="00D92C89" w:rsidP="00D92C89">
            <w:pPr>
              <w:spacing w:line="276" w:lineRule="auto"/>
              <w:rPr>
                <w:rFonts w:eastAsia="Calibri" w:cs="Times New Roman"/>
                <w:color w:val="000000" w:themeColor="text1"/>
                <w:sz w:val="18"/>
                <w:szCs w:val="18"/>
              </w:rPr>
            </w:pPr>
          </w:p>
        </w:tc>
        <w:tc>
          <w:tcPr>
            <w:tcW w:w="1752" w:type="dxa"/>
          </w:tcPr>
          <w:p w14:paraId="1D4943AF" w14:textId="27F41936"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0.103</w:t>
            </w:r>
            <w:r w:rsidRPr="007F73AE">
              <w:rPr>
                <w:rFonts w:eastAsia="Calibri" w:cs="Times New Roman"/>
                <w:color w:val="000000" w:themeColor="text1"/>
                <w:sz w:val="18"/>
                <w:szCs w:val="18"/>
              </w:rPr>
              <w:t>, SE=0.</w:t>
            </w:r>
            <w:r>
              <w:rPr>
                <w:rFonts w:eastAsia="Calibri" w:cs="Times New Roman"/>
                <w:color w:val="000000" w:themeColor="text1"/>
                <w:sz w:val="18"/>
                <w:szCs w:val="18"/>
              </w:rPr>
              <w:t>336</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760</w:t>
            </w:r>
          </w:p>
        </w:tc>
        <w:tc>
          <w:tcPr>
            <w:tcW w:w="1752" w:type="dxa"/>
          </w:tcPr>
          <w:p w14:paraId="1EB658CF" w14:textId="3DF1E6E7" w:rsidR="00D92C89" w:rsidRPr="003A7FED" w:rsidRDefault="00D92C89" w:rsidP="00D92C89">
            <w:pPr>
              <w:spacing w:line="276" w:lineRule="auto"/>
              <w:rPr>
                <w:rFonts w:eastAsia="Calibri" w:cs="Times New Roman"/>
                <w:b/>
                <w:bCs/>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0.154</w:t>
            </w:r>
            <w:r w:rsidRPr="007F73AE">
              <w:rPr>
                <w:rFonts w:eastAsia="Calibri" w:cs="Times New Roman"/>
                <w:color w:val="000000" w:themeColor="text1"/>
                <w:sz w:val="18"/>
                <w:szCs w:val="18"/>
              </w:rPr>
              <w:t>, SE=0.</w:t>
            </w:r>
            <w:r>
              <w:rPr>
                <w:rFonts w:eastAsia="Calibri" w:cs="Times New Roman"/>
                <w:color w:val="000000" w:themeColor="text1"/>
                <w:sz w:val="18"/>
                <w:szCs w:val="18"/>
              </w:rPr>
              <w:t>33</w:t>
            </w:r>
            <w:r w:rsidRPr="007F73AE">
              <w:rPr>
                <w:rFonts w:eastAsia="Calibri" w:cs="Times New Roman"/>
                <w:color w:val="000000" w:themeColor="text1"/>
                <w:sz w:val="18"/>
                <w:szCs w:val="18"/>
              </w:rPr>
              <w:t xml:space="preserve">4,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645</w:t>
            </w:r>
          </w:p>
        </w:tc>
        <w:tc>
          <w:tcPr>
            <w:tcW w:w="1752" w:type="dxa"/>
          </w:tcPr>
          <w:p w14:paraId="28AD8590" w14:textId="2D5D48A1"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0.109</w:t>
            </w:r>
            <w:r w:rsidRPr="007F73AE">
              <w:rPr>
                <w:rFonts w:eastAsia="Calibri" w:cs="Times New Roman"/>
                <w:color w:val="000000" w:themeColor="text1"/>
                <w:sz w:val="18"/>
                <w:szCs w:val="18"/>
              </w:rPr>
              <w:t>, SE=0.</w:t>
            </w:r>
            <w:r>
              <w:rPr>
                <w:rFonts w:eastAsia="Calibri" w:cs="Times New Roman"/>
                <w:color w:val="000000" w:themeColor="text1"/>
                <w:sz w:val="18"/>
                <w:szCs w:val="18"/>
              </w:rPr>
              <w:t>350</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755</w:t>
            </w:r>
          </w:p>
        </w:tc>
      </w:tr>
      <w:tr w:rsidR="00D92C89" w:rsidRPr="007F73AE" w14:paraId="271F2860" w14:textId="23E9BD48" w:rsidTr="00D92C89">
        <w:trPr>
          <w:trHeight w:val="415"/>
        </w:trPr>
        <w:tc>
          <w:tcPr>
            <w:tcW w:w="2650" w:type="dxa"/>
          </w:tcPr>
          <w:p w14:paraId="5C1127CB" w14:textId="77777777" w:rsidR="00D92C89" w:rsidRPr="007F73AE" w:rsidRDefault="00D92C89" w:rsidP="00D92C89">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Vowles 2 (Offending Attributable to MH)</w:t>
            </w:r>
          </w:p>
        </w:tc>
        <w:tc>
          <w:tcPr>
            <w:tcW w:w="1752" w:type="dxa"/>
            <w:shd w:val="clear" w:color="auto" w:fill="E8E8E8" w:themeFill="background2"/>
          </w:tcPr>
          <w:p w14:paraId="19308006" w14:textId="77777777" w:rsidR="00D92C89" w:rsidRPr="007F73AE" w:rsidRDefault="00D92C89" w:rsidP="00D92C89">
            <w:pPr>
              <w:spacing w:line="276" w:lineRule="auto"/>
              <w:rPr>
                <w:rFonts w:eastAsia="Calibri" w:cs="Times New Roman"/>
                <w:color w:val="000000" w:themeColor="text1"/>
                <w:sz w:val="18"/>
                <w:szCs w:val="18"/>
              </w:rPr>
            </w:pPr>
          </w:p>
        </w:tc>
        <w:tc>
          <w:tcPr>
            <w:tcW w:w="1752" w:type="dxa"/>
          </w:tcPr>
          <w:p w14:paraId="74AC2185" w14:textId="56959602"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-0.215</w:t>
            </w:r>
            <w:r w:rsidRPr="007F73AE">
              <w:rPr>
                <w:rFonts w:eastAsia="Calibri" w:cs="Times New Roman"/>
                <w:color w:val="000000" w:themeColor="text1"/>
                <w:sz w:val="18"/>
                <w:szCs w:val="18"/>
              </w:rPr>
              <w:t>, SE=0.</w:t>
            </w:r>
            <w:r>
              <w:rPr>
                <w:rFonts w:eastAsia="Calibri" w:cs="Times New Roman"/>
                <w:color w:val="000000" w:themeColor="text1"/>
                <w:sz w:val="18"/>
                <w:szCs w:val="18"/>
              </w:rPr>
              <w:t>361</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w:t>
            </w:r>
            <w:r>
              <w:rPr>
                <w:rFonts w:eastAsia="Calibri" w:cs="Times New Roman"/>
                <w:color w:val="000000" w:themeColor="text1"/>
                <w:sz w:val="18"/>
                <w:szCs w:val="18"/>
              </w:rPr>
              <w:t>0.552</w:t>
            </w:r>
          </w:p>
        </w:tc>
        <w:tc>
          <w:tcPr>
            <w:tcW w:w="1752" w:type="dxa"/>
          </w:tcPr>
          <w:p w14:paraId="0A8EE621" w14:textId="1791F9B3"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-0.146</w:t>
            </w:r>
            <w:r w:rsidRPr="007F73AE">
              <w:rPr>
                <w:rFonts w:eastAsia="Calibri" w:cs="Times New Roman"/>
                <w:color w:val="000000" w:themeColor="text1"/>
                <w:sz w:val="18"/>
                <w:szCs w:val="18"/>
              </w:rPr>
              <w:t>, SE=0.</w:t>
            </w:r>
            <w:r>
              <w:rPr>
                <w:rFonts w:eastAsia="Calibri" w:cs="Times New Roman"/>
                <w:color w:val="000000" w:themeColor="text1"/>
                <w:sz w:val="18"/>
                <w:szCs w:val="18"/>
              </w:rPr>
              <w:t>364</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688</w:t>
            </w:r>
          </w:p>
        </w:tc>
        <w:tc>
          <w:tcPr>
            <w:tcW w:w="1752" w:type="dxa"/>
          </w:tcPr>
          <w:p w14:paraId="590F3012" w14:textId="340AB18B"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-0.170</w:t>
            </w:r>
            <w:r w:rsidRPr="007F73AE">
              <w:rPr>
                <w:rFonts w:eastAsia="Calibri" w:cs="Times New Roman"/>
                <w:color w:val="000000" w:themeColor="text1"/>
                <w:sz w:val="18"/>
                <w:szCs w:val="18"/>
              </w:rPr>
              <w:t>, SE=0.</w:t>
            </w:r>
            <w:r>
              <w:rPr>
                <w:rFonts w:eastAsia="Calibri" w:cs="Times New Roman"/>
                <w:color w:val="000000" w:themeColor="text1"/>
                <w:sz w:val="18"/>
                <w:szCs w:val="18"/>
              </w:rPr>
              <w:t>377</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653</w:t>
            </w:r>
          </w:p>
        </w:tc>
      </w:tr>
      <w:tr w:rsidR="00D92C89" w:rsidRPr="007F73AE" w14:paraId="4413B9E9" w14:textId="36B4163B" w:rsidTr="00D92C89">
        <w:trPr>
          <w:trHeight w:val="415"/>
        </w:trPr>
        <w:tc>
          <w:tcPr>
            <w:tcW w:w="2650" w:type="dxa"/>
          </w:tcPr>
          <w:p w14:paraId="715CC10A" w14:textId="77777777" w:rsidR="00D92C89" w:rsidRPr="007F73AE" w:rsidRDefault="00D92C89" w:rsidP="00D92C89">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Vowles 3 (Requires Punishment)</w:t>
            </w:r>
          </w:p>
        </w:tc>
        <w:tc>
          <w:tcPr>
            <w:tcW w:w="1752" w:type="dxa"/>
            <w:shd w:val="clear" w:color="auto" w:fill="E8E8E8" w:themeFill="background2"/>
          </w:tcPr>
          <w:p w14:paraId="0E66987E" w14:textId="77777777" w:rsidR="00D92C89" w:rsidRPr="007F73AE" w:rsidRDefault="00D92C89" w:rsidP="00D92C89">
            <w:pPr>
              <w:spacing w:line="276" w:lineRule="auto"/>
              <w:rPr>
                <w:rFonts w:eastAsia="Calibri" w:cs="Times New Roman"/>
                <w:color w:val="000000" w:themeColor="text1"/>
                <w:sz w:val="18"/>
                <w:szCs w:val="18"/>
              </w:rPr>
            </w:pPr>
          </w:p>
        </w:tc>
        <w:tc>
          <w:tcPr>
            <w:tcW w:w="1752" w:type="dxa"/>
          </w:tcPr>
          <w:p w14:paraId="10F4D6FE" w14:textId="73A43B34"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β=0.</w:t>
            </w:r>
            <w:r>
              <w:rPr>
                <w:rFonts w:eastAsia="Calibri" w:cs="Times New Roman"/>
                <w:color w:val="000000" w:themeColor="text1"/>
                <w:sz w:val="18"/>
                <w:szCs w:val="18"/>
              </w:rPr>
              <w:t>448</w:t>
            </w:r>
            <w:r w:rsidRPr="007F73AE">
              <w:rPr>
                <w:rFonts w:eastAsia="Calibri" w:cs="Times New Roman"/>
                <w:color w:val="000000" w:themeColor="text1"/>
                <w:sz w:val="18"/>
                <w:szCs w:val="18"/>
              </w:rPr>
              <w:t>, SE=0.</w:t>
            </w:r>
            <w:r>
              <w:rPr>
                <w:rFonts w:eastAsia="Calibri" w:cs="Times New Roman"/>
                <w:color w:val="000000" w:themeColor="text1"/>
                <w:sz w:val="18"/>
                <w:szCs w:val="18"/>
              </w:rPr>
              <w:t>221</w:t>
            </w:r>
            <w:r w:rsidRPr="007F73AE">
              <w:rPr>
                <w:rFonts w:eastAsia="Calibri" w:cs="Times New Roman"/>
                <w:color w:val="000000" w:themeColor="text1"/>
                <w:sz w:val="18"/>
                <w:szCs w:val="18"/>
              </w:rPr>
              <w:t xml:space="preserve">, </w:t>
            </w:r>
            <w:r w:rsidRPr="005453D1">
              <w:rPr>
                <w:rFonts w:eastAsia="Calibri" w:cs="Times New Roman"/>
                <w:color w:val="000000" w:themeColor="text1"/>
                <w:sz w:val="18"/>
                <w:szCs w:val="18"/>
              </w:rPr>
              <w:t>p=0.043</w:t>
            </w:r>
          </w:p>
        </w:tc>
        <w:tc>
          <w:tcPr>
            <w:tcW w:w="1752" w:type="dxa"/>
          </w:tcPr>
          <w:p w14:paraId="1BE8911D" w14:textId="33C9443B"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β=0.</w:t>
            </w:r>
            <w:r>
              <w:rPr>
                <w:rFonts w:eastAsia="Calibri" w:cs="Times New Roman"/>
                <w:color w:val="000000" w:themeColor="text1"/>
                <w:sz w:val="18"/>
                <w:szCs w:val="18"/>
              </w:rPr>
              <w:t>457</w:t>
            </w:r>
            <w:r w:rsidRPr="007F73AE">
              <w:rPr>
                <w:rFonts w:eastAsia="Calibri" w:cs="Times New Roman"/>
                <w:color w:val="000000" w:themeColor="text1"/>
                <w:sz w:val="18"/>
                <w:szCs w:val="18"/>
              </w:rPr>
              <w:t>, SE=0.</w:t>
            </w:r>
            <w:r>
              <w:rPr>
                <w:rFonts w:eastAsia="Calibri" w:cs="Times New Roman"/>
                <w:color w:val="000000" w:themeColor="text1"/>
                <w:sz w:val="18"/>
                <w:szCs w:val="18"/>
              </w:rPr>
              <w:t>222</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Pr>
                <w:rFonts w:eastAsia="Calibri" w:cs="Times New Roman"/>
                <w:color w:val="000000" w:themeColor="text1"/>
                <w:sz w:val="18"/>
                <w:szCs w:val="18"/>
              </w:rPr>
              <w:t>=0.040</w:t>
            </w:r>
          </w:p>
        </w:tc>
        <w:tc>
          <w:tcPr>
            <w:tcW w:w="1752" w:type="dxa"/>
          </w:tcPr>
          <w:p w14:paraId="35C59A4B" w14:textId="0673EC70"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β=0.</w:t>
            </w:r>
            <w:r>
              <w:rPr>
                <w:rFonts w:eastAsia="Calibri" w:cs="Times New Roman"/>
                <w:color w:val="000000" w:themeColor="text1"/>
                <w:sz w:val="18"/>
                <w:szCs w:val="18"/>
              </w:rPr>
              <w:t>468</w:t>
            </w:r>
            <w:r w:rsidRPr="007F73AE">
              <w:rPr>
                <w:rFonts w:eastAsia="Calibri" w:cs="Times New Roman"/>
                <w:color w:val="000000" w:themeColor="text1"/>
                <w:sz w:val="18"/>
                <w:szCs w:val="18"/>
              </w:rPr>
              <w:t>, SE=0.</w:t>
            </w:r>
            <w:r>
              <w:rPr>
                <w:rFonts w:eastAsia="Calibri" w:cs="Times New Roman"/>
                <w:color w:val="000000" w:themeColor="text1"/>
                <w:sz w:val="18"/>
                <w:szCs w:val="18"/>
              </w:rPr>
              <w:t>230</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Pr>
                <w:rFonts w:eastAsia="Calibri" w:cs="Times New Roman"/>
                <w:color w:val="000000" w:themeColor="text1"/>
                <w:sz w:val="18"/>
                <w:szCs w:val="18"/>
              </w:rPr>
              <w:t>=0.041</w:t>
            </w:r>
          </w:p>
        </w:tc>
      </w:tr>
      <w:tr w:rsidR="00D92C89" w:rsidRPr="007F73AE" w14:paraId="475193A9" w14:textId="78BD064F" w:rsidTr="00D92C89">
        <w:trPr>
          <w:trHeight w:val="415"/>
        </w:trPr>
        <w:tc>
          <w:tcPr>
            <w:tcW w:w="2650" w:type="dxa"/>
          </w:tcPr>
          <w:p w14:paraId="43CFF836" w14:textId="77777777" w:rsidR="00D92C89" w:rsidRPr="007F73AE" w:rsidRDefault="00D92C89" w:rsidP="00D92C89">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Vowles 4 (Protection of Public)</w:t>
            </w:r>
          </w:p>
        </w:tc>
        <w:tc>
          <w:tcPr>
            <w:tcW w:w="1752" w:type="dxa"/>
            <w:shd w:val="clear" w:color="auto" w:fill="E8E8E8" w:themeFill="background2"/>
          </w:tcPr>
          <w:p w14:paraId="1C71FDEB" w14:textId="77777777" w:rsidR="00D92C89" w:rsidRPr="007F73AE" w:rsidRDefault="00D92C89" w:rsidP="00D92C89">
            <w:pPr>
              <w:spacing w:line="276" w:lineRule="auto"/>
              <w:rPr>
                <w:rFonts w:eastAsia="Calibri" w:cs="Times New Roman"/>
                <w:color w:val="000000" w:themeColor="text1"/>
                <w:sz w:val="18"/>
                <w:szCs w:val="18"/>
              </w:rPr>
            </w:pPr>
          </w:p>
        </w:tc>
        <w:tc>
          <w:tcPr>
            <w:tcW w:w="1752" w:type="dxa"/>
          </w:tcPr>
          <w:p w14:paraId="5C26F317" w14:textId="0F23A3F5"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β=0.</w:t>
            </w:r>
            <w:r>
              <w:rPr>
                <w:rFonts w:eastAsia="Calibri" w:cs="Times New Roman"/>
                <w:color w:val="000000" w:themeColor="text1"/>
                <w:sz w:val="18"/>
                <w:szCs w:val="18"/>
              </w:rPr>
              <w:t>250</w:t>
            </w:r>
            <w:r w:rsidRPr="007F73AE">
              <w:rPr>
                <w:rFonts w:eastAsia="Calibri" w:cs="Times New Roman"/>
                <w:color w:val="000000" w:themeColor="text1"/>
                <w:sz w:val="18"/>
                <w:szCs w:val="18"/>
              </w:rPr>
              <w:t>, SE=0.2</w:t>
            </w:r>
            <w:r>
              <w:rPr>
                <w:rFonts w:eastAsia="Calibri" w:cs="Times New Roman"/>
                <w:color w:val="000000" w:themeColor="text1"/>
                <w:sz w:val="18"/>
                <w:szCs w:val="18"/>
              </w:rPr>
              <w:t>78</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370</w:t>
            </w:r>
          </w:p>
        </w:tc>
        <w:tc>
          <w:tcPr>
            <w:tcW w:w="1752" w:type="dxa"/>
          </w:tcPr>
          <w:p w14:paraId="5D48A793" w14:textId="77777777"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 xml:space="preserve">β=0.350, SE=0.222,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=0.115</w:t>
            </w:r>
          </w:p>
        </w:tc>
        <w:tc>
          <w:tcPr>
            <w:tcW w:w="1752" w:type="dxa"/>
          </w:tcPr>
          <w:p w14:paraId="06A80774" w14:textId="48849CD0"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β=0.3</w:t>
            </w:r>
            <w:r>
              <w:rPr>
                <w:rFonts w:eastAsia="Calibri" w:cs="Times New Roman"/>
                <w:color w:val="000000" w:themeColor="text1"/>
                <w:sz w:val="18"/>
                <w:szCs w:val="18"/>
              </w:rPr>
              <w:t>71</w:t>
            </w:r>
            <w:r w:rsidRPr="007F73AE">
              <w:rPr>
                <w:rFonts w:eastAsia="Calibri" w:cs="Times New Roman"/>
                <w:color w:val="000000" w:themeColor="text1"/>
                <w:sz w:val="18"/>
                <w:szCs w:val="18"/>
              </w:rPr>
              <w:t>, SE=0.</w:t>
            </w:r>
            <w:r>
              <w:rPr>
                <w:rFonts w:eastAsia="Calibri" w:cs="Times New Roman"/>
                <w:color w:val="000000" w:themeColor="text1"/>
                <w:sz w:val="18"/>
                <w:szCs w:val="18"/>
              </w:rPr>
              <w:t>305</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224</w:t>
            </w:r>
          </w:p>
        </w:tc>
      </w:tr>
      <w:tr w:rsidR="00D92C89" w:rsidRPr="007F73AE" w14:paraId="30938B0B" w14:textId="77329F44" w:rsidTr="00D92C89">
        <w:trPr>
          <w:trHeight w:val="415"/>
        </w:trPr>
        <w:tc>
          <w:tcPr>
            <w:tcW w:w="2650" w:type="dxa"/>
          </w:tcPr>
          <w:p w14:paraId="19580F2D" w14:textId="4374001B" w:rsidR="00D92C89" w:rsidRPr="007F73AE" w:rsidRDefault="002F02F7" w:rsidP="00D92C89">
            <w:pPr>
              <w:spacing w:line="276" w:lineRule="auto"/>
              <w:rPr>
                <w:rFonts w:eastAsia="Calibri" w:cs="Times New Roman"/>
                <w:b/>
                <w:bCs/>
                <w:color w:val="000000" w:themeColor="text1"/>
                <w:sz w:val="18"/>
                <w:szCs w:val="18"/>
              </w:rPr>
            </w:pPr>
            <w:r>
              <w:rPr>
                <w:rFonts w:eastAsia="Calibri" w:cs="Times New Roman"/>
                <w:b/>
                <w:bCs/>
                <w:color w:val="000000" w:themeColor="text1"/>
                <w:sz w:val="18"/>
                <w:szCs w:val="18"/>
              </w:rPr>
              <w:t>Confidence in Vowles Rating</w:t>
            </w:r>
          </w:p>
        </w:tc>
        <w:tc>
          <w:tcPr>
            <w:tcW w:w="1752" w:type="dxa"/>
            <w:shd w:val="clear" w:color="auto" w:fill="E8E8E8" w:themeFill="background2"/>
          </w:tcPr>
          <w:p w14:paraId="624ADE9A" w14:textId="77777777" w:rsidR="00D92C89" w:rsidRPr="007F73AE" w:rsidRDefault="00D92C89" w:rsidP="00D92C89">
            <w:pPr>
              <w:spacing w:line="276" w:lineRule="auto"/>
              <w:rPr>
                <w:rFonts w:eastAsia="Calibri" w:cs="Times New Roman"/>
                <w:color w:val="000000" w:themeColor="text1"/>
                <w:sz w:val="18"/>
                <w:szCs w:val="18"/>
              </w:rPr>
            </w:pPr>
          </w:p>
        </w:tc>
        <w:tc>
          <w:tcPr>
            <w:tcW w:w="1752" w:type="dxa"/>
            <w:shd w:val="clear" w:color="auto" w:fill="E8E8E8" w:themeFill="background2"/>
          </w:tcPr>
          <w:p w14:paraId="6D4AAF0E" w14:textId="77777777" w:rsidR="00D92C89" w:rsidRPr="007F73AE" w:rsidRDefault="00D92C89" w:rsidP="00D92C89">
            <w:pPr>
              <w:spacing w:line="276" w:lineRule="auto"/>
              <w:rPr>
                <w:rFonts w:eastAsia="Calibri" w:cs="Times New Roman"/>
                <w:color w:val="000000" w:themeColor="text1"/>
                <w:sz w:val="18"/>
                <w:szCs w:val="18"/>
              </w:rPr>
            </w:pPr>
          </w:p>
        </w:tc>
        <w:tc>
          <w:tcPr>
            <w:tcW w:w="1752" w:type="dxa"/>
          </w:tcPr>
          <w:p w14:paraId="652AA89D" w14:textId="605762E6"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 xml:space="preserve">-0.270, </w:t>
            </w:r>
            <w:r w:rsidRPr="007F73AE">
              <w:rPr>
                <w:rFonts w:eastAsia="Calibri" w:cs="Times New Roman"/>
                <w:color w:val="000000" w:themeColor="text1"/>
                <w:sz w:val="18"/>
                <w:szCs w:val="18"/>
              </w:rPr>
              <w:t>SE=0.2</w:t>
            </w:r>
            <w:r>
              <w:rPr>
                <w:rFonts w:eastAsia="Calibri" w:cs="Times New Roman"/>
                <w:color w:val="000000" w:themeColor="text1"/>
                <w:sz w:val="18"/>
                <w:szCs w:val="18"/>
              </w:rPr>
              <w:t>65</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307</w:t>
            </w:r>
          </w:p>
        </w:tc>
        <w:tc>
          <w:tcPr>
            <w:tcW w:w="1752" w:type="dxa"/>
          </w:tcPr>
          <w:p w14:paraId="6C14E165" w14:textId="02A4AA23"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w:t>
            </w:r>
            <w:r>
              <w:rPr>
                <w:rFonts w:eastAsia="Calibri" w:cs="Times New Roman"/>
                <w:color w:val="000000" w:themeColor="text1"/>
                <w:sz w:val="18"/>
                <w:szCs w:val="18"/>
              </w:rPr>
              <w:t xml:space="preserve">-0.122, </w:t>
            </w:r>
            <w:r w:rsidRPr="007F73AE">
              <w:rPr>
                <w:rFonts w:eastAsia="Calibri" w:cs="Times New Roman"/>
                <w:color w:val="000000" w:themeColor="text1"/>
                <w:sz w:val="18"/>
                <w:szCs w:val="18"/>
              </w:rPr>
              <w:t>SE=0.2</w:t>
            </w:r>
            <w:r>
              <w:rPr>
                <w:rFonts w:eastAsia="Calibri" w:cs="Times New Roman"/>
                <w:color w:val="000000" w:themeColor="text1"/>
                <w:sz w:val="18"/>
                <w:szCs w:val="18"/>
              </w:rPr>
              <w:t>86</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670</w:t>
            </w:r>
          </w:p>
        </w:tc>
      </w:tr>
      <w:tr w:rsidR="00D92C89" w:rsidRPr="007F73AE" w14:paraId="56883224" w14:textId="7817DCE5" w:rsidTr="00D92C89">
        <w:trPr>
          <w:trHeight w:val="415"/>
        </w:trPr>
        <w:tc>
          <w:tcPr>
            <w:tcW w:w="2650" w:type="dxa"/>
          </w:tcPr>
          <w:p w14:paraId="1F9A8B65" w14:textId="77777777" w:rsidR="00D92C89" w:rsidRPr="007F73AE" w:rsidRDefault="00D92C89" w:rsidP="00D92C89">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Age</w:t>
            </w:r>
          </w:p>
        </w:tc>
        <w:tc>
          <w:tcPr>
            <w:tcW w:w="1752" w:type="dxa"/>
            <w:shd w:val="clear" w:color="auto" w:fill="E8E8E8" w:themeFill="background2"/>
          </w:tcPr>
          <w:p w14:paraId="06E262BC" w14:textId="77777777" w:rsidR="00D92C89" w:rsidRPr="007F73AE" w:rsidRDefault="00D92C89" w:rsidP="00D92C89">
            <w:pPr>
              <w:spacing w:line="276" w:lineRule="auto"/>
              <w:rPr>
                <w:rFonts w:eastAsia="Calibri" w:cs="Times New Roman"/>
                <w:color w:val="000000" w:themeColor="text1"/>
                <w:sz w:val="18"/>
                <w:szCs w:val="18"/>
              </w:rPr>
            </w:pPr>
          </w:p>
        </w:tc>
        <w:tc>
          <w:tcPr>
            <w:tcW w:w="1752" w:type="dxa"/>
            <w:shd w:val="clear" w:color="auto" w:fill="E8E8E8" w:themeFill="background2"/>
          </w:tcPr>
          <w:p w14:paraId="35F26CE3" w14:textId="77777777" w:rsidR="00D92C89" w:rsidRPr="007F73AE" w:rsidRDefault="00D92C89" w:rsidP="00D92C89">
            <w:pPr>
              <w:spacing w:line="276" w:lineRule="auto"/>
              <w:rPr>
                <w:rFonts w:eastAsia="Calibri" w:cs="Times New Roman"/>
                <w:color w:val="000000" w:themeColor="text1"/>
                <w:sz w:val="18"/>
                <w:szCs w:val="18"/>
              </w:rPr>
            </w:pPr>
          </w:p>
        </w:tc>
        <w:tc>
          <w:tcPr>
            <w:tcW w:w="1752" w:type="dxa"/>
            <w:shd w:val="clear" w:color="auto" w:fill="E8E8E8" w:themeFill="background2"/>
          </w:tcPr>
          <w:p w14:paraId="304808D9" w14:textId="202F8172" w:rsidR="00D92C89" w:rsidRPr="007F73AE" w:rsidRDefault="00D92C89" w:rsidP="00D92C89">
            <w:pPr>
              <w:spacing w:line="276" w:lineRule="auto"/>
              <w:rPr>
                <w:rFonts w:eastAsia="Calibri" w:cs="Times New Roman"/>
                <w:color w:val="000000" w:themeColor="text1"/>
                <w:sz w:val="18"/>
                <w:szCs w:val="18"/>
              </w:rPr>
            </w:pPr>
          </w:p>
        </w:tc>
        <w:tc>
          <w:tcPr>
            <w:tcW w:w="1752" w:type="dxa"/>
          </w:tcPr>
          <w:p w14:paraId="46822B1C" w14:textId="2EC3515E"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β=-0.00</w:t>
            </w:r>
            <w:r>
              <w:rPr>
                <w:rFonts w:eastAsia="Calibri" w:cs="Times New Roman"/>
                <w:color w:val="000000" w:themeColor="text1"/>
                <w:sz w:val="18"/>
                <w:szCs w:val="18"/>
              </w:rPr>
              <w:t>3</w:t>
            </w:r>
            <w:r w:rsidRPr="007F73AE">
              <w:rPr>
                <w:rFonts w:eastAsia="Calibri" w:cs="Times New Roman"/>
                <w:color w:val="000000" w:themeColor="text1"/>
                <w:sz w:val="18"/>
                <w:szCs w:val="18"/>
              </w:rPr>
              <w:t>, SE=0.02</w:t>
            </w:r>
            <w:r>
              <w:rPr>
                <w:rFonts w:eastAsia="Calibri" w:cs="Times New Roman"/>
                <w:color w:val="000000" w:themeColor="text1"/>
                <w:sz w:val="18"/>
                <w:szCs w:val="18"/>
              </w:rPr>
              <w:t>7</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907</w:t>
            </w:r>
          </w:p>
        </w:tc>
      </w:tr>
      <w:tr w:rsidR="00D92C89" w:rsidRPr="007F73AE" w14:paraId="44E5D59E" w14:textId="0ABCBCFF" w:rsidTr="00D92C89">
        <w:trPr>
          <w:trHeight w:val="415"/>
        </w:trPr>
        <w:tc>
          <w:tcPr>
            <w:tcW w:w="2650" w:type="dxa"/>
          </w:tcPr>
          <w:p w14:paraId="41F86997" w14:textId="2CD1F5C9" w:rsidR="00D92C89" w:rsidRPr="007F73AE" w:rsidRDefault="00D92C89" w:rsidP="00D92C89">
            <w:pPr>
              <w:spacing w:line="276" w:lineRule="auto"/>
              <w:rPr>
                <w:rFonts w:eastAsia="Calibri" w:cs="Times New Roman"/>
                <w:b/>
                <w:bCs/>
                <w:color w:val="000000" w:themeColor="text1"/>
                <w:sz w:val="18"/>
                <w:szCs w:val="18"/>
              </w:rPr>
            </w:pPr>
            <w:r>
              <w:rPr>
                <w:rFonts w:eastAsia="Calibri" w:cs="Times New Roman"/>
                <w:b/>
                <w:bCs/>
                <w:color w:val="000000" w:themeColor="text1"/>
                <w:sz w:val="18"/>
                <w:szCs w:val="18"/>
              </w:rPr>
              <w:t>Experience of using s.37/45A professionally</w:t>
            </w:r>
          </w:p>
        </w:tc>
        <w:tc>
          <w:tcPr>
            <w:tcW w:w="1752" w:type="dxa"/>
            <w:shd w:val="clear" w:color="auto" w:fill="E8E8E8" w:themeFill="background2"/>
          </w:tcPr>
          <w:p w14:paraId="71F7AFE0" w14:textId="77777777" w:rsidR="00D92C89" w:rsidRPr="007F73AE" w:rsidRDefault="00D92C89" w:rsidP="00D92C89">
            <w:pPr>
              <w:spacing w:line="276" w:lineRule="auto"/>
              <w:rPr>
                <w:rFonts w:eastAsia="Calibri" w:cs="Times New Roman"/>
                <w:color w:val="000000" w:themeColor="text1"/>
                <w:sz w:val="18"/>
                <w:szCs w:val="18"/>
              </w:rPr>
            </w:pPr>
          </w:p>
        </w:tc>
        <w:tc>
          <w:tcPr>
            <w:tcW w:w="1752" w:type="dxa"/>
            <w:shd w:val="clear" w:color="auto" w:fill="E8E8E8" w:themeFill="background2"/>
          </w:tcPr>
          <w:p w14:paraId="46232567" w14:textId="77777777" w:rsidR="00D92C89" w:rsidRPr="007F73AE" w:rsidRDefault="00D92C89" w:rsidP="00D92C89">
            <w:pPr>
              <w:spacing w:line="276" w:lineRule="auto"/>
              <w:rPr>
                <w:rFonts w:eastAsia="Calibri" w:cs="Times New Roman"/>
                <w:color w:val="000000" w:themeColor="text1"/>
                <w:sz w:val="18"/>
                <w:szCs w:val="18"/>
              </w:rPr>
            </w:pPr>
          </w:p>
        </w:tc>
        <w:tc>
          <w:tcPr>
            <w:tcW w:w="1752" w:type="dxa"/>
            <w:shd w:val="clear" w:color="auto" w:fill="E8E8E8" w:themeFill="background2"/>
          </w:tcPr>
          <w:p w14:paraId="4D5EB22A" w14:textId="5985A849" w:rsidR="00D92C89" w:rsidRPr="007F73AE" w:rsidRDefault="00D92C89" w:rsidP="00D92C89">
            <w:pPr>
              <w:spacing w:line="276" w:lineRule="auto"/>
              <w:rPr>
                <w:rFonts w:eastAsia="Calibri" w:cs="Times New Roman"/>
                <w:color w:val="000000" w:themeColor="text1"/>
                <w:sz w:val="18"/>
                <w:szCs w:val="18"/>
              </w:rPr>
            </w:pPr>
          </w:p>
        </w:tc>
        <w:tc>
          <w:tcPr>
            <w:tcW w:w="1752" w:type="dxa"/>
          </w:tcPr>
          <w:p w14:paraId="05AB44BA" w14:textId="018D4BD1"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β=-0.</w:t>
            </w:r>
            <w:r>
              <w:rPr>
                <w:rFonts w:eastAsia="Calibri" w:cs="Times New Roman"/>
                <w:color w:val="000000" w:themeColor="text1"/>
                <w:sz w:val="18"/>
                <w:szCs w:val="18"/>
              </w:rPr>
              <w:t>273</w:t>
            </w:r>
            <w:r w:rsidRPr="007F73AE">
              <w:rPr>
                <w:rFonts w:eastAsia="Calibri" w:cs="Times New Roman"/>
                <w:color w:val="000000" w:themeColor="text1"/>
                <w:sz w:val="18"/>
                <w:szCs w:val="18"/>
              </w:rPr>
              <w:t>, SE=0.</w:t>
            </w:r>
            <w:r>
              <w:rPr>
                <w:rFonts w:eastAsia="Calibri" w:cs="Times New Roman"/>
                <w:color w:val="000000" w:themeColor="text1"/>
                <w:sz w:val="18"/>
                <w:szCs w:val="18"/>
              </w:rPr>
              <w:t>508</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=0.5</w:t>
            </w:r>
            <w:r>
              <w:rPr>
                <w:rFonts w:eastAsia="Calibri" w:cs="Times New Roman"/>
                <w:color w:val="000000" w:themeColor="text1"/>
                <w:sz w:val="18"/>
                <w:szCs w:val="18"/>
              </w:rPr>
              <w:t>9</w:t>
            </w:r>
            <w:r w:rsidRPr="007F73AE">
              <w:rPr>
                <w:rFonts w:eastAsia="Calibri" w:cs="Times New Roman"/>
                <w:color w:val="000000" w:themeColor="text1"/>
                <w:sz w:val="18"/>
                <w:szCs w:val="18"/>
              </w:rPr>
              <w:t>2</w:t>
            </w:r>
          </w:p>
        </w:tc>
      </w:tr>
      <w:tr w:rsidR="00D92C89" w:rsidRPr="007F73AE" w14:paraId="20F1C803" w14:textId="16784EFE" w:rsidTr="00D92C89">
        <w:trPr>
          <w:trHeight w:val="415"/>
        </w:trPr>
        <w:tc>
          <w:tcPr>
            <w:tcW w:w="2650" w:type="dxa"/>
          </w:tcPr>
          <w:p w14:paraId="4040D881" w14:textId="3F650A5E" w:rsidR="00D92C89" w:rsidRPr="007F73AE" w:rsidRDefault="00D92C89" w:rsidP="00D92C89">
            <w:pPr>
              <w:spacing w:line="276" w:lineRule="auto"/>
              <w:rPr>
                <w:rFonts w:eastAsia="Calibri" w:cs="Times New Roman"/>
                <w:b/>
                <w:bCs/>
                <w:color w:val="000000" w:themeColor="text1"/>
                <w:sz w:val="18"/>
                <w:szCs w:val="18"/>
              </w:rPr>
            </w:pPr>
            <w:r w:rsidRPr="007F73AE">
              <w:rPr>
                <w:rFonts w:eastAsia="Calibri" w:cs="Times New Roman"/>
                <w:b/>
                <w:bCs/>
                <w:color w:val="000000" w:themeColor="text1"/>
                <w:sz w:val="18"/>
                <w:szCs w:val="18"/>
              </w:rPr>
              <w:t>Gender</w:t>
            </w:r>
            <w:r>
              <w:rPr>
                <w:rFonts w:eastAsia="Calibri" w:cs="Times New Roman"/>
                <w:b/>
                <w:bCs/>
                <w:color w:val="000000" w:themeColor="text1"/>
                <w:sz w:val="18"/>
                <w:szCs w:val="18"/>
              </w:rPr>
              <w:t xml:space="preserve"> (Binary coded: female vs male + ‘other’)</w:t>
            </w:r>
          </w:p>
        </w:tc>
        <w:tc>
          <w:tcPr>
            <w:tcW w:w="1752" w:type="dxa"/>
            <w:shd w:val="clear" w:color="auto" w:fill="E8E8E8" w:themeFill="background2"/>
          </w:tcPr>
          <w:p w14:paraId="12BE98FE" w14:textId="77777777" w:rsidR="00D92C89" w:rsidRPr="007F73AE" w:rsidRDefault="00D92C89" w:rsidP="00D92C89">
            <w:pPr>
              <w:spacing w:line="276" w:lineRule="auto"/>
              <w:rPr>
                <w:rFonts w:eastAsia="Calibri" w:cs="Times New Roman"/>
                <w:color w:val="000000" w:themeColor="text1"/>
                <w:sz w:val="18"/>
                <w:szCs w:val="18"/>
              </w:rPr>
            </w:pPr>
          </w:p>
        </w:tc>
        <w:tc>
          <w:tcPr>
            <w:tcW w:w="1752" w:type="dxa"/>
            <w:shd w:val="clear" w:color="auto" w:fill="E8E8E8" w:themeFill="background2"/>
          </w:tcPr>
          <w:p w14:paraId="350010BB" w14:textId="77777777" w:rsidR="00D92C89" w:rsidRPr="007F73AE" w:rsidRDefault="00D92C89" w:rsidP="00D92C89">
            <w:pPr>
              <w:spacing w:line="276" w:lineRule="auto"/>
              <w:rPr>
                <w:rFonts w:eastAsia="Calibri" w:cs="Times New Roman"/>
                <w:color w:val="000000" w:themeColor="text1"/>
                <w:sz w:val="18"/>
                <w:szCs w:val="18"/>
              </w:rPr>
            </w:pPr>
          </w:p>
        </w:tc>
        <w:tc>
          <w:tcPr>
            <w:tcW w:w="1752" w:type="dxa"/>
            <w:shd w:val="clear" w:color="auto" w:fill="E8E8E8" w:themeFill="background2"/>
          </w:tcPr>
          <w:p w14:paraId="5E8EA236" w14:textId="7795E95C" w:rsidR="00D92C89" w:rsidRPr="007F73AE" w:rsidRDefault="00D92C89" w:rsidP="00D92C89">
            <w:pPr>
              <w:spacing w:line="276" w:lineRule="auto"/>
              <w:rPr>
                <w:rFonts w:eastAsia="Calibri" w:cs="Times New Roman"/>
                <w:color w:val="000000" w:themeColor="text1"/>
                <w:sz w:val="18"/>
                <w:szCs w:val="18"/>
              </w:rPr>
            </w:pPr>
          </w:p>
        </w:tc>
        <w:tc>
          <w:tcPr>
            <w:tcW w:w="1752" w:type="dxa"/>
          </w:tcPr>
          <w:p w14:paraId="207B1B53" w14:textId="77639CC2" w:rsidR="00D92C89" w:rsidRPr="007F73AE" w:rsidRDefault="00D92C89" w:rsidP="00D92C89">
            <w:pPr>
              <w:spacing w:line="276" w:lineRule="auto"/>
              <w:rPr>
                <w:rFonts w:eastAsia="Calibri" w:cs="Times New Roman"/>
                <w:color w:val="000000" w:themeColor="text1"/>
                <w:sz w:val="18"/>
                <w:szCs w:val="18"/>
              </w:rPr>
            </w:pPr>
            <w:r w:rsidRPr="007F73AE">
              <w:rPr>
                <w:rFonts w:eastAsia="Calibri" w:cs="Times New Roman"/>
                <w:color w:val="000000" w:themeColor="text1"/>
                <w:sz w:val="18"/>
                <w:szCs w:val="18"/>
              </w:rPr>
              <w:t>β=-0</w:t>
            </w:r>
            <w:r>
              <w:rPr>
                <w:rFonts w:eastAsia="Calibri" w:cs="Times New Roman"/>
                <w:color w:val="000000" w:themeColor="text1"/>
                <w:sz w:val="18"/>
                <w:szCs w:val="18"/>
              </w:rPr>
              <w:t>.973</w:t>
            </w:r>
            <w:r w:rsidRPr="007F73AE">
              <w:rPr>
                <w:rFonts w:eastAsia="Calibri" w:cs="Times New Roman"/>
                <w:color w:val="000000" w:themeColor="text1"/>
                <w:sz w:val="18"/>
                <w:szCs w:val="18"/>
              </w:rPr>
              <w:t>, SE=0.5</w:t>
            </w:r>
            <w:r>
              <w:rPr>
                <w:rFonts w:eastAsia="Calibri" w:cs="Times New Roman"/>
                <w:color w:val="000000" w:themeColor="text1"/>
                <w:sz w:val="18"/>
                <w:szCs w:val="18"/>
              </w:rPr>
              <w:t>25</w:t>
            </w:r>
            <w:r w:rsidRPr="007F73AE">
              <w:rPr>
                <w:rFonts w:eastAsia="Calibri" w:cs="Times New Roman"/>
                <w:color w:val="000000" w:themeColor="text1"/>
                <w:sz w:val="18"/>
                <w:szCs w:val="18"/>
              </w:rPr>
              <w:t xml:space="preserve">, </w:t>
            </w:r>
            <w:r w:rsidRPr="007F73AE">
              <w:rPr>
                <w:rFonts w:eastAsia="Calibri" w:cs="Times New Roman"/>
                <w:i/>
                <w:iCs/>
                <w:color w:val="000000" w:themeColor="text1"/>
                <w:sz w:val="18"/>
                <w:szCs w:val="18"/>
              </w:rPr>
              <w:t>p</w:t>
            </w:r>
            <w:r w:rsidRPr="007F73AE">
              <w:rPr>
                <w:rFonts w:eastAsia="Calibri" w:cs="Times New Roman"/>
                <w:color w:val="000000" w:themeColor="text1"/>
                <w:sz w:val="18"/>
                <w:szCs w:val="18"/>
              </w:rPr>
              <w:t>=0.</w:t>
            </w:r>
            <w:r>
              <w:rPr>
                <w:rFonts w:eastAsia="Calibri" w:cs="Times New Roman"/>
                <w:color w:val="000000" w:themeColor="text1"/>
                <w:sz w:val="18"/>
                <w:szCs w:val="18"/>
              </w:rPr>
              <w:t>064</w:t>
            </w:r>
          </w:p>
        </w:tc>
      </w:tr>
    </w:tbl>
    <w:p w14:paraId="7692DF1F" w14:textId="77777777" w:rsidR="005453D1" w:rsidRDefault="005453D1" w:rsidP="005453D1">
      <w:pPr>
        <w:spacing w:line="360" w:lineRule="auto"/>
        <w:rPr>
          <w:sz w:val="18"/>
          <w:szCs w:val="18"/>
        </w:rPr>
      </w:pPr>
    </w:p>
    <w:p w14:paraId="1419C05D" w14:textId="4495152E" w:rsidR="002F02F7" w:rsidRDefault="009D3F3E" w:rsidP="00A57ED8">
      <w:pPr>
        <w:pStyle w:val="Heading2"/>
        <w:spacing w:line="276" w:lineRule="auto"/>
      </w:pPr>
      <w:r>
        <w:lastRenderedPageBreak/>
        <w:t xml:space="preserve">Linear Regressions </w:t>
      </w:r>
      <w:r w:rsidR="00725C5F">
        <w:t xml:space="preserve"> </w:t>
      </w:r>
    </w:p>
    <w:p w14:paraId="1AC397B4" w14:textId="164A8F6D" w:rsidR="005B021A" w:rsidRDefault="0067283D" w:rsidP="00A57ED8">
      <w:pPr>
        <w:spacing w:line="276" w:lineRule="auto"/>
      </w:pPr>
      <w:r>
        <w:t xml:space="preserve">As a sensitivity analysis, we conducted linear regressions </w:t>
      </w:r>
      <w:r w:rsidR="002E4B58">
        <w:t xml:space="preserve">using </w:t>
      </w:r>
      <w:r w:rsidR="005D4FC1">
        <w:t xml:space="preserve">each of </w:t>
      </w:r>
      <w:r w:rsidR="002E4B58">
        <w:t>the ‘likelihood’ variables as the dependent variable</w:t>
      </w:r>
      <w:r w:rsidR="00622286">
        <w:t xml:space="preserve">. The full output is included </w:t>
      </w:r>
      <w:r w:rsidR="00622286" w:rsidRPr="00732AC3">
        <w:t>in</w:t>
      </w:r>
      <w:r w:rsidR="00882B7A" w:rsidRPr="00732AC3">
        <w:t xml:space="preserve"> </w:t>
      </w:r>
      <w:r w:rsidR="00281253" w:rsidRPr="00732AC3">
        <w:rPr>
          <w:b/>
          <w:bCs/>
        </w:rPr>
        <w:t xml:space="preserve">OSF Appendix </w:t>
      </w:r>
      <w:r w:rsidR="00E109DB" w:rsidRPr="00732AC3">
        <w:rPr>
          <w:b/>
          <w:bCs/>
        </w:rPr>
        <w:t>5</w:t>
      </w:r>
      <w:r w:rsidR="00622286">
        <w:t xml:space="preserve"> but described here</w:t>
      </w:r>
      <w:r w:rsidR="002E4B58">
        <w:t>.</w:t>
      </w:r>
      <w:r w:rsidR="005D4FC1">
        <w:t xml:space="preserve"> These were </w:t>
      </w:r>
      <w:r w:rsidR="00A249E9">
        <w:t>constructed</w:t>
      </w:r>
      <w:r w:rsidR="005D4FC1">
        <w:t xml:space="preserve"> in a broadly similar pattern to the logistic regressions, except to </w:t>
      </w:r>
      <w:r w:rsidR="00BC4F93">
        <w:t xml:space="preserve">reduce the number of variables being entered we did not enter demographic variables in a final additional step. </w:t>
      </w:r>
      <w:r w:rsidR="00AB0D12">
        <w:t>These analyses demonstrated that:</w:t>
      </w:r>
    </w:p>
    <w:p w14:paraId="37186FA4" w14:textId="3EF590F6" w:rsidR="00974C8A" w:rsidRDefault="00AB0D12" w:rsidP="00A57ED8">
      <w:pPr>
        <w:pStyle w:val="ListParagraph"/>
        <w:numPr>
          <w:ilvl w:val="0"/>
          <w:numId w:val="39"/>
        </w:numPr>
        <w:spacing w:line="276" w:lineRule="auto"/>
      </w:pPr>
      <w:r>
        <w:t>‘condition’ was not important in predicting likelihood of prison sentence or likelihood of hospital order, but it was a significant predictor in relation to the hybrid order</w:t>
      </w:r>
      <w:r w:rsidR="00486A87">
        <w:t xml:space="preserve">, with a direction of effect suggesting a higher likelihood of </w:t>
      </w:r>
      <w:r w:rsidR="007C0B27">
        <w:t>a hybrid order in the schizophrenia condition</w:t>
      </w:r>
      <w:r>
        <w:t xml:space="preserve">. </w:t>
      </w:r>
      <w:r w:rsidR="008D3343">
        <w:t xml:space="preserve">This is consistent with the t-tests </w:t>
      </w:r>
      <w:r w:rsidR="008D3343" w:rsidRPr="008D3343">
        <w:t xml:space="preserve">in </w:t>
      </w:r>
      <w:r w:rsidR="008D3343" w:rsidRPr="008D3343">
        <w:fldChar w:fldCharType="begin"/>
      </w:r>
      <w:r w:rsidR="008D3343" w:rsidRPr="008D3343">
        <w:instrText xml:space="preserve"> REF _Ref202989614 \h  \* MERGEFORMAT </w:instrText>
      </w:r>
      <w:r w:rsidR="008D3343" w:rsidRPr="008D3343">
        <w:fldChar w:fldCharType="separate"/>
      </w:r>
      <w:r w:rsidR="008D3343" w:rsidRPr="008D3343">
        <w:t xml:space="preserve">Table </w:t>
      </w:r>
      <w:r w:rsidR="008D3343" w:rsidRPr="008D3343">
        <w:rPr>
          <w:noProof/>
        </w:rPr>
        <w:t>4</w:t>
      </w:r>
      <w:r w:rsidR="008D3343" w:rsidRPr="008D3343">
        <w:fldChar w:fldCharType="end"/>
      </w:r>
      <w:r w:rsidR="008D3343" w:rsidRPr="008D3343">
        <w:t>.</w:t>
      </w:r>
      <w:r w:rsidR="007C0B27">
        <w:t xml:space="preserve"> However, it must be noted that this was associated with a very small effect size in the overall mode</w:t>
      </w:r>
      <w:r w:rsidR="00974C8A">
        <w:t>l.</w:t>
      </w:r>
      <w:r w:rsidR="00C15131">
        <w:t xml:space="preserve"> The effect of condition remained significant after all the other variables were controlled for. </w:t>
      </w:r>
    </w:p>
    <w:p w14:paraId="6E24962F" w14:textId="456CF4CE" w:rsidR="00974C8A" w:rsidRDefault="00C15131" w:rsidP="00A57ED8">
      <w:pPr>
        <w:pStyle w:val="ListParagraph"/>
        <w:numPr>
          <w:ilvl w:val="0"/>
          <w:numId w:val="39"/>
        </w:numPr>
        <w:spacing w:line="276" w:lineRule="auto"/>
      </w:pPr>
      <w:r>
        <w:t>The Vowles statements were important in prediction of likelihood</w:t>
      </w:r>
      <w:r w:rsidR="002D7134">
        <w:t>,</w:t>
      </w:r>
      <w:r>
        <w:t xml:space="preserve"> but in different ways. </w:t>
      </w:r>
      <w:r w:rsidR="00BB242E">
        <w:t xml:space="preserve">Vowles 2 and 3 were important predictors </w:t>
      </w:r>
      <w:r w:rsidR="00134BAD">
        <w:t xml:space="preserve">of likelihood of all types of </w:t>
      </w:r>
      <w:proofErr w:type="gramStart"/>
      <w:r w:rsidR="00134BAD">
        <w:t>sentence</w:t>
      </w:r>
      <w:proofErr w:type="gramEnd"/>
      <w:r w:rsidR="00134BAD">
        <w:t xml:space="preserve">. Vowles 1 (Requires Treatment) was important in predicting the likelihood of a hospital order, marginally important in a hybrid order, and not important in predicting the likelihood of a prison sentence. </w:t>
      </w:r>
      <w:r w:rsidR="00326C7F">
        <w:t xml:space="preserve">Vowles 4 was relevant in predicting the likelihood of a prison sentence, but not a hospital order nor a hybrid order. </w:t>
      </w:r>
      <w:r w:rsidR="00293394">
        <w:t xml:space="preserve">When considered alongside the findings from the logistic regression, this suggests that </w:t>
      </w:r>
      <w:proofErr w:type="gramStart"/>
      <w:r w:rsidR="00293394">
        <w:t>all of</w:t>
      </w:r>
      <w:proofErr w:type="gramEnd"/>
      <w:r w:rsidR="00293394">
        <w:t xml:space="preserve"> the Vowles statements may be </w:t>
      </w:r>
      <w:r w:rsidR="008D6E7C">
        <w:t>relevant to</w:t>
      </w:r>
      <w:r w:rsidR="00293394">
        <w:t xml:space="preserve"> attitudes towards the different sentencing options, but that only Vowles 3 shows a consistent and clear effect of </w:t>
      </w:r>
      <w:proofErr w:type="gramStart"/>
      <w:r w:rsidR="00293394">
        <w:t>actually being</w:t>
      </w:r>
      <w:proofErr w:type="gramEnd"/>
      <w:r w:rsidR="00293394">
        <w:t xml:space="preserve"> associated with change in the overall final decision.  </w:t>
      </w:r>
    </w:p>
    <w:p w14:paraId="0517AA91" w14:textId="4A22C645" w:rsidR="0064784B" w:rsidRDefault="0064784B" w:rsidP="00A57ED8">
      <w:pPr>
        <w:pStyle w:val="ListParagraph"/>
        <w:numPr>
          <w:ilvl w:val="0"/>
          <w:numId w:val="39"/>
        </w:numPr>
        <w:spacing w:line="276" w:lineRule="auto"/>
      </w:pPr>
      <w:r>
        <w:t xml:space="preserve">Adding in the confidence accorded to the Vowles ratings changed little in the model. It was not a significant independent predictor for any of the dependent variables. </w:t>
      </w:r>
    </w:p>
    <w:p w14:paraId="2FCA1EE2" w14:textId="77777777" w:rsidR="002E4B58" w:rsidRPr="0067283D" w:rsidRDefault="002E4B58" w:rsidP="0067283D"/>
    <w:p w14:paraId="5960D4BD" w14:textId="77777777" w:rsidR="000C11E0" w:rsidRPr="0039572D" w:rsidRDefault="000C11E0" w:rsidP="000C11E0">
      <w:pPr>
        <w:spacing w:line="480" w:lineRule="auto"/>
        <w:jc w:val="center"/>
        <w:rPr>
          <w:rFonts w:cs="Times New Roman"/>
          <w:b/>
          <w:bCs/>
          <w:sz w:val="24"/>
          <w:szCs w:val="24"/>
        </w:rPr>
      </w:pPr>
    </w:p>
    <w:p w14:paraId="72CE4BD8" w14:textId="77777777" w:rsidR="000C11E0" w:rsidRDefault="000C11E0" w:rsidP="000C11E0">
      <w:pPr>
        <w:pStyle w:val="Heading2"/>
        <w:rPr>
          <w:rFonts w:asciiTheme="minorHAnsi" w:hAnsiTheme="minorHAnsi"/>
        </w:rPr>
      </w:pPr>
      <w:bookmarkStart w:id="17" w:name="_Toc166251406"/>
      <w:r w:rsidRPr="0039572D">
        <w:rPr>
          <w:rFonts w:asciiTheme="minorHAnsi" w:hAnsiTheme="minorHAnsi"/>
        </w:rPr>
        <w:t>Discussion</w:t>
      </w:r>
      <w:bookmarkEnd w:id="17"/>
    </w:p>
    <w:p w14:paraId="4392CAC3" w14:textId="77777777" w:rsidR="00EC7D77" w:rsidRPr="00EC7D77" w:rsidRDefault="00EC7D77" w:rsidP="00EC7D77"/>
    <w:p w14:paraId="45630C86" w14:textId="00BBD811" w:rsidR="00751FB6" w:rsidRDefault="00EC7D77" w:rsidP="00EC7D77">
      <w:pPr>
        <w:pStyle w:val="Heading3"/>
        <w:rPr>
          <w:rFonts w:eastAsia="Times New Roman"/>
          <w:lang w:eastAsia="en-GB"/>
        </w:rPr>
      </w:pPr>
      <w:r>
        <w:rPr>
          <w:rFonts w:eastAsia="Times New Roman"/>
          <w:lang w:eastAsia="en-GB"/>
        </w:rPr>
        <w:t>Summary of Main Findings</w:t>
      </w:r>
    </w:p>
    <w:p w14:paraId="1B046A1B" w14:textId="169B3B8D" w:rsidR="00EC7D77" w:rsidRDefault="009C17F1" w:rsidP="00EC7D77">
      <w:pPr>
        <w:rPr>
          <w:lang w:eastAsia="en-GB"/>
        </w:rPr>
      </w:pPr>
      <w:r>
        <w:rPr>
          <w:lang w:eastAsia="en-GB"/>
        </w:rPr>
        <w:t>The main findings from the study are presently summarised in relation to each of the research questions.</w:t>
      </w:r>
    </w:p>
    <w:p w14:paraId="5A9C443C" w14:textId="77777777" w:rsidR="009C17F1" w:rsidRDefault="009C17F1" w:rsidP="00EC7D77">
      <w:pPr>
        <w:rPr>
          <w:lang w:eastAsia="en-GB"/>
        </w:rPr>
      </w:pPr>
    </w:p>
    <w:p w14:paraId="6F56B8B6" w14:textId="19CCC510" w:rsidR="009C17F1" w:rsidRDefault="007A721B" w:rsidP="009C17F1">
      <w:pPr>
        <w:pStyle w:val="Heading4"/>
        <w:rPr>
          <w:lang w:eastAsia="en-GB"/>
        </w:rPr>
      </w:pPr>
      <w:r>
        <w:rPr>
          <w:lang w:eastAsia="en-GB"/>
        </w:rPr>
        <w:t>RQ1: Agreement towards and relationships between Vowles statements</w:t>
      </w:r>
    </w:p>
    <w:p w14:paraId="7EEF6BD7" w14:textId="77777777" w:rsidR="00882B7A" w:rsidRDefault="00882B7A" w:rsidP="007A721B">
      <w:pPr>
        <w:rPr>
          <w:lang w:eastAsia="en-GB"/>
        </w:rPr>
      </w:pPr>
    </w:p>
    <w:p w14:paraId="54E0D22E" w14:textId="51532CED" w:rsidR="007A721B" w:rsidRDefault="007A721B" w:rsidP="007A721B">
      <w:pPr>
        <w:rPr>
          <w:lang w:eastAsia="en-GB"/>
        </w:rPr>
      </w:pPr>
      <w:r>
        <w:rPr>
          <w:lang w:eastAsia="en-GB"/>
        </w:rPr>
        <w:t>In interpreting this question, it must be reiterated that, apart from the manipulation on diagnosis, all proxy judges received the same materials</w:t>
      </w:r>
      <w:r w:rsidR="008F0B4D">
        <w:rPr>
          <w:lang w:eastAsia="en-GB"/>
        </w:rPr>
        <w:t>;</w:t>
      </w:r>
      <w:r w:rsidR="00390C84">
        <w:rPr>
          <w:lang w:eastAsia="en-GB"/>
        </w:rPr>
        <w:t xml:space="preserve"> the evidence, offence, and purported relationship between the offence and the person’s mental health condition were identical. </w:t>
      </w:r>
      <w:r w:rsidR="00141BA0">
        <w:rPr>
          <w:lang w:eastAsia="en-GB"/>
        </w:rPr>
        <w:t xml:space="preserve">Yet, as with Baldwin et al (2025) we found notable </w:t>
      </w:r>
      <w:r w:rsidR="00A57ED8">
        <w:rPr>
          <w:lang w:eastAsia="en-GB"/>
        </w:rPr>
        <w:t xml:space="preserve">between-judge </w:t>
      </w:r>
      <w:r w:rsidR="00141BA0">
        <w:rPr>
          <w:lang w:eastAsia="en-GB"/>
        </w:rPr>
        <w:t xml:space="preserve">variation in agreement with all four of the Vowles statements. For </w:t>
      </w:r>
      <w:proofErr w:type="gramStart"/>
      <w:r w:rsidR="00141BA0">
        <w:rPr>
          <w:lang w:eastAsia="en-GB"/>
        </w:rPr>
        <w:t>all of</w:t>
      </w:r>
      <w:proofErr w:type="gramEnd"/>
      <w:r w:rsidR="00141BA0">
        <w:rPr>
          <w:lang w:eastAsia="en-GB"/>
        </w:rPr>
        <w:t xml:space="preserve"> the Vowles statements there was an overall trend towards agreement, </w:t>
      </w:r>
      <w:r w:rsidR="00465C3B">
        <w:rPr>
          <w:lang w:eastAsia="en-GB"/>
        </w:rPr>
        <w:t xml:space="preserve">with the most evidence for disagreement occurring in relation to Vowles 2 (the </w:t>
      </w:r>
      <w:r w:rsidR="00D9115D">
        <w:rPr>
          <w:lang w:eastAsia="en-GB"/>
        </w:rPr>
        <w:t xml:space="preserve">perceived relationship between the person’s offence and mental health condition) and </w:t>
      </w:r>
      <w:r w:rsidR="00D9115D">
        <w:rPr>
          <w:lang w:eastAsia="en-GB"/>
        </w:rPr>
        <w:lastRenderedPageBreak/>
        <w:t xml:space="preserve">Vowles 3 (the need for punishment). This, combined with a clear trend towards mid-point answers </w:t>
      </w:r>
      <w:r w:rsidR="00C33706">
        <w:rPr>
          <w:lang w:eastAsia="en-GB"/>
        </w:rPr>
        <w:t>on the Vowles statement</w:t>
      </w:r>
      <w:r w:rsidR="00E47FDC">
        <w:rPr>
          <w:lang w:eastAsia="en-GB"/>
        </w:rPr>
        <w:t>s</w:t>
      </w:r>
      <w:r w:rsidR="00C33706">
        <w:rPr>
          <w:lang w:eastAsia="en-GB"/>
        </w:rPr>
        <w:t xml:space="preserve"> and associated confidence ratings suggests that, overall, judges </w:t>
      </w:r>
      <w:r w:rsidR="00A57ED8">
        <w:rPr>
          <w:lang w:eastAsia="en-GB"/>
        </w:rPr>
        <w:t>had some level of uncertainty</w:t>
      </w:r>
      <w:r w:rsidR="00C33706">
        <w:rPr>
          <w:lang w:eastAsia="en-GB"/>
        </w:rPr>
        <w:t xml:space="preserve"> about the</w:t>
      </w:r>
      <w:r w:rsidR="00E47FDC">
        <w:rPr>
          <w:lang w:eastAsia="en-GB"/>
        </w:rPr>
        <w:t>se</w:t>
      </w:r>
      <w:r w:rsidR="00C33706">
        <w:rPr>
          <w:lang w:eastAsia="en-GB"/>
        </w:rPr>
        <w:t xml:space="preserve"> judgements</w:t>
      </w:r>
      <w:r w:rsidR="00E47FDC">
        <w:rPr>
          <w:lang w:eastAsia="en-GB"/>
        </w:rPr>
        <w:t>.</w:t>
      </w:r>
    </w:p>
    <w:p w14:paraId="3E498857" w14:textId="77777777" w:rsidR="00C33706" w:rsidRDefault="00C33706" w:rsidP="007A721B">
      <w:pPr>
        <w:rPr>
          <w:lang w:eastAsia="en-GB"/>
        </w:rPr>
      </w:pPr>
    </w:p>
    <w:p w14:paraId="59F52D26" w14:textId="67DCAF62" w:rsidR="0030103C" w:rsidRDefault="00C33706" w:rsidP="0052186B">
      <w:pPr>
        <w:rPr>
          <w:rFonts w:eastAsia="Times New Roman" w:cs="Times New Roman"/>
          <w:lang w:eastAsia="en-GB"/>
        </w:rPr>
      </w:pPr>
      <w:r>
        <w:rPr>
          <w:lang w:eastAsia="en-GB"/>
        </w:rPr>
        <w:t xml:space="preserve">In relation to relationships between the Vowles statements, </w:t>
      </w:r>
      <w:r w:rsidR="00A47346">
        <w:rPr>
          <w:lang w:eastAsia="en-GB"/>
        </w:rPr>
        <w:t xml:space="preserve">the picture was mixed. There was no evidence for a general relationship between the </w:t>
      </w:r>
      <w:r w:rsidR="000C1F58">
        <w:rPr>
          <w:lang w:eastAsia="en-GB"/>
        </w:rPr>
        <w:t xml:space="preserve">four </w:t>
      </w:r>
      <w:r w:rsidR="00A47346">
        <w:rPr>
          <w:lang w:eastAsia="en-GB"/>
        </w:rPr>
        <w:t xml:space="preserve">Vowles statements, suggesting that they are </w:t>
      </w:r>
      <w:r w:rsidR="00CA6C93">
        <w:rPr>
          <w:lang w:eastAsia="en-GB"/>
        </w:rPr>
        <w:t xml:space="preserve">overall measuring </w:t>
      </w:r>
      <w:r w:rsidR="000C1F58">
        <w:rPr>
          <w:lang w:eastAsia="en-GB"/>
        </w:rPr>
        <w:t xml:space="preserve">somewhat </w:t>
      </w:r>
      <w:r w:rsidR="00CA6C93">
        <w:rPr>
          <w:lang w:eastAsia="en-GB"/>
        </w:rPr>
        <w:t>different constructs.</w:t>
      </w:r>
      <w:r w:rsidR="006C02D6">
        <w:rPr>
          <w:lang w:eastAsia="en-GB"/>
        </w:rPr>
        <w:t xml:space="preserve"> </w:t>
      </w:r>
      <w:r w:rsidR="00B55A93">
        <w:rPr>
          <w:lang w:eastAsia="en-GB"/>
        </w:rPr>
        <w:t>Overall, t</w:t>
      </w:r>
      <w:r w:rsidR="006C02D6">
        <w:rPr>
          <w:lang w:eastAsia="en-GB"/>
        </w:rPr>
        <w:t>he pattern of relationships was broadly similar to that observed in Baldwin et al (2025</w:t>
      </w:r>
      <w:r w:rsidR="00BA26E8">
        <w:rPr>
          <w:lang w:eastAsia="en-GB"/>
        </w:rPr>
        <w:t xml:space="preserve">), particularly the relatively strong relationships between Vowles 1 and </w:t>
      </w:r>
      <w:r w:rsidR="002B50F0">
        <w:rPr>
          <w:lang w:eastAsia="en-GB"/>
        </w:rPr>
        <w:t>Vowles 2</w:t>
      </w:r>
      <w:r w:rsidR="00B55A93">
        <w:rPr>
          <w:lang w:eastAsia="en-GB"/>
        </w:rPr>
        <w:t>;</w:t>
      </w:r>
      <w:r w:rsidR="00BA26E8">
        <w:rPr>
          <w:lang w:eastAsia="en-GB"/>
        </w:rPr>
        <w:t xml:space="preserve"> </w:t>
      </w:r>
      <w:r w:rsidR="002B50F0">
        <w:rPr>
          <w:lang w:eastAsia="en-GB"/>
        </w:rPr>
        <w:t xml:space="preserve">Vowles </w:t>
      </w:r>
      <w:r w:rsidR="00BA26E8">
        <w:rPr>
          <w:lang w:eastAsia="en-GB"/>
        </w:rPr>
        <w:t xml:space="preserve">2 and </w:t>
      </w:r>
      <w:r w:rsidR="002B50F0">
        <w:rPr>
          <w:lang w:eastAsia="en-GB"/>
        </w:rPr>
        <w:t xml:space="preserve">Vowles </w:t>
      </w:r>
      <w:r w:rsidR="00BA26E8">
        <w:rPr>
          <w:lang w:eastAsia="en-GB"/>
        </w:rPr>
        <w:t>3</w:t>
      </w:r>
      <w:r w:rsidR="00B55A93">
        <w:rPr>
          <w:lang w:eastAsia="en-GB"/>
        </w:rPr>
        <w:t xml:space="preserve">; </w:t>
      </w:r>
      <w:r w:rsidR="00BA26E8">
        <w:rPr>
          <w:lang w:eastAsia="en-GB"/>
        </w:rPr>
        <w:t xml:space="preserve">and </w:t>
      </w:r>
      <w:r w:rsidR="002B50F0">
        <w:rPr>
          <w:lang w:eastAsia="en-GB"/>
        </w:rPr>
        <w:t xml:space="preserve">Vowles </w:t>
      </w:r>
      <w:r w:rsidR="00BA26E8">
        <w:rPr>
          <w:lang w:eastAsia="en-GB"/>
        </w:rPr>
        <w:t xml:space="preserve">3 and </w:t>
      </w:r>
      <w:r w:rsidR="002B50F0">
        <w:rPr>
          <w:lang w:eastAsia="en-GB"/>
        </w:rPr>
        <w:t xml:space="preserve">Vowles </w:t>
      </w:r>
      <w:r w:rsidR="00BA26E8">
        <w:rPr>
          <w:lang w:eastAsia="en-GB"/>
        </w:rPr>
        <w:t>4</w:t>
      </w:r>
      <w:r w:rsidR="002B50F0">
        <w:rPr>
          <w:lang w:eastAsia="en-GB"/>
        </w:rPr>
        <w:t xml:space="preserve">. </w:t>
      </w:r>
      <w:r w:rsidR="00555664">
        <w:rPr>
          <w:lang w:eastAsia="en-GB"/>
        </w:rPr>
        <w:t>One distinct and potentially important finding is that the</w:t>
      </w:r>
      <w:r w:rsidR="002700E6">
        <w:rPr>
          <w:lang w:eastAsia="en-GB"/>
        </w:rPr>
        <w:t xml:space="preserve"> relationship between the confidence ratings and the Vowles judgements themselves seemed to depend </w:t>
      </w:r>
      <w:r w:rsidR="00AA2A45">
        <w:rPr>
          <w:lang w:eastAsia="en-GB"/>
        </w:rPr>
        <w:t>on t</w:t>
      </w:r>
      <w:r w:rsidR="00555664">
        <w:rPr>
          <w:lang w:eastAsia="en-GB"/>
        </w:rPr>
        <w:t>he condition to which the person was exposed to</w:t>
      </w:r>
      <w:r w:rsidR="00422C02">
        <w:rPr>
          <w:lang w:eastAsia="en-GB"/>
        </w:rPr>
        <w:t xml:space="preserve">. </w:t>
      </w:r>
      <w:r w:rsidR="002700E6">
        <w:rPr>
          <w:lang w:eastAsia="en-GB"/>
        </w:rPr>
        <w:t>For example, we identified</w:t>
      </w:r>
      <w:r w:rsidR="00422C02">
        <w:rPr>
          <w:lang w:eastAsia="en-GB"/>
        </w:rPr>
        <w:t xml:space="preserve"> that </w:t>
      </w:r>
      <w:r w:rsidR="0030103C">
        <w:rPr>
          <w:rFonts w:eastAsia="Times New Roman" w:cs="Times New Roman"/>
          <w:lang w:eastAsia="en-GB"/>
        </w:rPr>
        <w:t>that higher confidence in the Vowles rating</w:t>
      </w:r>
      <w:r w:rsidR="00F65DF0">
        <w:rPr>
          <w:rFonts w:eastAsia="Times New Roman" w:cs="Times New Roman"/>
          <w:lang w:eastAsia="en-GB"/>
        </w:rPr>
        <w:t>s overall was</w:t>
      </w:r>
      <w:r w:rsidR="0030103C">
        <w:rPr>
          <w:rFonts w:eastAsia="Times New Roman" w:cs="Times New Roman"/>
          <w:lang w:eastAsia="en-GB"/>
        </w:rPr>
        <w:t xml:space="preserve"> associated with a greater likelihood of attributing the offence to the mental disorder in the schizophrenia condition, but not in the personality disorder condition</w:t>
      </w:r>
      <w:r w:rsidR="002705B6">
        <w:rPr>
          <w:rFonts w:eastAsia="Times New Roman" w:cs="Times New Roman"/>
          <w:lang w:eastAsia="en-GB"/>
        </w:rPr>
        <w:t xml:space="preserve">. We also identified that </w:t>
      </w:r>
      <w:r w:rsidR="0030103C">
        <w:rPr>
          <w:rFonts w:eastAsia="Times New Roman" w:cs="Times New Roman"/>
          <w:lang w:eastAsia="en-GB"/>
        </w:rPr>
        <w:t>higher confidence in the Vowles rating</w:t>
      </w:r>
      <w:r w:rsidR="00F65DF0">
        <w:rPr>
          <w:rFonts w:eastAsia="Times New Roman" w:cs="Times New Roman"/>
          <w:lang w:eastAsia="en-GB"/>
        </w:rPr>
        <w:t>s overall was</w:t>
      </w:r>
      <w:r w:rsidR="0030103C">
        <w:rPr>
          <w:rFonts w:eastAsia="Times New Roman" w:cs="Times New Roman"/>
          <w:lang w:eastAsia="en-GB"/>
        </w:rPr>
        <w:t xml:space="preserve"> associated with a greater likelihood of seeing public protection needs as relevant in the personality disorder condition, but not in the schizophrenia condition.</w:t>
      </w:r>
      <w:r w:rsidR="00D73897">
        <w:rPr>
          <w:rFonts w:eastAsia="Times New Roman" w:cs="Times New Roman"/>
          <w:lang w:eastAsia="en-GB"/>
        </w:rPr>
        <w:t xml:space="preserve"> </w:t>
      </w:r>
      <w:r w:rsidR="00CA13AE">
        <w:rPr>
          <w:rFonts w:eastAsia="Times New Roman" w:cs="Times New Roman"/>
          <w:lang w:eastAsia="en-GB"/>
        </w:rPr>
        <w:t>The direction of causality here is worth consideration</w:t>
      </w:r>
      <w:r w:rsidR="00EC1834">
        <w:rPr>
          <w:rFonts w:eastAsia="Times New Roman" w:cs="Times New Roman"/>
          <w:lang w:eastAsia="en-GB"/>
        </w:rPr>
        <w:t xml:space="preserve">; does this reflect the </w:t>
      </w:r>
      <w:r w:rsidR="0026273F">
        <w:rPr>
          <w:rFonts w:eastAsia="Times New Roman" w:cs="Times New Roman"/>
          <w:lang w:eastAsia="en-GB"/>
        </w:rPr>
        <w:t xml:space="preserve">impact of diagnostic information on confidence ratings themselves, or </w:t>
      </w:r>
      <w:r w:rsidR="0052186B">
        <w:rPr>
          <w:rFonts w:eastAsia="Times New Roman" w:cs="Times New Roman"/>
          <w:lang w:eastAsia="en-GB"/>
        </w:rPr>
        <w:t xml:space="preserve">are higher rates of confidence more generally related to sentencing behaviour in response to specific </w:t>
      </w:r>
      <w:r w:rsidR="00A4080A">
        <w:rPr>
          <w:rFonts w:eastAsia="Times New Roman" w:cs="Times New Roman"/>
          <w:lang w:eastAsia="en-GB"/>
        </w:rPr>
        <w:t>diagnostic information</w:t>
      </w:r>
      <w:r w:rsidR="003E4B83">
        <w:rPr>
          <w:rFonts w:eastAsia="Times New Roman" w:cs="Times New Roman"/>
          <w:lang w:eastAsia="en-GB"/>
        </w:rPr>
        <w:t>?</w:t>
      </w:r>
      <w:r w:rsidR="00E30B56">
        <w:rPr>
          <w:rFonts w:eastAsia="Times New Roman" w:cs="Times New Roman"/>
          <w:lang w:eastAsia="en-GB"/>
        </w:rPr>
        <w:t xml:space="preserve"> </w:t>
      </w:r>
    </w:p>
    <w:p w14:paraId="1DAEB501" w14:textId="77777777" w:rsidR="00E30B56" w:rsidRDefault="00E30B56" w:rsidP="00AA2A45">
      <w:pPr>
        <w:rPr>
          <w:rFonts w:eastAsia="Times New Roman" w:cs="Times New Roman"/>
          <w:lang w:eastAsia="en-GB"/>
        </w:rPr>
      </w:pPr>
    </w:p>
    <w:p w14:paraId="3A4D38E1" w14:textId="77777777" w:rsidR="00A57ED8" w:rsidRDefault="00A57ED8" w:rsidP="00E30B56">
      <w:pPr>
        <w:pStyle w:val="Heading4"/>
        <w:rPr>
          <w:lang w:eastAsia="en-GB"/>
        </w:rPr>
      </w:pPr>
    </w:p>
    <w:p w14:paraId="164415F6" w14:textId="133D8613" w:rsidR="00E30B56" w:rsidRDefault="00E30B56" w:rsidP="00E30B56">
      <w:pPr>
        <w:pStyle w:val="Heading4"/>
        <w:rPr>
          <w:lang w:eastAsia="en-GB"/>
        </w:rPr>
      </w:pPr>
      <w:r>
        <w:rPr>
          <w:lang w:eastAsia="en-GB"/>
        </w:rPr>
        <w:t>RQ2: Effect of condition/diagnosis on Vowles statements</w:t>
      </w:r>
    </w:p>
    <w:p w14:paraId="7F5FA4AD" w14:textId="77777777" w:rsidR="00A57ED8" w:rsidRDefault="00A57ED8" w:rsidP="00E30B56">
      <w:pPr>
        <w:rPr>
          <w:lang w:eastAsia="en-GB"/>
        </w:rPr>
      </w:pPr>
    </w:p>
    <w:p w14:paraId="62FF550E" w14:textId="64ADC7F9" w:rsidR="000E0CCC" w:rsidRDefault="235378E9" w:rsidP="00E30B56">
      <w:pPr>
        <w:rPr>
          <w:lang w:eastAsia="en-GB"/>
        </w:rPr>
      </w:pPr>
      <w:r w:rsidRPr="235378E9">
        <w:rPr>
          <w:lang w:eastAsia="en-GB"/>
        </w:rPr>
        <w:t xml:space="preserve">The results seemed to reasonably clearly indicate </w:t>
      </w:r>
      <w:r w:rsidR="003E4B83">
        <w:rPr>
          <w:lang w:eastAsia="en-GB"/>
        </w:rPr>
        <w:t>little evidence for an</w:t>
      </w:r>
      <w:r w:rsidRPr="235378E9">
        <w:rPr>
          <w:lang w:eastAsia="en-GB"/>
        </w:rPr>
        <w:t xml:space="preserve"> effect of condition (diagnosis) on Vowles statements.</w:t>
      </w:r>
      <w:r w:rsidR="00675097">
        <w:rPr>
          <w:lang w:eastAsia="en-GB"/>
        </w:rPr>
        <w:t xml:space="preserve"> Whether this is a welcome finding of course depends on whether </w:t>
      </w:r>
      <w:r w:rsidR="00DB4075">
        <w:rPr>
          <w:lang w:eastAsia="en-GB"/>
        </w:rPr>
        <w:t xml:space="preserve">a diagnosis on its own </w:t>
      </w:r>
      <w:r w:rsidR="00DB4075">
        <w:rPr>
          <w:i/>
          <w:iCs/>
          <w:lang w:eastAsia="en-GB"/>
        </w:rPr>
        <w:t>should</w:t>
      </w:r>
      <w:r w:rsidR="00DB4075">
        <w:rPr>
          <w:lang w:eastAsia="en-GB"/>
        </w:rPr>
        <w:t xml:space="preserve"> result in changed attitudes towards sentencing; from one perspective the finding implies</w:t>
      </w:r>
      <w:r w:rsidR="00773E41">
        <w:rPr>
          <w:lang w:eastAsia="en-GB"/>
        </w:rPr>
        <w:t xml:space="preserve"> that </w:t>
      </w:r>
      <w:r w:rsidR="00C803E6">
        <w:rPr>
          <w:lang w:eastAsia="en-GB"/>
        </w:rPr>
        <w:t xml:space="preserve">the participants’ focus was on the vignette and the key details that related to the relevant criteria. </w:t>
      </w:r>
      <w:r w:rsidRPr="235378E9">
        <w:rPr>
          <w:lang w:eastAsia="en-GB"/>
        </w:rPr>
        <w:t xml:space="preserve">The outcome indicates that variations in Vowles ratings can largely be attributed to individual (judge level) factors. </w:t>
      </w:r>
    </w:p>
    <w:p w14:paraId="2F02B770" w14:textId="77777777" w:rsidR="00E30B56" w:rsidRDefault="00E30B56" w:rsidP="00AA2A45">
      <w:pPr>
        <w:rPr>
          <w:rFonts w:eastAsia="Times New Roman" w:cs="Times New Roman"/>
          <w:lang w:eastAsia="en-GB"/>
        </w:rPr>
      </w:pPr>
    </w:p>
    <w:p w14:paraId="766FBA38" w14:textId="77777777" w:rsidR="00A57ED8" w:rsidRDefault="00A57ED8" w:rsidP="00EC085B">
      <w:pPr>
        <w:pStyle w:val="Heading4"/>
        <w:rPr>
          <w:lang w:eastAsia="en-GB"/>
        </w:rPr>
      </w:pPr>
    </w:p>
    <w:p w14:paraId="308F763A" w14:textId="3F8BEF7F" w:rsidR="00EC085B" w:rsidRDefault="00EC085B" w:rsidP="00EC085B">
      <w:pPr>
        <w:pStyle w:val="Heading4"/>
        <w:rPr>
          <w:lang w:eastAsia="en-GB"/>
        </w:rPr>
      </w:pPr>
      <w:r>
        <w:rPr>
          <w:lang w:eastAsia="en-GB"/>
        </w:rPr>
        <w:t xml:space="preserve">RQ3: Effect of condition/diagnosis on </w:t>
      </w:r>
      <w:r w:rsidR="00BA31B3">
        <w:rPr>
          <w:lang w:eastAsia="en-GB"/>
        </w:rPr>
        <w:t>sentencing behaviour</w:t>
      </w:r>
    </w:p>
    <w:p w14:paraId="113C79F9" w14:textId="6AE02129" w:rsidR="00BA31B3" w:rsidRDefault="00BA31B3" w:rsidP="00BA31B3">
      <w:pPr>
        <w:rPr>
          <w:lang w:eastAsia="en-GB"/>
        </w:rPr>
      </w:pPr>
      <w:r>
        <w:rPr>
          <w:lang w:eastAsia="en-GB"/>
        </w:rPr>
        <w:t xml:space="preserve">Whilst there were </w:t>
      </w:r>
      <w:proofErr w:type="gramStart"/>
      <w:r>
        <w:rPr>
          <w:lang w:eastAsia="en-GB"/>
        </w:rPr>
        <w:t>a number of</w:t>
      </w:r>
      <w:proofErr w:type="gramEnd"/>
      <w:r>
        <w:rPr>
          <w:lang w:eastAsia="en-GB"/>
        </w:rPr>
        <w:t xml:space="preserve"> analyses conducted, and some significant effects are worth</w:t>
      </w:r>
      <w:r w:rsidR="000F4714">
        <w:rPr>
          <w:lang w:eastAsia="en-GB"/>
        </w:rPr>
        <w:t xml:space="preserve"> further</w:t>
      </w:r>
      <w:r>
        <w:rPr>
          <w:lang w:eastAsia="en-GB"/>
        </w:rPr>
        <w:t xml:space="preserve"> consideration, it must be stated that the broad picture of results suggested that </w:t>
      </w:r>
      <w:r w:rsidR="000B2534">
        <w:rPr>
          <w:lang w:eastAsia="en-GB"/>
        </w:rPr>
        <w:t xml:space="preserve">the experimental exposure to condition/diagnosis led to </w:t>
      </w:r>
      <w:r w:rsidR="000F5D0B">
        <w:rPr>
          <w:lang w:eastAsia="en-GB"/>
        </w:rPr>
        <w:t xml:space="preserve">either no, </w:t>
      </w:r>
      <w:r w:rsidR="003E4B83">
        <w:rPr>
          <w:lang w:eastAsia="en-GB"/>
        </w:rPr>
        <w:t>or</w:t>
      </w:r>
      <w:r w:rsidR="000F5D0B">
        <w:rPr>
          <w:lang w:eastAsia="en-GB"/>
        </w:rPr>
        <w:t xml:space="preserve"> at best modest,</w:t>
      </w:r>
      <w:r w:rsidR="000B2534">
        <w:rPr>
          <w:lang w:eastAsia="en-GB"/>
        </w:rPr>
        <w:t xml:space="preserve"> effects on sentencing behaviour. </w:t>
      </w:r>
    </w:p>
    <w:p w14:paraId="26589DAF" w14:textId="6ADA1703" w:rsidR="00CB45A3" w:rsidRDefault="00CB45A3" w:rsidP="00BA31B3">
      <w:pPr>
        <w:rPr>
          <w:lang w:eastAsia="en-GB"/>
        </w:rPr>
      </w:pPr>
    </w:p>
    <w:p w14:paraId="31A28B41" w14:textId="40CD5CC0" w:rsidR="001231E6" w:rsidRDefault="00CB45A3" w:rsidP="00BA31B3">
      <w:pPr>
        <w:rPr>
          <w:lang w:eastAsia="en-GB"/>
        </w:rPr>
      </w:pPr>
      <w:r>
        <w:rPr>
          <w:lang w:eastAsia="en-GB"/>
        </w:rPr>
        <w:t xml:space="preserve">When considering the final sentencing decision, there were no significant differences when the present sample was considered on its own. However, when the present sample was combined with the previous sample from Baldwin et al (2025) a small effect was seen in which </w:t>
      </w:r>
      <w:r w:rsidR="00EE5A3C">
        <w:rPr>
          <w:lang w:eastAsia="en-GB"/>
        </w:rPr>
        <w:t xml:space="preserve">people with a personality disorder diagnosis appeared to be somewhat less likely to be given a s.45A and somewhat more likely to be given a prison sentence. </w:t>
      </w:r>
      <w:r w:rsidR="00A57ED8">
        <w:rPr>
          <w:lang w:eastAsia="en-GB"/>
        </w:rPr>
        <w:t>O</w:t>
      </w:r>
      <w:r w:rsidR="006D682D">
        <w:rPr>
          <w:lang w:eastAsia="en-GB"/>
        </w:rPr>
        <w:t xml:space="preserve">ne must be </w:t>
      </w:r>
      <w:r w:rsidR="00794E1F">
        <w:rPr>
          <w:lang w:eastAsia="en-GB"/>
        </w:rPr>
        <w:t xml:space="preserve">careful </w:t>
      </w:r>
      <w:r w:rsidR="006D682D">
        <w:rPr>
          <w:lang w:eastAsia="en-GB"/>
        </w:rPr>
        <w:t>not to over-interpret these differences</w:t>
      </w:r>
      <w:r w:rsidR="00A57ED8">
        <w:rPr>
          <w:lang w:eastAsia="en-GB"/>
        </w:rPr>
        <w:t>;</w:t>
      </w:r>
      <w:r w:rsidR="00794E1F">
        <w:rPr>
          <w:lang w:eastAsia="en-GB"/>
        </w:rPr>
        <w:t xml:space="preserve"> one could have argued that more stark differences in sentencing behaviour </w:t>
      </w:r>
      <w:r w:rsidR="001E6E90">
        <w:rPr>
          <w:lang w:eastAsia="en-GB"/>
        </w:rPr>
        <w:lastRenderedPageBreak/>
        <w:t xml:space="preserve">might have expected given the known stigmatic attitudes towards personality disorder in professional groups </w:t>
      </w:r>
      <w:r w:rsidR="001E6E90">
        <w:rPr>
          <w:lang w:eastAsia="en-GB"/>
        </w:rPr>
        <w:fldChar w:fldCharType="begin">
          <w:fldData xml:space="preserve">PEVuZE5vdGU+PENpdGU+PEF1dGhvcj5MZXdpczwvQXV0aG9yPjxZZWFyPjE5ODg8L1llYXI+PFJl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</w:fldData>
        </w:fldChar>
      </w:r>
      <w:r w:rsidR="001E6E90">
        <w:rPr>
          <w:lang w:eastAsia="en-GB"/>
        </w:rPr>
        <w:instrText xml:space="preserve"> ADDIN EN.CITE </w:instrText>
      </w:r>
      <w:r w:rsidR="001E6E90">
        <w:rPr>
          <w:lang w:eastAsia="en-GB"/>
        </w:rPr>
        <w:fldChar w:fldCharType="begin">
          <w:fldData xml:space="preserve">PEVuZE5vdGU+PENpdGU+PEF1dGhvcj5MZXdpczwvQXV0aG9yPjxZZWFyPjE5ODg8L1llYXI+PFJl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</w:fldData>
        </w:fldChar>
      </w:r>
      <w:r w:rsidR="001E6E90">
        <w:rPr>
          <w:lang w:eastAsia="en-GB"/>
        </w:rPr>
        <w:instrText xml:space="preserve"> ADDIN EN.CITE.DATA </w:instrText>
      </w:r>
      <w:r w:rsidR="001E6E90">
        <w:rPr>
          <w:lang w:eastAsia="en-GB"/>
        </w:rPr>
      </w:r>
      <w:r w:rsidR="001E6E90">
        <w:rPr>
          <w:lang w:eastAsia="en-GB"/>
        </w:rPr>
        <w:fldChar w:fldCharType="end"/>
      </w:r>
      <w:r w:rsidR="001E6E90">
        <w:rPr>
          <w:lang w:eastAsia="en-GB"/>
        </w:rPr>
      </w:r>
      <w:r w:rsidR="001E6E90">
        <w:rPr>
          <w:lang w:eastAsia="en-GB"/>
        </w:rPr>
        <w:fldChar w:fldCharType="separate"/>
      </w:r>
      <w:r w:rsidR="001E6E90">
        <w:rPr>
          <w:noProof/>
          <w:lang w:eastAsia="en-GB"/>
        </w:rPr>
        <w:t>(Chartonas et al., 2017; Lewis &amp; Appleby, 1988)</w:t>
      </w:r>
      <w:r w:rsidR="001E6E90">
        <w:rPr>
          <w:lang w:eastAsia="en-GB"/>
        </w:rPr>
        <w:fldChar w:fldCharType="end"/>
      </w:r>
      <w:r w:rsidR="001E6E90">
        <w:rPr>
          <w:lang w:eastAsia="en-GB"/>
        </w:rPr>
        <w:t>.</w:t>
      </w:r>
      <w:r w:rsidR="00A4080A">
        <w:rPr>
          <w:lang w:eastAsia="en-GB"/>
        </w:rPr>
        <w:t xml:space="preserve"> </w:t>
      </w:r>
    </w:p>
    <w:p w14:paraId="7A3A9A79" w14:textId="77777777" w:rsidR="001231E6" w:rsidRDefault="001231E6" w:rsidP="00BA31B3">
      <w:pPr>
        <w:rPr>
          <w:lang w:eastAsia="en-GB"/>
        </w:rPr>
      </w:pPr>
    </w:p>
    <w:p w14:paraId="7C97C3C5" w14:textId="48B4B805" w:rsidR="00CB45A3" w:rsidRDefault="00A4080A" w:rsidP="00BA31B3">
      <w:pPr>
        <w:rPr>
          <w:lang w:eastAsia="en-GB"/>
        </w:rPr>
      </w:pPr>
      <w:r>
        <w:rPr>
          <w:lang w:eastAsia="en-GB"/>
        </w:rPr>
        <w:t xml:space="preserve">Indeed, the s.45A remained the most common option regardless of diagnosis. </w:t>
      </w:r>
      <w:r w:rsidR="001231E6">
        <w:rPr>
          <w:lang w:eastAsia="en-GB"/>
        </w:rPr>
        <w:t xml:space="preserve">This raises a question as to whether the materials </w:t>
      </w:r>
      <w:r w:rsidR="00FD76E2">
        <w:rPr>
          <w:lang w:eastAsia="en-GB"/>
        </w:rPr>
        <w:t xml:space="preserve">evoked </w:t>
      </w:r>
      <w:proofErr w:type="gramStart"/>
      <w:r w:rsidR="00FD76E2">
        <w:rPr>
          <w:lang w:eastAsia="en-GB"/>
        </w:rPr>
        <w:t>particular ambiguity</w:t>
      </w:r>
      <w:proofErr w:type="gramEnd"/>
      <w:r w:rsidR="001231E6">
        <w:rPr>
          <w:lang w:eastAsia="en-GB"/>
        </w:rPr>
        <w:t xml:space="preserve">, </w:t>
      </w:r>
      <w:r>
        <w:rPr>
          <w:lang w:eastAsia="en-GB"/>
        </w:rPr>
        <w:t xml:space="preserve">were for some reason seen as particularly or especially suitable for a s.45A, </w:t>
      </w:r>
      <w:r w:rsidR="001231E6">
        <w:rPr>
          <w:lang w:eastAsia="en-GB"/>
        </w:rPr>
        <w:t>or whether</w:t>
      </w:r>
      <w:r w:rsidR="00FD76E2">
        <w:rPr>
          <w:lang w:eastAsia="en-GB"/>
        </w:rPr>
        <w:t xml:space="preserve">, </w:t>
      </w:r>
      <w:r w:rsidR="00A57ED8">
        <w:rPr>
          <w:lang w:eastAsia="en-GB"/>
        </w:rPr>
        <w:t>as we opined in our previous article,</w:t>
      </w:r>
      <w:r w:rsidR="00AD4B57">
        <w:rPr>
          <w:lang w:eastAsia="en-GB"/>
        </w:rPr>
        <w:t xml:space="preserve"> the findings reflect more general preferences towards s45A in judicial samples. For example, </w:t>
      </w:r>
      <w:r w:rsidR="001231E6">
        <w:rPr>
          <w:lang w:eastAsia="en-GB"/>
        </w:rPr>
        <w:t xml:space="preserve">judges may </w:t>
      </w:r>
      <w:r w:rsidR="00227A46">
        <w:rPr>
          <w:lang w:eastAsia="en-GB"/>
        </w:rPr>
        <w:t xml:space="preserve">have </w:t>
      </w:r>
      <w:r w:rsidR="001231E6">
        <w:rPr>
          <w:lang w:eastAsia="en-GB"/>
        </w:rPr>
        <w:t xml:space="preserve">more positive attitudes towards the s45A than </w:t>
      </w:r>
      <w:proofErr w:type="gramStart"/>
      <w:r w:rsidR="001231E6">
        <w:rPr>
          <w:lang w:eastAsia="en-GB"/>
        </w:rPr>
        <w:t>psychiatrists</w:t>
      </w:r>
      <w:r w:rsidR="00227A46">
        <w:rPr>
          <w:lang w:eastAsia="en-GB"/>
        </w:rPr>
        <w:t>, or</w:t>
      </w:r>
      <w:proofErr w:type="gramEnd"/>
      <w:r w:rsidR="00227A46">
        <w:rPr>
          <w:lang w:eastAsia="en-GB"/>
        </w:rPr>
        <w:t xml:space="preserve"> may simply see the s.45A as a pragmatic way of </w:t>
      </w:r>
      <w:r w:rsidR="00A57ED8">
        <w:rPr>
          <w:lang w:eastAsia="en-GB"/>
        </w:rPr>
        <w:t xml:space="preserve">resolving ambiguity as a ‘middle option’ that appears to serve the ends of both punishment and rehabilitation. </w:t>
      </w:r>
    </w:p>
    <w:p w14:paraId="29E2C4CE" w14:textId="77777777" w:rsidR="000B2534" w:rsidRPr="00BA31B3" w:rsidRDefault="000B2534" w:rsidP="00BA31B3">
      <w:pPr>
        <w:rPr>
          <w:lang w:eastAsia="en-GB"/>
        </w:rPr>
      </w:pPr>
    </w:p>
    <w:p w14:paraId="33E3AE26" w14:textId="6F5DC987" w:rsidR="00A57ED8" w:rsidRDefault="00A57ED8" w:rsidP="00A57ED8">
      <w:pPr>
        <w:pStyle w:val="Heading4"/>
        <w:rPr>
          <w:lang w:eastAsia="en-GB"/>
        </w:rPr>
      </w:pPr>
      <w:r>
        <w:rPr>
          <w:lang w:eastAsia="en-GB"/>
        </w:rPr>
        <w:t xml:space="preserve">RQ4: </w:t>
      </w:r>
      <w:r w:rsidR="006731A4">
        <w:rPr>
          <w:lang w:eastAsia="en-GB"/>
        </w:rPr>
        <w:t>Relationship between condition/diagnosis, Vowles statements, and sentencing behaviour</w:t>
      </w:r>
    </w:p>
    <w:p w14:paraId="06212E9C" w14:textId="6B207A51" w:rsidR="006731A4" w:rsidRDefault="006731A4" w:rsidP="00EF6FF1">
      <w:pPr>
        <w:rPr>
          <w:lang w:eastAsia="en-GB"/>
        </w:rPr>
      </w:pPr>
      <w:r>
        <w:rPr>
          <w:lang w:eastAsia="en-GB"/>
        </w:rPr>
        <w:t>In relation to the effect of condition/diagnosis, the regression models constructed broadly supported the previous analysis, in that</w:t>
      </w:r>
      <w:r w:rsidR="003E4B83">
        <w:rPr>
          <w:lang w:eastAsia="en-GB"/>
        </w:rPr>
        <w:t>,</w:t>
      </w:r>
      <w:r>
        <w:rPr>
          <w:lang w:eastAsia="en-GB"/>
        </w:rPr>
        <w:t xml:space="preserve"> overall</w:t>
      </w:r>
      <w:r w:rsidR="003E4B83">
        <w:rPr>
          <w:lang w:eastAsia="en-GB"/>
        </w:rPr>
        <w:t>,</w:t>
      </w:r>
      <w:r>
        <w:rPr>
          <w:lang w:eastAsia="en-GB"/>
        </w:rPr>
        <w:t xml:space="preserve"> there was very limited evidence of an effect. However, the linear regressions did reveal that condition/diagnosis was important in predicting the </w:t>
      </w:r>
      <w:r w:rsidR="00742BC3">
        <w:rPr>
          <w:lang w:eastAsia="en-GB"/>
        </w:rPr>
        <w:t>likelihood</w:t>
      </w:r>
      <w:r>
        <w:rPr>
          <w:lang w:eastAsia="en-GB"/>
        </w:rPr>
        <w:t xml:space="preserve"> of a s.45A outcome (s.45A was associated with</w:t>
      </w:r>
      <w:r w:rsidR="00742BC3">
        <w:rPr>
          <w:lang w:eastAsia="en-GB"/>
        </w:rPr>
        <w:t xml:space="preserve"> greater likelihood in the ‘schizophrenia’ condition). Although the effect size was very small, this possibly helps us understand that the small differences obtained in the combined sample in RQ3 may be understood </w:t>
      </w:r>
      <w:r w:rsidR="006B1AA0">
        <w:rPr>
          <w:lang w:eastAsia="en-GB"/>
        </w:rPr>
        <w:t>not</w:t>
      </w:r>
      <w:r w:rsidR="00EF6FF1">
        <w:rPr>
          <w:lang w:eastAsia="en-GB"/>
        </w:rPr>
        <w:t xml:space="preserve"> as representing an increased desire for prison sentences in personality disorder, but by a relatively small increased desire for s.45A sentences in schizophrenia. </w:t>
      </w:r>
    </w:p>
    <w:p w14:paraId="0CA57F48" w14:textId="77777777" w:rsidR="00742BC3" w:rsidRPr="006731A4" w:rsidRDefault="00742BC3" w:rsidP="006731A4">
      <w:pPr>
        <w:rPr>
          <w:lang w:eastAsia="en-GB"/>
        </w:rPr>
      </w:pPr>
    </w:p>
    <w:p w14:paraId="7B6CAE09" w14:textId="2D0C5392" w:rsidR="00B75188" w:rsidRDefault="00261F22" w:rsidP="00AA2A45">
      <w:r>
        <w:rPr>
          <w:lang w:eastAsia="en-GB"/>
        </w:rPr>
        <w:t xml:space="preserve">Whilst the Vowles statements clearly were related to sentencing behaviour, they </w:t>
      </w:r>
      <w:r w:rsidR="00726508">
        <w:rPr>
          <w:lang w:eastAsia="en-GB"/>
        </w:rPr>
        <w:t>also worked to influence</w:t>
      </w:r>
      <w:r>
        <w:rPr>
          <w:lang w:eastAsia="en-GB"/>
        </w:rPr>
        <w:t xml:space="preserve"> decision-making in different ways. Vowles 3 – the extent to which the judge believed punishment was required – had arguably the most compelling and consistent impact, and indeed, in the logistic regressions, it was the only one of the four statements to be associated with a significant effect on sentencing. </w:t>
      </w:r>
      <w:r w:rsidR="00B75188">
        <w:rPr>
          <w:lang w:eastAsia="en-GB"/>
        </w:rPr>
        <w:t xml:space="preserve">In our previous study we saw a similar </w:t>
      </w:r>
      <w:proofErr w:type="gramStart"/>
      <w:r w:rsidR="00B75188">
        <w:rPr>
          <w:lang w:eastAsia="en-GB"/>
        </w:rPr>
        <w:t>effect, and</w:t>
      </w:r>
      <w:proofErr w:type="gramEnd"/>
      <w:r w:rsidR="00B75188">
        <w:rPr>
          <w:lang w:eastAsia="en-GB"/>
        </w:rPr>
        <w:t xml:space="preserve"> opined that ‘</w:t>
      </w:r>
      <w:r w:rsidR="00B75188" w:rsidRPr="00B75188">
        <w:t>judges may be more likely to impose a s.37 when they feel that an offender does not require punishment, rather than because the perceive the offender to require treatment</w:t>
      </w:r>
      <w:r w:rsidR="00B75188">
        <w:t xml:space="preserve">’. </w:t>
      </w:r>
      <w:r w:rsidR="00670699">
        <w:t xml:space="preserve">Our findings seem to reinforce this view. </w:t>
      </w:r>
      <w:r w:rsidR="00B75188">
        <w:t xml:space="preserve">Certainly, </w:t>
      </w:r>
      <w:proofErr w:type="gramStart"/>
      <w:r w:rsidR="00B75188">
        <w:t>it would seem that perceptions</w:t>
      </w:r>
      <w:proofErr w:type="gramEnd"/>
      <w:r w:rsidR="00B75188">
        <w:t xml:space="preserve"> of culpability are particularly important in the judge’s decision-making.  </w:t>
      </w:r>
    </w:p>
    <w:p w14:paraId="0408CCBB" w14:textId="77777777" w:rsidR="00B75188" w:rsidRDefault="00B75188" w:rsidP="00AA2A45"/>
    <w:p w14:paraId="77A0AEBF" w14:textId="4C143E0D" w:rsidR="009C17F1" w:rsidRDefault="00B75188" w:rsidP="00E77163">
      <w:r>
        <w:t xml:space="preserve">The linear regressions, however, showed that the judgements made about the </w:t>
      </w:r>
      <w:r w:rsidR="00E20083">
        <w:t xml:space="preserve">other </w:t>
      </w:r>
      <w:r>
        <w:t>Vowles statements did have some effects in the prediction of the continuous sentencing outcomes that were not present in the logistic regression</w:t>
      </w:r>
      <w:r w:rsidR="00E20083">
        <w:t xml:space="preserve">. Even so, </w:t>
      </w:r>
      <w:r>
        <w:t xml:space="preserve">not all statements were important. The most obvious effect related to Vowles 2 – the extent to which the offence was perceived to be related to mental health – which significantly predicted the likelihood of all three possible sentences (with higher scores being associated with </w:t>
      </w:r>
      <w:r w:rsidR="00F95CB1">
        <w:t>decreased</w:t>
      </w:r>
      <w:r>
        <w:t xml:space="preserve"> likelihood of a prison sentence, </w:t>
      </w:r>
      <w:r w:rsidR="00F95CB1">
        <w:t>and increased likelihood of a</w:t>
      </w:r>
      <w:r>
        <w:t xml:space="preserve"> s.37 and s.45A</w:t>
      </w:r>
      <w:r w:rsidR="00F95CB1">
        <w:t xml:space="preserve"> disposal</w:t>
      </w:r>
      <w:r>
        <w:t>)</w:t>
      </w:r>
      <w:r w:rsidR="00F95CB1">
        <w:t xml:space="preserve">. </w:t>
      </w:r>
      <w:r w:rsidR="00E77163">
        <w:t xml:space="preserve">Similarly, higher scores on Vowles 1 – the perceived need for treatment – demonstrated </w:t>
      </w:r>
      <w:proofErr w:type="gramStart"/>
      <w:r w:rsidR="00E77163">
        <w:t>a fairly unsurprising</w:t>
      </w:r>
      <w:proofErr w:type="gramEnd"/>
      <w:r w:rsidR="00E77163">
        <w:t xml:space="preserve"> relationship with both prison outcomes (less likely) and s.37 outcomes (more likely), but also s.45A outcomes (a bit more likely).  </w:t>
      </w:r>
    </w:p>
    <w:p w14:paraId="07AC4EB6" w14:textId="77777777" w:rsidR="00F95CB1" w:rsidRDefault="00F95CB1" w:rsidP="009C17F1"/>
    <w:p w14:paraId="7252537F" w14:textId="79DD9AE8" w:rsidR="00E77163" w:rsidRDefault="00F95CB1" w:rsidP="00E77163">
      <w:r>
        <w:t xml:space="preserve">The relationship with Vowles 4 – the extent to which the regime of release needs to be considered in public protection – is also worth brief consideration. In our previous study, we used a backwards logistic regression as a sensitivity analysis (we did not repeat this in the present analysis) and identified a potential effect of Vowles 4 on the final decision made. The </w:t>
      </w:r>
      <w:r>
        <w:lastRenderedPageBreak/>
        <w:t>linear regressions in the present study potentially imply that if Vowles 4 does have a relationship with sentencing, it is</w:t>
      </w:r>
      <w:r w:rsidR="00E8103C">
        <w:t xml:space="preserve"> one which is</w:t>
      </w:r>
      <w:r>
        <w:t xml:space="preserve"> specific to </w:t>
      </w:r>
      <w:r w:rsidR="00E8103C">
        <w:t>the likelihood of a prison sentence</w:t>
      </w:r>
      <w:r>
        <w:t xml:space="preserve">. In other words, a belief that the release regime was important to public protection was associated with an increased likelihood of reaching a prison </w:t>
      </w:r>
      <w:proofErr w:type="gramStart"/>
      <w:r>
        <w:t>sentence, but</w:t>
      </w:r>
      <w:proofErr w:type="gramEnd"/>
      <w:r>
        <w:t xml:space="preserve"> was seen as largely irrelevant in relation to </w:t>
      </w:r>
      <w:proofErr w:type="gramStart"/>
      <w:r>
        <w:t>whether or not</w:t>
      </w:r>
      <w:proofErr w:type="gramEnd"/>
      <w:r>
        <w:t xml:space="preserve"> a s.37 or s.45A is appropriate. </w:t>
      </w:r>
      <w:r w:rsidR="00E8103C">
        <w:t>In a way, this is surprising, given the fact that discharge pathways from hospital are primarily concerned with risk management</w:t>
      </w:r>
      <w:r w:rsidR="00E77163">
        <w:t>, and research indicating that discharge from hospital is typically associated with far less recidivism than discharge from prison</w:t>
      </w:r>
      <w:r>
        <w:t xml:space="preserve"> </w:t>
      </w:r>
      <w:r>
        <w:fldChar w:fldCharType="begin"/>
      </w:r>
      <w:r>
        <w:instrText xml:space="preserve"> ADDIN EN.CITE &lt;EndNote&gt;&lt;Cite&gt;&lt;Author&gt;Igoumenou&lt;/Author&gt;&lt;Year&gt;2019&lt;/Year&gt;&lt;RecNum&gt;317&lt;/RecNum&gt;&lt;DisplayText&gt;(Igoumenou et al., 2019)&lt;/DisplayText&gt;&lt;record&gt;&lt;rec-number&gt;317&lt;/rec-number&gt;&lt;foreign-keys&gt;&lt;key app="EN" db-id="2ats9t0enpvff3ewzpd59fdbxwpt0ssftp2w" timestamp="1759518417"&gt;317&lt;/key&gt;&lt;/foreign-keys&gt;&lt;ref-type name="Journal Article"&gt;17&lt;/ref-type&gt;&lt;contributors&gt;&lt;authors&gt;&lt;author&gt;Igoumenou, Artemis&lt;/author&gt;&lt;author&gt;Kallis, Constantinos&lt;/author&gt;&lt;author&gt;Huband, Nick&lt;/author&gt;&lt;author&gt;Haque, Quazi&lt;/author&gt;&lt;author&gt;Coid, Jeremy W.&lt;/author&gt;&lt;author&gt;Duggan, Conor&lt;/author&gt;&lt;/authors&gt;&lt;/contributors&gt;&lt;titles&gt;&lt;title&gt;Prison vs. hospital for offenders with psychosis; effects on reoffending&lt;/title&gt;&lt;secondary-title&gt;The Journal of Forensic Psychiatry &amp;amp; Psychology&lt;/secondary-title&gt;&lt;/titles&gt;&lt;periodical&gt;&lt;full-title&gt;The Journal of Forensic Psychiatry &amp;amp; Psychology&lt;/full-title&gt;&lt;/periodical&gt;&lt;pages&gt;939-958&lt;/pages&gt;&lt;volume&gt;30&lt;/volume&gt;&lt;number&gt;6&lt;/number&gt;&lt;section&gt;939&lt;/section&gt;&lt;dates&gt;&lt;year&gt;2019&lt;/year&gt;&lt;/dates&gt;&lt;isbn&gt;1478-9949&amp;#xD;1478-9957&lt;/isbn&gt;&lt;urls&gt;&lt;/urls&gt;&lt;electronic-resource-num&gt;10.1080/14789949.2019.1651381&lt;/electronic-resource-num&gt;&lt;/record&gt;&lt;/Cite&gt;&lt;/EndNote&gt;</w:instrText>
      </w:r>
      <w:r>
        <w:fldChar w:fldCharType="separate"/>
      </w:r>
      <w:r>
        <w:rPr>
          <w:noProof/>
        </w:rPr>
        <w:t>(Igoumenou et al., 2019)</w:t>
      </w:r>
      <w:r>
        <w:fldChar w:fldCharType="end"/>
      </w:r>
      <w:r w:rsidR="00E77163">
        <w:t>.</w:t>
      </w:r>
      <w:r w:rsidR="000243F7">
        <w:t xml:space="preserve"> This finding may suggest that </w:t>
      </w:r>
      <w:r w:rsidR="00563348">
        <w:t>judges may feel some</w:t>
      </w:r>
      <w:r w:rsidR="00010B7C">
        <w:t>what</w:t>
      </w:r>
      <w:r w:rsidR="00563348">
        <w:t xml:space="preserve"> unjustified confidence in the superiority of the parole/probation release system </w:t>
      </w:r>
      <w:r w:rsidR="00010B7C">
        <w:t xml:space="preserve">over that which </w:t>
      </w:r>
      <w:r w:rsidR="00AF5D5D">
        <w:t>arises in relation to a hospital order</w:t>
      </w:r>
      <w:r w:rsidR="00010B7C">
        <w:t>.</w:t>
      </w:r>
    </w:p>
    <w:p w14:paraId="1C7D9BDB" w14:textId="77777777" w:rsidR="00E77163" w:rsidRDefault="00E77163" w:rsidP="00E77163"/>
    <w:p w14:paraId="0D38ED7A" w14:textId="767D3616" w:rsidR="00E77163" w:rsidRDefault="00E77163" w:rsidP="00E77163">
      <w:r>
        <w:t xml:space="preserve">Regardless, </w:t>
      </w:r>
      <w:r w:rsidR="0020031E">
        <w:t xml:space="preserve">the </w:t>
      </w:r>
      <w:r>
        <w:t>non-significant effect</w:t>
      </w:r>
      <w:r w:rsidR="0020031E">
        <w:t>s</w:t>
      </w:r>
      <w:r>
        <w:t xml:space="preserve"> of Vowles 1, 2 and 4 in the logistic regression suggests that in making the final sentencing decision, the offender’s perceived culpability is the overriding factor, and that whilst considerations about treatment, the relevance of the mental disorder, and the long-term release regime are potentially important to decision making in some way, the perceived need to punish an offender (or not) is the over-riding factor in the final decision. </w:t>
      </w:r>
      <w:r w:rsidR="002677A5">
        <w:t>In interpreting these differences, it is important to highlight</w:t>
      </w:r>
      <w:r w:rsidR="005D32DC">
        <w:t xml:space="preserve"> that the effect of these attitudes was in the context of all participants receiving basically identical clinical material</w:t>
      </w:r>
      <w:r w:rsidR="007329BF">
        <w:t xml:space="preserve">. This points to a somewhat </w:t>
      </w:r>
      <w:r w:rsidR="005D32DC">
        <w:t xml:space="preserve">concerning possibility that culpability judgements may arise </w:t>
      </w:r>
      <w:r w:rsidR="002677A5">
        <w:t xml:space="preserve">as much as from the </w:t>
      </w:r>
      <w:r w:rsidR="007105D9">
        <w:t xml:space="preserve">variation in attitudes between judges in general </w:t>
      </w:r>
      <w:r w:rsidR="002C4008">
        <w:t>as opposed to reflecting differences in the characteristics of the person being sentenced</w:t>
      </w:r>
      <w:r w:rsidR="007105D9">
        <w:t xml:space="preserve">. </w:t>
      </w:r>
    </w:p>
    <w:p w14:paraId="3859B2F7" w14:textId="77777777" w:rsidR="00E77163" w:rsidRDefault="00E77163" w:rsidP="00E77163"/>
    <w:p w14:paraId="2AAF292E" w14:textId="77777777" w:rsidR="00AF5D5D" w:rsidRDefault="00AF5D5D" w:rsidP="00E77163">
      <w:pPr>
        <w:rPr>
          <w:b/>
          <w:bCs/>
        </w:rPr>
      </w:pPr>
    </w:p>
    <w:p w14:paraId="07AF6E22" w14:textId="7023DBAB" w:rsidR="007105D9" w:rsidRDefault="00E77163" w:rsidP="00E77163">
      <w:pPr>
        <w:rPr>
          <w:b/>
          <w:bCs/>
        </w:rPr>
      </w:pPr>
      <w:r>
        <w:rPr>
          <w:b/>
          <w:bCs/>
        </w:rPr>
        <w:t>Conclusions and Recommendations</w:t>
      </w:r>
    </w:p>
    <w:p w14:paraId="0F675B42" w14:textId="30C3483F" w:rsidR="005D32DC" w:rsidRDefault="00BA011A" w:rsidP="00A079AE">
      <w:r>
        <w:t xml:space="preserve">The study </w:t>
      </w:r>
      <w:r w:rsidR="00286DD8">
        <w:t xml:space="preserve">primarily </w:t>
      </w:r>
      <w:r>
        <w:t xml:space="preserve">highlights the </w:t>
      </w:r>
      <w:r w:rsidR="00D9108C">
        <w:t>importance of culpability judgements in sentencing behaviour, but also the</w:t>
      </w:r>
      <w:r w:rsidR="005D32DC">
        <w:t xml:space="preserve"> significant</w:t>
      </w:r>
      <w:r>
        <w:t xml:space="preserve"> variation between judges in</w:t>
      </w:r>
      <w:r w:rsidR="00D9108C">
        <w:t xml:space="preserve"> culpability judgements and</w:t>
      </w:r>
      <w:r>
        <w:t xml:space="preserve"> attitudes towards</w:t>
      </w:r>
      <w:r w:rsidR="007105D9">
        <w:t xml:space="preserve"> sentencing practices, as identified in the differential endorsement of</w:t>
      </w:r>
      <w:r>
        <w:t xml:space="preserve"> the Vowles statements</w:t>
      </w:r>
      <w:r w:rsidR="007105D9">
        <w:t xml:space="preserve"> and range of sentencing options. Culpability judgements seem</w:t>
      </w:r>
      <w:r w:rsidR="001F65A7">
        <w:t>ed</w:t>
      </w:r>
      <w:r w:rsidR="007105D9">
        <w:t xml:space="preserve"> particularly important</w:t>
      </w:r>
      <w:r w:rsidR="00921513">
        <w:t xml:space="preserve"> in predicting sentencing </w:t>
      </w:r>
      <w:proofErr w:type="gramStart"/>
      <w:r w:rsidR="00921513">
        <w:t>behaviour</w:t>
      </w:r>
      <w:r w:rsidR="007105D9">
        <w:t>,</w:t>
      </w:r>
      <w:r w:rsidR="001F65A7">
        <w:t xml:space="preserve"> and</w:t>
      </w:r>
      <w:proofErr w:type="gramEnd"/>
      <w:r w:rsidR="001F65A7">
        <w:t xml:space="preserve"> indeed seemed to over-shadow the influences of other important factors,</w:t>
      </w:r>
      <w:r w:rsidR="007105D9">
        <w:t xml:space="preserve"> but variation</w:t>
      </w:r>
      <w:r w:rsidR="00921513">
        <w:t xml:space="preserve"> in these judgements is </w:t>
      </w:r>
      <w:r w:rsidR="007105D9">
        <w:t xml:space="preserve">not attributable to </w:t>
      </w:r>
      <w:r w:rsidR="00921513">
        <w:t xml:space="preserve">differential exposure to the </w:t>
      </w:r>
      <w:r w:rsidR="007105D9">
        <w:t xml:space="preserve">experimental condition, and thus must have primarily arisen from differences in attitudes between judges. </w:t>
      </w:r>
      <w:r w:rsidR="00AF5D5D">
        <w:t>This emphasis</w:t>
      </w:r>
      <w:r w:rsidR="00D84968">
        <w:t xml:space="preserve"> on culpability might be explained through application of routine cognitive biases, including the Fundamental Attribution Error (a tendency to </w:t>
      </w:r>
      <w:r w:rsidR="00284D2B">
        <w:t xml:space="preserve">overemphasise unchangeable personal characteristics over situational ones), and ‘anchoring </w:t>
      </w:r>
      <w:proofErr w:type="spellStart"/>
      <w:r w:rsidR="00284D2B">
        <w:t>bias’</w:t>
      </w:r>
      <w:proofErr w:type="spellEnd"/>
      <w:r w:rsidR="00A079AE">
        <w:t xml:space="preserve"> (where </w:t>
      </w:r>
      <w:r w:rsidR="00284D2B">
        <w:t>initial information</w:t>
      </w:r>
      <w:r w:rsidR="00A079AE">
        <w:t xml:space="preserve"> has an outsized impact compared to information received later). Regardless, t</w:t>
      </w:r>
      <w:r w:rsidR="007105D9">
        <w:t>hat variation in judicial attitudes towards the same material can have such an important impact on sentencing behaviour is an important finding</w:t>
      </w:r>
      <w:r w:rsidR="00921513">
        <w:t xml:space="preserve"> and </w:t>
      </w:r>
      <w:r w:rsidR="003D2EF9">
        <w:t xml:space="preserve">one with profound implications. It </w:t>
      </w:r>
      <w:r w:rsidR="00054A11">
        <w:t xml:space="preserve">is also broadly consistent with the findings identified in our previous </w:t>
      </w:r>
      <w:r w:rsidR="00AF5D5D">
        <w:t>study</w:t>
      </w:r>
      <w:r w:rsidR="00054A11">
        <w:t xml:space="preserve">. </w:t>
      </w:r>
    </w:p>
    <w:p w14:paraId="4A012273" w14:textId="77777777" w:rsidR="00054A11" w:rsidRDefault="00054A11" w:rsidP="00E77163"/>
    <w:p w14:paraId="11345534" w14:textId="421666A9" w:rsidR="00054A11" w:rsidRDefault="00E0796F" w:rsidP="00E77163">
      <w:r>
        <w:t xml:space="preserve">There are significant implications of </w:t>
      </w:r>
      <w:r w:rsidR="00931B34">
        <w:t>these findings,</w:t>
      </w:r>
      <w:r>
        <w:t xml:space="preserve"> although before considering these we must of course acknowledge caution in relation to the limitations of the adopted methodology. Whilst we took steps to improve the methodology compared to our previous study</w:t>
      </w:r>
      <w:r w:rsidR="00DE2310">
        <w:t xml:space="preserve"> (including</w:t>
      </w:r>
      <w:r w:rsidR="00DE2310" w:rsidRPr="00DE2310">
        <w:t xml:space="preserve"> (1) </w:t>
      </w:r>
      <w:r w:rsidR="00DE2310">
        <w:t xml:space="preserve">removing the intermediate point on the </w:t>
      </w:r>
      <w:r w:rsidR="00DE2310" w:rsidRPr="00DE2310">
        <w:t xml:space="preserve">Vowles scale, (2) </w:t>
      </w:r>
      <w:r w:rsidR="00DE2310">
        <w:t xml:space="preserve">measuring </w:t>
      </w:r>
      <w:r w:rsidR="00DE2310" w:rsidRPr="00DE2310">
        <w:t>sentencing likelihoods</w:t>
      </w:r>
      <w:r w:rsidR="00DE2310">
        <w:t xml:space="preserve"> on a continuous basis; </w:t>
      </w:r>
      <w:r w:rsidR="00DE2310" w:rsidRPr="00DE2310">
        <w:t>(3)</w:t>
      </w:r>
      <w:r w:rsidR="00DE2310">
        <w:t xml:space="preserve"> assessing the degree of confidence in the rating;</w:t>
      </w:r>
      <w:r w:rsidR="00DE2310" w:rsidRPr="00DE2310">
        <w:t xml:space="preserve"> metrics, (4) knowledge checks</w:t>
      </w:r>
      <w:r w:rsidR="00DE2310">
        <w:t xml:space="preserve">), </w:t>
      </w:r>
      <w:r>
        <w:t>it remains the case that our sample did not consist of qualified judges</w:t>
      </w:r>
      <w:r w:rsidR="00C803E6">
        <w:t xml:space="preserve"> </w:t>
      </w:r>
      <w:r>
        <w:t xml:space="preserve">and of course this was not a real case considered in </w:t>
      </w:r>
      <w:r w:rsidR="00AF5D5D">
        <w:t xml:space="preserve">a </w:t>
      </w:r>
      <w:r w:rsidR="004A7F32">
        <w:t xml:space="preserve">real </w:t>
      </w:r>
      <w:r>
        <w:t>court</w:t>
      </w:r>
      <w:r w:rsidR="004A7F32">
        <w:t>room environment</w:t>
      </w:r>
      <w:r>
        <w:t>.</w:t>
      </w:r>
      <w:r w:rsidR="00075FC2">
        <w:t xml:space="preserve"> </w:t>
      </w:r>
      <w:r w:rsidR="00106DEB">
        <w:t xml:space="preserve">Despite some indications </w:t>
      </w:r>
      <w:r w:rsidR="00106DEB">
        <w:lastRenderedPageBreak/>
        <w:t xml:space="preserve">that non-representative samples may still provide valid and meaningful results (e.g. Bornstein et al, 2017), </w:t>
      </w:r>
      <w:r w:rsidR="006958A1">
        <w:t>fu</w:t>
      </w:r>
      <w:r>
        <w:t xml:space="preserve">ture research is therefore needed </w:t>
      </w:r>
      <w:r w:rsidR="004A7F32">
        <w:t xml:space="preserve">to replicate the broad research aims of the present study with further improvements to ecological validity. </w:t>
      </w:r>
      <w:r w:rsidR="008C2316">
        <w:t xml:space="preserve">This could come through further experimental research conducted with samples of real judges or </w:t>
      </w:r>
      <w:proofErr w:type="gramStart"/>
      <w:r w:rsidR="008C2316">
        <w:t>magistrates, but</w:t>
      </w:r>
      <w:proofErr w:type="gramEnd"/>
      <w:r w:rsidR="008C2316">
        <w:t xml:space="preserve"> could also through more ‘real world’ research conducted in analysis of </w:t>
      </w:r>
      <w:r w:rsidR="002B245A">
        <w:t xml:space="preserve">‘first instance’ sentencing decisions, perhaps </w:t>
      </w:r>
      <w:r w:rsidR="008C23BA">
        <w:t>through a systematic qualitative approach where key case characteristics (and possibly judicial sentencing remarks) were coded alongside sentencing outcomes</w:t>
      </w:r>
      <w:r w:rsidR="002B245A">
        <w:t>. Both types of research are challenging, although for somewhat different reasons</w:t>
      </w:r>
      <w:r w:rsidR="008C23BA">
        <w:t>;</w:t>
      </w:r>
      <w:r w:rsidR="002B245A">
        <w:t xml:space="preserve"> the former needing both approval and support from the Judicial Office, and the latter needing significant resourcing to identify, request and summarise real world cases. </w:t>
      </w:r>
    </w:p>
    <w:p w14:paraId="2546BCF9" w14:textId="77777777" w:rsidR="00635F79" w:rsidRDefault="00635F79" w:rsidP="00E77163"/>
    <w:p w14:paraId="0B7D8FC2" w14:textId="00C038F0" w:rsidR="00DD70A3" w:rsidRDefault="00362313" w:rsidP="004449CD">
      <w:r>
        <w:t xml:space="preserve">However, </w:t>
      </w:r>
      <w:r w:rsidR="007A616C">
        <w:t>given the echoing of findings seen in the previous study, the results from this research do begin to hint at the need to consider initiatives to improve consistency in sentencing approaches</w:t>
      </w:r>
      <w:r w:rsidR="00635F79">
        <w:t xml:space="preserve"> between judges</w:t>
      </w:r>
      <w:r w:rsidR="00D0274D">
        <w:t>.</w:t>
      </w:r>
      <w:r w:rsidR="00C84BC2">
        <w:t xml:space="preserve"> Fundamentally, i</w:t>
      </w:r>
      <w:r w:rsidR="00D0274D">
        <w:t>t does not serve the intere</w:t>
      </w:r>
      <w:r w:rsidR="00015C25">
        <w:t>s</w:t>
      </w:r>
      <w:r w:rsidR="00D0274D">
        <w:t xml:space="preserve">ts of justice if some judges see significant culpability </w:t>
      </w:r>
      <w:r w:rsidR="00015C25">
        <w:t xml:space="preserve">in situations </w:t>
      </w:r>
      <w:r w:rsidR="00D0274D">
        <w:t>where others do not</w:t>
      </w:r>
      <w:r w:rsidR="00645A0A">
        <w:t xml:space="preserve">. Nor does it serve the interests of justice </w:t>
      </w:r>
      <w:r w:rsidR="00DD70A3">
        <w:t>if</w:t>
      </w:r>
      <w:r w:rsidR="00645A0A">
        <w:t xml:space="preserve"> culpability judgements unreasonably overshadow the impact of other important factors</w:t>
      </w:r>
      <w:r w:rsidR="00C84BC2">
        <w:t>.</w:t>
      </w:r>
      <w:r w:rsidR="003F222E">
        <w:t xml:space="preserve"> </w:t>
      </w:r>
      <w:r w:rsidR="007A2FE0">
        <w:t>As stated in the introduction, the wrong decision at sentencing has significant ‘</w:t>
      </w:r>
      <w:proofErr w:type="spellStart"/>
      <w:r w:rsidR="007A2FE0">
        <w:t>down stream</w:t>
      </w:r>
      <w:proofErr w:type="spellEnd"/>
      <w:r w:rsidR="007A2FE0">
        <w:t xml:space="preserve">’ consequences for the defendant. </w:t>
      </w:r>
      <w:r w:rsidR="003F222E">
        <w:t xml:space="preserve">However, such findings likely simply reflect well known human decision-making biases and </w:t>
      </w:r>
      <w:proofErr w:type="gramStart"/>
      <w:r w:rsidR="003F222E">
        <w:t>heuristics</w:t>
      </w:r>
      <w:r w:rsidR="00DD70A3">
        <w:t>, and</w:t>
      </w:r>
      <w:proofErr w:type="gramEnd"/>
      <w:r w:rsidR="00DD70A3">
        <w:t xml:space="preserve"> perhaps should not be surprising. </w:t>
      </w:r>
    </w:p>
    <w:p w14:paraId="6BE1170F" w14:textId="77777777" w:rsidR="00E027B6" w:rsidRDefault="00E027B6" w:rsidP="004449CD"/>
    <w:p w14:paraId="490B4C0A" w14:textId="53D0C88D" w:rsidR="00CD28B4" w:rsidRDefault="00DD70A3" w:rsidP="004449CD">
      <w:r>
        <w:t xml:space="preserve">Of course, the natural question is to ask how to mitigate against such bias. </w:t>
      </w:r>
      <w:r w:rsidR="004449CD">
        <w:t>Reducing the unwarranted seepage of individual attitudes on subsequent decision-making is typically achieved through development of more structured and formulaic decision-making frameworks</w:t>
      </w:r>
      <w:r w:rsidR="002873E6">
        <w:t xml:space="preserve"> </w:t>
      </w:r>
      <w:r w:rsidR="002873E6">
        <w:fldChar w:fldCharType="begin">
          <w:fldData xml:space="preserve">PEVuZE5vdGU+PENpdGU+PEF1dGhvcj5UdmVyc2t5PC9BdXRob3I+PFllYXI+MTk4MTwvWWVhcj48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</w:fldData>
        </w:fldChar>
      </w:r>
      <w:r w:rsidR="007D0380">
        <w:instrText xml:space="preserve"> ADDIN EN.CITE </w:instrText>
      </w:r>
      <w:r w:rsidR="007D0380">
        <w:fldChar w:fldCharType="begin">
          <w:fldData xml:space="preserve">PEVuZE5vdGU+PENpdGU+PEF1dGhvcj5UdmVyc2t5PC9BdXRob3I+PFllYXI+MTk4MTwvWWVhcj48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</w:fldData>
        </w:fldChar>
      </w:r>
      <w:r w:rsidR="007D0380">
        <w:instrText xml:space="preserve"> ADDIN EN.CITE.DATA </w:instrText>
      </w:r>
      <w:r w:rsidR="007D0380">
        <w:fldChar w:fldCharType="end"/>
      </w:r>
      <w:r w:rsidR="002873E6">
        <w:fldChar w:fldCharType="separate"/>
      </w:r>
      <w:r w:rsidR="007D0380">
        <w:rPr>
          <w:noProof/>
        </w:rPr>
        <w:t>(Robinson &amp; Fuller, 2017; Tversky &amp; Kahneman, 1981)</w:t>
      </w:r>
      <w:r w:rsidR="002873E6">
        <w:fldChar w:fldCharType="end"/>
      </w:r>
      <w:r w:rsidR="008619E9">
        <w:t xml:space="preserve"> or at least training in the effect of different biases on decision-making</w:t>
      </w:r>
      <w:r w:rsidR="004449CD">
        <w:t xml:space="preserve">. </w:t>
      </w:r>
      <w:r w:rsidR="007631AC">
        <w:t>There has been very limited applications of these approaches in the criminal legal sphere</w:t>
      </w:r>
      <w:r w:rsidR="004F06FA">
        <w:t xml:space="preserve"> </w:t>
      </w:r>
      <w:r w:rsidR="004F06FA">
        <w:fldChar w:fldCharType="begin"/>
      </w:r>
      <w:r w:rsidR="004F06FA">
        <w:instrText xml:space="preserve"> ADDIN EN.CITE &lt;EndNote&gt;&lt;Cite&gt;&lt;Author&gt;Shook&lt;/Author&gt;&lt;Year&gt;2007&lt;/Year&gt;&lt;RecNum&gt;321&lt;/RecNum&gt;&lt;DisplayText&gt;(Shook &amp;amp; Sarri, 2007)&lt;/DisplayText&gt;&lt;record&gt;&lt;rec-number&gt;321&lt;/rec-number&gt;&lt;foreign-keys&gt;&lt;key app="EN" db-id="2ats9t0enpvff3ewzpd59fdbxwpt0ssftp2w" timestamp="1760526689"&gt;321&lt;/key&gt;&lt;/foreign-keys&gt;&lt;ref-type name="Journal Article"&gt;17&lt;/ref-type&gt;&lt;contributors&gt;&lt;authors&gt;&lt;author&gt;Shook, Jeffrey J.&lt;/author&gt;&lt;author&gt;Sarri, Rosemary C.&lt;/author&gt;&lt;/authors&gt;&lt;/contributors&gt;&lt;titles&gt;&lt;title&gt;Structured decision making in juvenile justice: Judges&amp;apos; and probation officers&amp;apos; perceptions and use&lt;/title&gt;&lt;secondary-title&gt;Children and Youth Services Review&lt;/secondary-title&gt;&lt;/titles&gt;&lt;periodical&gt;&lt;full-title&gt;Children and Youth Services Review&lt;/full-title&gt;&lt;/periodical&gt;&lt;pages&gt;1335-1351&lt;/pages&gt;&lt;volume&gt;29&lt;/volume&gt;&lt;number&gt;10&lt;/number&gt;&lt;section&gt;1335&lt;/section&gt;&lt;dates&gt;&lt;year&gt;2007&lt;/year&gt;&lt;/dates&gt;&lt;isbn&gt;01907409&lt;/isbn&gt;&lt;urls&gt;&lt;/urls&gt;&lt;electronic-resource-num&gt;10.1016/j.childyouth.2007.05.008&lt;/electronic-resource-num&gt;&lt;/record&gt;&lt;/Cite&gt;&lt;/EndNote&gt;</w:instrText>
      </w:r>
      <w:r w:rsidR="004F06FA">
        <w:fldChar w:fldCharType="separate"/>
      </w:r>
      <w:r w:rsidR="004F06FA">
        <w:rPr>
          <w:noProof/>
        </w:rPr>
        <w:t>(Shook &amp; Sarri, 2007)</w:t>
      </w:r>
      <w:r w:rsidR="004F06FA">
        <w:fldChar w:fldCharType="end"/>
      </w:r>
      <w:r w:rsidR="007631AC">
        <w:t xml:space="preserve">. </w:t>
      </w:r>
      <w:r w:rsidR="004449CD">
        <w:t xml:space="preserve">In the present case, there is plenty of scope for more </w:t>
      </w:r>
      <w:r w:rsidR="00535963">
        <w:t xml:space="preserve">transparent operationalisation of the key messages in </w:t>
      </w:r>
      <w:r w:rsidR="00535963">
        <w:rPr>
          <w:i/>
          <w:iCs/>
        </w:rPr>
        <w:t>Vowles, Edwards</w:t>
      </w:r>
      <w:r w:rsidR="00535963">
        <w:t xml:space="preserve"> and </w:t>
      </w:r>
      <w:r w:rsidR="00535963">
        <w:rPr>
          <w:i/>
          <w:iCs/>
        </w:rPr>
        <w:t>Nelson</w:t>
      </w:r>
      <w:r w:rsidR="00F24A7C">
        <w:t xml:space="preserve"> by </w:t>
      </w:r>
      <w:r w:rsidR="004449CD">
        <w:t xml:space="preserve">through developing more highly specified </w:t>
      </w:r>
      <w:r w:rsidR="00F24A7C">
        <w:t xml:space="preserve">guidance which addresses more clearly which groups of offenders the different sentencing options are targeted at. </w:t>
      </w:r>
      <w:r w:rsidR="00CD28B4">
        <w:t>Decision-making procedures could be adopted with the aim of mitigating against the effects of specific cognitive biases</w:t>
      </w:r>
      <w:r w:rsidR="00190E8C">
        <w:t>; for example</w:t>
      </w:r>
      <w:r w:rsidR="00E74797">
        <w:t>,</w:t>
      </w:r>
      <w:r w:rsidR="00190E8C">
        <w:t xml:space="preserve"> in an entirely different context, </w:t>
      </w:r>
      <w:r w:rsidR="009E4C3E">
        <w:fldChar w:fldCharType="begin">
          <w:fldData xml:space="preserve">PEVuZE5vdGU+PENpdGUgQXV0aG9yWWVhcj0iMSI+PEF1dGhvcj5OYWd0ZWdhYWw8L0F1dGhvcj48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</w:fldData>
        </w:fldChar>
      </w:r>
      <w:r w:rsidR="009E4C3E">
        <w:instrText xml:space="preserve"> ADDIN EN.CITE </w:instrText>
      </w:r>
      <w:r w:rsidR="009E4C3E">
        <w:fldChar w:fldCharType="begin">
          <w:fldData xml:space="preserve">PEVuZE5vdGU+PENpdGUgQXV0aG9yWWVhcj0iMSI+PEF1dGhvcj5OYWd0ZWdhYWw8L0F1dGhvcj48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</w:fldData>
        </w:fldChar>
      </w:r>
      <w:r w:rsidR="009E4C3E">
        <w:instrText xml:space="preserve"> ADDIN EN.CITE.DATA </w:instrText>
      </w:r>
      <w:r w:rsidR="009E4C3E">
        <w:fldChar w:fldCharType="end"/>
      </w:r>
      <w:r w:rsidR="009E4C3E">
        <w:fldChar w:fldCharType="separate"/>
      </w:r>
      <w:r w:rsidR="009E4C3E">
        <w:rPr>
          <w:noProof/>
        </w:rPr>
        <w:t>Nagtegaal et al. (2020)</w:t>
      </w:r>
      <w:r w:rsidR="009E4C3E">
        <w:fldChar w:fldCharType="end"/>
      </w:r>
      <w:r w:rsidR="00E74797">
        <w:t xml:space="preserve"> found that the effects of anchoring bias were reduced by asking </w:t>
      </w:r>
      <w:r w:rsidR="008F3529">
        <w:t xml:space="preserve">managers to list two reasons why an ‘anchor’ (in this case a prior evaluation of the staff member) were inappropriate. Could judges be asked to consider reasons why key </w:t>
      </w:r>
      <w:r w:rsidR="005E0DD8">
        <w:t xml:space="preserve">elements of the narrative were inappropriate as well as relevant? </w:t>
      </w:r>
    </w:p>
    <w:p w14:paraId="315661C8" w14:textId="77777777" w:rsidR="00A75B16" w:rsidRDefault="00A75B16" w:rsidP="004449CD"/>
    <w:p w14:paraId="013AE44B" w14:textId="2738F8FB" w:rsidR="0094181B" w:rsidRDefault="00A75B16" w:rsidP="00D015FC">
      <w:r>
        <w:t>The situation might also be improved t</w:t>
      </w:r>
      <w:r w:rsidR="00E45425">
        <w:t>h</w:t>
      </w:r>
      <w:r>
        <w:t xml:space="preserve">rough guidance given to expert witnesses to ensure that </w:t>
      </w:r>
      <w:r w:rsidR="007A2FE0">
        <w:t>experts</w:t>
      </w:r>
      <w:r>
        <w:t xml:space="preserve"> address clear</w:t>
      </w:r>
      <w:r w:rsidR="00647234">
        <w:t xml:space="preserve"> </w:t>
      </w:r>
      <w:r w:rsidR="00B87F5A">
        <w:t>questions</w:t>
      </w:r>
      <w:r w:rsidR="00647234">
        <w:t>, tied closely the relevant legal criteria,</w:t>
      </w:r>
      <w:r w:rsidR="00B87F5A">
        <w:t xml:space="preserve"> </w:t>
      </w:r>
      <w:r>
        <w:t xml:space="preserve">in their reports and </w:t>
      </w:r>
      <w:r w:rsidR="00F308F6">
        <w:t>associated oral evidence</w:t>
      </w:r>
      <w:r w:rsidR="00647234">
        <w:t xml:space="preserve">. </w:t>
      </w:r>
      <w:r w:rsidR="007D75F0">
        <w:t xml:space="preserve">Comprehensive expert opinion that addresses key information related to the </w:t>
      </w:r>
      <w:r w:rsidR="00A87251">
        <w:t xml:space="preserve">Vowles criteria can help judges </w:t>
      </w:r>
      <w:r w:rsidR="00F508E6">
        <w:t xml:space="preserve">approach sentencing when a </w:t>
      </w:r>
      <w:r w:rsidR="003F1D0C">
        <w:t xml:space="preserve">hospital order is contemplated. For example, </w:t>
      </w:r>
      <w:r w:rsidR="008C6B94">
        <w:t>the severit</w:t>
      </w:r>
      <w:r w:rsidR="00A9364D">
        <w:t xml:space="preserve">y and likely course of mental disorder, the treatment </w:t>
      </w:r>
      <w:r w:rsidR="00DB5736">
        <w:t>need and options</w:t>
      </w:r>
      <w:r w:rsidR="00A9364D">
        <w:t>, relationship to</w:t>
      </w:r>
      <w:r w:rsidR="00BF2383">
        <w:t xml:space="preserve"> current and future</w:t>
      </w:r>
      <w:r w:rsidR="00A9364D">
        <w:t xml:space="preserve"> </w:t>
      </w:r>
      <w:r w:rsidR="00D9207C">
        <w:t>risk</w:t>
      </w:r>
      <w:r w:rsidR="00826454">
        <w:t>,</w:t>
      </w:r>
      <w:r w:rsidR="004D0DB1">
        <w:t xml:space="preserve"> impact on factors such as judgement, impulse control, decision-making, and understanding</w:t>
      </w:r>
      <w:r w:rsidR="005E6C69">
        <w:t xml:space="preserve">. </w:t>
      </w:r>
      <w:r w:rsidR="00D9207C">
        <w:t xml:space="preserve"> </w:t>
      </w:r>
      <w:r w:rsidR="00E76B13">
        <w:t xml:space="preserve">It is important for experts to be </w:t>
      </w:r>
      <w:r w:rsidR="002710C0">
        <w:t>aware</w:t>
      </w:r>
      <w:r w:rsidR="00E76B13">
        <w:t xml:space="preserve"> of the variation between judges’ attitudes </w:t>
      </w:r>
      <w:r w:rsidR="00B47A8F">
        <w:t xml:space="preserve">towards sentences </w:t>
      </w:r>
      <w:r w:rsidR="005A600A">
        <w:t xml:space="preserve">and that </w:t>
      </w:r>
      <w:r w:rsidR="000F090C">
        <w:t>structured</w:t>
      </w:r>
      <w:r w:rsidR="00531221">
        <w:t xml:space="preserve"> </w:t>
      </w:r>
      <w:r w:rsidR="000F090C">
        <w:t xml:space="preserve">clearly reasoned reports may assist in the </w:t>
      </w:r>
      <w:r w:rsidR="00E80579">
        <w:t>decision-making</w:t>
      </w:r>
      <w:r w:rsidR="000F090C">
        <w:t xml:space="preserve"> process</w:t>
      </w:r>
      <w:r w:rsidR="00E80579">
        <w:t>. Expert</w:t>
      </w:r>
      <w:r w:rsidR="008B31C4">
        <w:t xml:space="preserve"> witness</w:t>
      </w:r>
      <w:r w:rsidR="00E80579">
        <w:t xml:space="preserve"> guidance could also </w:t>
      </w:r>
      <w:r w:rsidR="008B31C4">
        <w:t xml:space="preserve">serve to </w:t>
      </w:r>
      <w:r w:rsidR="00F643BB">
        <w:lastRenderedPageBreak/>
        <w:t xml:space="preserve">minimise variation in recommendations which might occur between </w:t>
      </w:r>
      <w:r w:rsidR="00313F7D">
        <w:t>expert</w:t>
      </w:r>
      <w:r w:rsidR="008F76A3">
        <w:t xml:space="preserve">s such as </w:t>
      </w:r>
      <w:r w:rsidR="00F643BB">
        <w:t>psychiatrists</w:t>
      </w:r>
      <w:r w:rsidR="00F308F6">
        <w:t xml:space="preserve">. </w:t>
      </w:r>
    </w:p>
    <w:p w14:paraId="5A1E443A" w14:textId="77777777" w:rsidR="0094181B" w:rsidRDefault="0094181B" w:rsidP="00D015FC"/>
    <w:p w14:paraId="3AE5F93E" w14:textId="4E84DCFA" w:rsidR="00EB7795" w:rsidRDefault="002D7D4C" w:rsidP="00D015FC">
      <w:r>
        <w:t>However, d</w:t>
      </w:r>
      <w:r w:rsidR="004449CD">
        <w:t xml:space="preserve">evelopment of such guidance needs to </w:t>
      </w:r>
      <w:proofErr w:type="gramStart"/>
      <w:r w:rsidR="00BE28BA">
        <w:t>take into account</w:t>
      </w:r>
      <w:proofErr w:type="gramEnd"/>
      <w:r w:rsidR="00BE28BA">
        <w:t xml:space="preserve"> the somewhat uncertain position of s.45A in our current sentencing framework. Whilst in the present study we identified evidence suggesting that judges may at view the s.45A option as a welcome one, </w:t>
      </w:r>
      <w:r>
        <w:t xml:space="preserve">this must be reconciled against the very different professional position taken by psychiatry, </w:t>
      </w:r>
      <w:r w:rsidR="007A2FE0">
        <w:t>as stated in the introduction.</w:t>
      </w:r>
      <w:r w:rsidR="00604040">
        <w:t xml:space="preserve"> </w:t>
      </w:r>
      <w:r w:rsidR="00B54861">
        <w:t xml:space="preserve">If s.45A is to retain a </w:t>
      </w:r>
      <w:r w:rsidR="00784D73">
        <w:t xml:space="preserve">meaningful </w:t>
      </w:r>
      <w:r w:rsidR="00B54861">
        <w:t xml:space="preserve">place in our sentencing framework, </w:t>
      </w:r>
      <w:r w:rsidR="00385E07">
        <w:t xml:space="preserve">we must address this </w:t>
      </w:r>
      <w:r w:rsidR="00784D73">
        <w:t>apparent stand-off</w:t>
      </w:r>
      <w:r w:rsidR="00ED03B2">
        <w:t xml:space="preserve">; as Peay (2016) comments, when considering the respective </w:t>
      </w:r>
      <w:r w:rsidR="00D015FC">
        <w:t xml:space="preserve">clinical and legal positions for and against the hybrid order, ‘neither side rests on firm ground’. </w:t>
      </w:r>
      <w:r w:rsidR="00743548">
        <w:t>In this regard, it is important that legal and policy developments are informed by clinical practice</w:t>
      </w:r>
      <w:r w:rsidR="00B23B73">
        <w:t xml:space="preserve">, </w:t>
      </w:r>
      <w:r w:rsidR="00363C01">
        <w:t>evidence-based</w:t>
      </w:r>
      <w:r w:rsidR="00B23B73">
        <w:t xml:space="preserve"> understandings of mental health conditions,</w:t>
      </w:r>
      <w:r w:rsidR="00743548">
        <w:t xml:space="preserve"> and the boundaries of clinical ethics</w:t>
      </w:r>
      <w:r w:rsidR="00802172">
        <w:t xml:space="preserve">. We hope this study provides a further platform for development in this important area. </w:t>
      </w:r>
    </w:p>
    <w:p w14:paraId="4E4D5F0C" w14:textId="0B164788" w:rsidR="00535963" w:rsidRDefault="00535963" w:rsidP="007A2FE0"/>
    <w:p w14:paraId="4713D726" w14:textId="77777777" w:rsidR="00054A11" w:rsidRDefault="00054A11" w:rsidP="00E77163"/>
    <w:p w14:paraId="7C5CF262" w14:textId="77777777" w:rsidR="00EC7D77" w:rsidRPr="00EC7D77" w:rsidRDefault="00EC7D77" w:rsidP="00EC7D77">
      <w:pPr>
        <w:rPr>
          <w:lang w:eastAsia="en-GB"/>
        </w:rPr>
      </w:pPr>
    </w:p>
    <w:p w14:paraId="0045629F" w14:textId="77777777" w:rsidR="000C11E0" w:rsidRPr="0039572D" w:rsidRDefault="000C11E0" w:rsidP="000C11E0">
      <w:pPr>
        <w:spacing w:after="0" w:line="480" w:lineRule="auto"/>
        <w:rPr>
          <w:rFonts w:eastAsia="Times New Roman" w:cs="Times New Roman"/>
          <w:b/>
          <w:bCs/>
          <w:sz w:val="24"/>
          <w:szCs w:val="24"/>
          <w:lang w:eastAsia="en-GB"/>
        </w:rPr>
      </w:pPr>
      <w:r w:rsidRPr="0039572D">
        <w:rPr>
          <w:rFonts w:eastAsia="Times New Roman" w:cs="Times New Roman"/>
          <w:b/>
          <w:bCs/>
          <w:sz w:val="24"/>
          <w:szCs w:val="24"/>
          <w:lang w:eastAsia="en-GB"/>
        </w:rPr>
        <w:t>Declaration of Conflicts of Interest</w:t>
      </w:r>
    </w:p>
    <w:p w14:paraId="00E51494" w14:textId="09A72C02" w:rsidR="000C11E0" w:rsidRPr="0039572D" w:rsidRDefault="00DE02C2" w:rsidP="000C11E0">
      <w:pPr>
        <w:spacing w:after="0" w:line="480" w:lineRule="auto"/>
        <w:rPr>
          <w:rFonts w:eastAsia="Times New Roman" w:cs="Times New Roman"/>
          <w:sz w:val="24"/>
          <w:szCs w:val="24"/>
          <w:lang w:eastAsia="en-GB"/>
        </w:rPr>
      </w:pPr>
      <w:r>
        <w:rPr>
          <w:rFonts w:eastAsia="Times New Roman" w:cs="Times New Roman"/>
          <w:sz w:val="24"/>
          <w:szCs w:val="24"/>
          <w:lang w:eastAsia="en-GB"/>
        </w:rPr>
        <w:t>The authors</w:t>
      </w:r>
      <w:r w:rsidR="000C11E0" w:rsidRPr="0039572D">
        <w:rPr>
          <w:rFonts w:eastAsia="Times New Roman" w:cs="Times New Roman"/>
          <w:sz w:val="24"/>
          <w:szCs w:val="24"/>
          <w:lang w:eastAsia="en-GB"/>
        </w:rPr>
        <w:t xml:space="preserve"> declare no conflicts of interest. </w:t>
      </w:r>
    </w:p>
    <w:p w14:paraId="6F5328B0" w14:textId="77777777" w:rsidR="000C11E0" w:rsidRPr="0039572D" w:rsidRDefault="000C11E0" w:rsidP="000C11E0">
      <w:pPr>
        <w:spacing w:after="0" w:line="480" w:lineRule="auto"/>
        <w:rPr>
          <w:rFonts w:eastAsia="Times New Roman" w:cs="Times New Roman"/>
          <w:b/>
          <w:bCs/>
          <w:sz w:val="24"/>
          <w:szCs w:val="24"/>
          <w:lang w:eastAsia="en-GB"/>
        </w:rPr>
      </w:pPr>
    </w:p>
    <w:p w14:paraId="644CD59E" w14:textId="77777777" w:rsidR="000C11E0" w:rsidRPr="0039572D" w:rsidRDefault="000C11E0" w:rsidP="000C11E0">
      <w:pPr>
        <w:spacing w:after="0" w:line="480" w:lineRule="auto"/>
        <w:rPr>
          <w:rFonts w:eastAsia="Times New Roman" w:cs="Times New Roman"/>
          <w:b/>
          <w:bCs/>
          <w:sz w:val="24"/>
          <w:szCs w:val="24"/>
          <w:lang w:eastAsia="en-GB"/>
        </w:rPr>
      </w:pPr>
      <w:r w:rsidRPr="0039572D">
        <w:rPr>
          <w:rFonts w:eastAsia="Times New Roman" w:cs="Times New Roman"/>
          <w:b/>
          <w:bCs/>
          <w:sz w:val="24"/>
          <w:szCs w:val="24"/>
          <w:lang w:eastAsia="en-GB"/>
        </w:rPr>
        <w:t xml:space="preserve">Data Availability Statement </w:t>
      </w:r>
    </w:p>
    <w:p w14:paraId="72AC005D" w14:textId="77777777" w:rsidR="000C11E0" w:rsidRPr="0039572D" w:rsidRDefault="000C11E0" w:rsidP="000C11E0">
      <w:pPr>
        <w:spacing w:after="0" w:line="480" w:lineRule="auto"/>
        <w:rPr>
          <w:rFonts w:eastAsia="Times New Roman" w:cs="Times New Roman"/>
          <w:sz w:val="24"/>
          <w:szCs w:val="24"/>
          <w:lang w:eastAsia="en-GB"/>
        </w:rPr>
      </w:pPr>
      <w:r w:rsidRPr="0039572D">
        <w:rPr>
          <w:rFonts w:eastAsia="Times New Roman" w:cs="Times New Roman"/>
          <w:sz w:val="24"/>
          <w:szCs w:val="24"/>
          <w:lang w:eastAsia="en-GB"/>
        </w:rPr>
        <w:t xml:space="preserve">The data of this study can be available from the authors upon request. </w:t>
      </w:r>
    </w:p>
    <w:p w14:paraId="55794215" w14:textId="77777777" w:rsidR="00A91F86" w:rsidRDefault="000C11E0" w:rsidP="000C11E0">
      <w:pPr>
        <w:pStyle w:val="Heading2"/>
        <w:rPr>
          <w:rFonts w:asciiTheme="minorHAnsi" w:hAnsiTheme="minorHAnsi"/>
        </w:rPr>
      </w:pPr>
      <w:bookmarkStart w:id="18" w:name="_Toc166251415"/>
      <w:r w:rsidRPr="0039572D">
        <w:rPr>
          <w:rFonts w:asciiTheme="minorHAnsi" w:hAnsiTheme="minorHAnsi"/>
        </w:rPr>
        <w:t>References</w:t>
      </w:r>
      <w:bookmarkEnd w:id="18"/>
    </w:p>
    <w:p w14:paraId="346D3534" w14:textId="157402D2" w:rsidR="009C5742" w:rsidRPr="00802172" w:rsidRDefault="00A91F86" w:rsidP="009C5742">
      <w:pPr>
        <w:pStyle w:val="EndNoteBibliography"/>
        <w:spacing w:after="0"/>
        <w:ind w:left="720" w:hanging="720"/>
        <w:rPr>
          <w:sz w:val="22"/>
          <w:szCs w:val="16"/>
        </w:rPr>
      </w:pPr>
      <w:r w:rsidRPr="00802172">
        <w:rPr>
          <w:rFonts w:asciiTheme="minorHAnsi" w:hAnsiTheme="minorHAnsi"/>
          <w:sz w:val="22"/>
          <w:szCs w:val="16"/>
        </w:rPr>
        <w:fldChar w:fldCharType="begin"/>
      </w:r>
      <w:r w:rsidRPr="00802172">
        <w:rPr>
          <w:rFonts w:asciiTheme="minorHAnsi" w:hAnsiTheme="minorHAnsi"/>
          <w:sz w:val="22"/>
          <w:szCs w:val="16"/>
        </w:rPr>
        <w:instrText xml:space="preserve"> ADDIN EN.REFLIST </w:instrText>
      </w:r>
      <w:r w:rsidRPr="00802172">
        <w:rPr>
          <w:rFonts w:asciiTheme="minorHAnsi" w:hAnsiTheme="minorHAnsi"/>
          <w:sz w:val="22"/>
          <w:szCs w:val="16"/>
        </w:rPr>
        <w:fldChar w:fldCharType="separate"/>
      </w:r>
      <w:r w:rsidR="009C5742" w:rsidRPr="00802172">
        <w:rPr>
          <w:sz w:val="22"/>
          <w:szCs w:val="16"/>
        </w:rPr>
        <w:t xml:space="preserve">Baldwin, G., Young, S., Fitton, L., Edwards, I., Butler, M., &amp; Beazley, P. (2025). Mental health and sentencing: How are judicial decisions made in light of the judgement of R v Vowles? </w:t>
      </w:r>
      <w:r w:rsidR="009C5742" w:rsidRPr="00802172">
        <w:rPr>
          <w:i/>
          <w:sz w:val="22"/>
          <w:szCs w:val="16"/>
        </w:rPr>
        <w:t>Int J Law Psychiatry</w:t>
      </w:r>
      <w:r w:rsidR="009C5742" w:rsidRPr="00802172">
        <w:rPr>
          <w:sz w:val="22"/>
          <w:szCs w:val="16"/>
        </w:rPr>
        <w:t>,</w:t>
      </w:r>
      <w:r w:rsidR="009C5742" w:rsidRPr="00802172">
        <w:rPr>
          <w:i/>
          <w:sz w:val="22"/>
          <w:szCs w:val="16"/>
        </w:rPr>
        <w:t xml:space="preserve"> 99</w:t>
      </w:r>
      <w:r w:rsidR="009C5742" w:rsidRPr="00802172">
        <w:rPr>
          <w:sz w:val="22"/>
          <w:szCs w:val="16"/>
        </w:rPr>
        <w:t xml:space="preserve">, 102071. </w:t>
      </w:r>
      <w:hyperlink r:id="rId12" w:history="1">
        <w:r w:rsidR="009C5742" w:rsidRPr="00802172">
          <w:rPr>
            <w:rStyle w:val="Hyperlink"/>
            <w:sz w:val="22"/>
            <w:szCs w:val="16"/>
          </w:rPr>
          <w:t>https://doi.org/10.1016/j.ijlp.2025.102071</w:t>
        </w:r>
      </w:hyperlink>
      <w:r w:rsidR="009C5742" w:rsidRPr="00802172">
        <w:rPr>
          <w:sz w:val="22"/>
          <w:szCs w:val="16"/>
        </w:rPr>
        <w:t xml:space="preserve"> </w:t>
      </w:r>
    </w:p>
    <w:p w14:paraId="26CD781E" w14:textId="73B52286" w:rsidR="00EB008E" w:rsidRPr="00802172" w:rsidRDefault="00EB008E" w:rsidP="00EB008E">
      <w:pPr>
        <w:pStyle w:val="EndNoteBibliography"/>
        <w:spacing w:after="0"/>
        <w:ind w:left="720" w:hanging="720"/>
        <w:rPr>
          <w:sz w:val="22"/>
          <w:szCs w:val="16"/>
          <w:lang w:val="en-GB"/>
        </w:rPr>
      </w:pPr>
      <w:r w:rsidRPr="00802172">
        <w:rPr>
          <w:sz w:val="22"/>
          <w:szCs w:val="16"/>
          <w:lang w:val="en-GB"/>
        </w:rPr>
        <w:t>Bornstein, B. H., Golding, J. M., Neuschatz, J., Kimbrough, C., Reed, K., Magyarics, C., &amp; Luecht, K. (2017). Mock juror sampling issues in jury simulation research: A meta-analysis. </w:t>
      </w:r>
      <w:r w:rsidRPr="00802172">
        <w:rPr>
          <w:i/>
          <w:iCs/>
          <w:sz w:val="22"/>
          <w:szCs w:val="16"/>
          <w:lang w:val="en-GB"/>
        </w:rPr>
        <w:t>Law and human behavior</w:t>
      </w:r>
      <w:r w:rsidRPr="00802172">
        <w:rPr>
          <w:sz w:val="22"/>
          <w:szCs w:val="16"/>
          <w:lang w:val="en-GB"/>
        </w:rPr>
        <w:t>, </w:t>
      </w:r>
      <w:r w:rsidRPr="00802172">
        <w:rPr>
          <w:i/>
          <w:iCs/>
          <w:sz w:val="22"/>
          <w:szCs w:val="16"/>
          <w:lang w:val="en-GB"/>
        </w:rPr>
        <w:t>41</w:t>
      </w:r>
      <w:r w:rsidRPr="00802172">
        <w:rPr>
          <w:sz w:val="22"/>
          <w:szCs w:val="16"/>
          <w:lang w:val="en-GB"/>
        </w:rPr>
        <w:t xml:space="preserve">(1), 13–28. https://doi.org/10.1037/lhb0000223   </w:t>
      </w:r>
    </w:p>
    <w:p w14:paraId="574D43B1" w14:textId="55C8F7DD" w:rsidR="009C5742" w:rsidRPr="00802172" w:rsidRDefault="009C5742" w:rsidP="009C5742">
      <w:pPr>
        <w:pStyle w:val="EndNoteBibliography"/>
        <w:spacing w:after="0"/>
        <w:ind w:left="720" w:hanging="720"/>
        <w:rPr>
          <w:sz w:val="22"/>
          <w:szCs w:val="16"/>
        </w:rPr>
      </w:pPr>
      <w:r w:rsidRPr="00802172">
        <w:rPr>
          <w:sz w:val="22"/>
          <w:szCs w:val="16"/>
        </w:rPr>
        <w:t xml:space="preserve">Chartonas, D., Kyratsous, M., Dracass, S., Lee, T., &amp; Bhui, K. (2017). Personality disorder: still the patients psychiatrists dislike? </w:t>
      </w:r>
      <w:r w:rsidRPr="00802172">
        <w:rPr>
          <w:i/>
          <w:sz w:val="22"/>
          <w:szCs w:val="16"/>
        </w:rPr>
        <w:t>BJPsych Bull</w:t>
      </w:r>
      <w:r w:rsidRPr="00802172">
        <w:rPr>
          <w:sz w:val="22"/>
          <w:szCs w:val="16"/>
        </w:rPr>
        <w:t>,</w:t>
      </w:r>
      <w:r w:rsidRPr="00802172">
        <w:rPr>
          <w:i/>
          <w:sz w:val="22"/>
          <w:szCs w:val="16"/>
        </w:rPr>
        <w:t xml:space="preserve"> 41</w:t>
      </w:r>
      <w:r w:rsidRPr="00802172">
        <w:rPr>
          <w:sz w:val="22"/>
          <w:szCs w:val="16"/>
        </w:rPr>
        <w:t xml:space="preserve">(1), 12–17. </w:t>
      </w:r>
      <w:hyperlink r:id="rId13" w:history="1">
        <w:r w:rsidRPr="00802172">
          <w:rPr>
            <w:rStyle w:val="Hyperlink"/>
            <w:sz w:val="22"/>
            <w:szCs w:val="16"/>
          </w:rPr>
          <w:t>https://doi.org/10.1192/pb.bp.115.052456</w:t>
        </w:r>
      </w:hyperlink>
      <w:r w:rsidRPr="00802172">
        <w:rPr>
          <w:sz w:val="22"/>
          <w:szCs w:val="16"/>
        </w:rPr>
        <w:t xml:space="preserve"> </w:t>
      </w:r>
    </w:p>
    <w:p w14:paraId="70B165D2" w14:textId="2B996A6E" w:rsidR="009C5742" w:rsidRPr="00802172" w:rsidRDefault="009C5742" w:rsidP="009C5742">
      <w:pPr>
        <w:pStyle w:val="EndNoteBibliography"/>
        <w:spacing w:after="0"/>
        <w:ind w:left="720" w:hanging="720"/>
        <w:rPr>
          <w:sz w:val="22"/>
          <w:szCs w:val="16"/>
        </w:rPr>
      </w:pPr>
      <w:r w:rsidRPr="00802172">
        <w:rPr>
          <w:sz w:val="22"/>
          <w:szCs w:val="16"/>
        </w:rPr>
        <w:t xml:space="preserve">Igoumenou, A., Kallis, C., Huband, N., Haque, Q., Coid, J. W., &amp; Duggan, C. (2019). Prison vs. hospital for offenders with psychosis; effects on reoffending. </w:t>
      </w:r>
      <w:r w:rsidRPr="00802172">
        <w:rPr>
          <w:i/>
          <w:sz w:val="22"/>
          <w:szCs w:val="16"/>
        </w:rPr>
        <w:t>The Journal of Forensic Psychiatry &amp; Psychology</w:t>
      </w:r>
      <w:r w:rsidRPr="00802172">
        <w:rPr>
          <w:sz w:val="22"/>
          <w:szCs w:val="16"/>
        </w:rPr>
        <w:t>,</w:t>
      </w:r>
      <w:r w:rsidRPr="00802172">
        <w:rPr>
          <w:i/>
          <w:sz w:val="22"/>
          <w:szCs w:val="16"/>
        </w:rPr>
        <w:t xml:space="preserve"> 30</w:t>
      </w:r>
      <w:r w:rsidRPr="00802172">
        <w:rPr>
          <w:sz w:val="22"/>
          <w:szCs w:val="16"/>
        </w:rPr>
        <w:t xml:space="preserve">(6), 939–958. </w:t>
      </w:r>
      <w:hyperlink r:id="rId14" w:history="1">
        <w:r w:rsidRPr="00802172">
          <w:rPr>
            <w:rStyle w:val="Hyperlink"/>
            <w:sz w:val="22"/>
            <w:szCs w:val="16"/>
          </w:rPr>
          <w:t>https://doi.org/10.1080/14789949.2019.1651381</w:t>
        </w:r>
      </w:hyperlink>
      <w:r w:rsidRPr="00802172">
        <w:rPr>
          <w:sz w:val="22"/>
          <w:szCs w:val="16"/>
        </w:rPr>
        <w:t xml:space="preserve"> </w:t>
      </w:r>
    </w:p>
    <w:p w14:paraId="1AD0F0D0" w14:textId="63C49056" w:rsidR="00A00D22" w:rsidRPr="00802172" w:rsidRDefault="00A00D22" w:rsidP="009C5742">
      <w:pPr>
        <w:pStyle w:val="EndNoteBibliography"/>
        <w:spacing w:after="0"/>
        <w:ind w:left="720" w:hanging="720"/>
        <w:rPr>
          <w:sz w:val="22"/>
          <w:szCs w:val="16"/>
        </w:rPr>
      </w:pPr>
      <w:r w:rsidRPr="00802172">
        <w:rPr>
          <w:sz w:val="22"/>
          <w:szCs w:val="16"/>
          <w:lang w:val="en-GB"/>
        </w:rPr>
        <w:t>Krosnick, J. A. (1991). Response strategies for coping with the cognitive demands of attitude measures in surveys. </w:t>
      </w:r>
      <w:r w:rsidRPr="00802172">
        <w:rPr>
          <w:i/>
          <w:iCs/>
          <w:sz w:val="22"/>
          <w:szCs w:val="16"/>
          <w:lang w:val="en-GB"/>
        </w:rPr>
        <w:t>Applied Cognitive Psychology, 5</w:t>
      </w:r>
      <w:r w:rsidRPr="00802172">
        <w:rPr>
          <w:sz w:val="22"/>
          <w:szCs w:val="16"/>
          <w:lang w:val="en-GB"/>
        </w:rPr>
        <w:t>(3), 213–236. </w:t>
      </w:r>
      <w:hyperlink r:id="rId15" w:tgtFrame="_blank" w:history="1">
        <w:r w:rsidRPr="00802172">
          <w:rPr>
            <w:rStyle w:val="Hyperlink"/>
            <w:sz w:val="22"/>
            <w:szCs w:val="16"/>
            <w:lang w:val="en-GB"/>
          </w:rPr>
          <w:t>https://doi.org/10.1002/acp.2350050305</w:t>
        </w:r>
      </w:hyperlink>
    </w:p>
    <w:p w14:paraId="7016EF6B" w14:textId="770D1698" w:rsidR="009C5742" w:rsidRPr="00802172" w:rsidRDefault="009C5742" w:rsidP="009C5742">
      <w:pPr>
        <w:pStyle w:val="EndNoteBibliography"/>
        <w:spacing w:after="0"/>
        <w:ind w:left="720" w:hanging="720"/>
        <w:rPr>
          <w:sz w:val="22"/>
          <w:szCs w:val="16"/>
        </w:rPr>
      </w:pPr>
      <w:r w:rsidRPr="00802172">
        <w:rPr>
          <w:sz w:val="22"/>
          <w:szCs w:val="16"/>
        </w:rPr>
        <w:t xml:space="preserve">Lewis, G., &amp; Appleby, L. (1988). Personality disorder: the patients psychiatrists dislike. </w:t>
      </w:r>
      <w:r w:rsidRPr="00802172">
        <w:rPr>
          <w:i/>
          <w:sz w:val="22"/>
          <w:szCs w:val="16"/>
        </w:rPr>
        <w:t>Br J Psychiatry</w:t>
      </w:r>
      <w:r w:rsidRPr="00802172">
        <w:rPr>
          <w:sz w:val="22"/>
          <w:szCs w:val="16"/>
        </w:rPr>
        <w:t>,</w:t>
      </w:r>
      <w:r w:rsidRPr="00802172">
        <w:rPr>
          <w:i/>
          <w:sz w:val="22"/>
          <w:szCs w:val="16"/>
        </w:rPr>
        <w:t xml:space="preserve"> 153</w:t>
      </w:r>
      <w:r w:rsidRPr="00802172">
        <w:rPr>
          <w:sz w:val="22"/>
          <w:szCs w:val="16"/>
        </w:rPr>
        <w:t xml:space="preserve">, 44–49. </w:t>
      </w:r>
      <w:hyperlink r:id="rId16" w:history="1">
        <w:r w:rsidRPr="00802172">
          <w:rPr>
            <w:rStyle w:val="Hyperlink"/>
            <w:sz w:val="22"/>
            <w:szCs w:val="16"/>
          </w:rPr>
          <w:t>https://doi.org/10.1192/bjp.153.1.44</w:t>
        </w:r>
      </w:hyperlink>
      <w:r w:rsidRPr="00802172">
        <w:rPr>
          <w:sz w:val="22"/>
          <w:szCs w:val="16"/>
        </w:rPr>
        <w:t xml:space="preserve"> </w:t>
      </w:r>
    </w:p>
    <w:p w14:paraId="14B9B561" w14:textId="42B43264" w:rsidR="009C5742" w:rsidRPr="00802172" w:rsidRDefault="009C5742" w:rsidP="009C5742">
      <w:pPr>
        <w:pStyle w:val="EndNoteBibliography"/>
        <w:spacing w:after="0"/>
        <w:ind w:left="720" w:hanging="720"/>
        <w:rPr>
          <w:sz w:val="22"/>
          <w:szCs w:val="16"/>
        </w:rPr>
      </w:pPr>
      <w:r w:rsidRPr="00802172">
        <w:rPr>
          <w:sz w:val="22"/>
          <w:szCs w:val="16"/>
        </w:rPr>
        <w:lastRenderedPageBreak/>
        <w:t xml:space="preserve">Nagtegaal, R., Tummers, L., Noordegraaf, M., &amp; Bekkers, V. (2020). Designing to Debias: Measuring and Reducing Public Managers' Anchoring Bias. </w:t>
      </w:r>
      <w:r w:rsidRPr="00802172">
        <w:rPr>
          <w:i/>
          <w:sz w:val="22"/>
          <w:szCs w:val="16"/>
        </w:rPr>
        <w:t>Public Administration Review</w:t>
      </w:r>
      <w:r w:rsidRPr="00802172">
        <w:rPr>
          <w:sz w:val="22"/>
          <w:szCs w:val="16"/>
        </w:rPr>
        <w:t>,</w:t>
      </w:r>
      <w:r w:rsidRPr="00802172">
        <w:rPr>
          <w:i/>
          <w:sz w:val="22"/>
          <w:szCs w:val="16"/>
        </w:rPr>
        <w:t xml:space="preserve"> 80</w:t>
      </w:r>
      <w:r w:rsidRPr="00802172">
        <w:rPr>
          <w:sz w:val="22"/>
          <w:szCs w:val="16"/>
        </w:rPr>
        <w:t xml:space="preserve">(4), 565–576. </w:t>
      </w:r>
      <w:hyperlink r:id="rId17" w:history="1">
        <w:r w:rsidRPr="00802172">
          <w:rPr>
            <w:rStyle w:val="Hyperlink"/>
            <w:sz w:val="22"/>
            <w:szCs w:val="16"/>
          </w:rPr>
          <w:t>https://doi.org/10.1111/puar.13211</w:t>
        </w:r>
      </w:hyperlink>
      <w:r w:rsidRPr="00802172">
        <w:rPr>
          <w:sz w:val="22"/>
          <w:szCs w:val="16"/>
        </w:rPr>
        <w:t xml:space="preserve"> </w:t>
      </w:r>
    </w:p>
    <w:p w14:paraId="56B9E122" w14:textId="48AC506B" w:rsidR="009C5742" w:rsidRPr="00802172" w:rsidRDefault="009C5742" w:rsidP="009C5742">
      <w:pPr>
        <w:pStyle w:val="EndNoteBibliography"/>
        <w:spacing w:after="0"/>
        <w:ind w:left="720" w:hanging="720"/>
        <w:rPr>
          <w:sz w:val="22"/>
          <w:szCs w:val="16"/>
        </w:rPr>
      </w:pPr>
      <w:r w:rsidRPr="00802172">
        <w:rPr>
          <w:sz w:val="22"/>
          <w:szCs w:val="16"/>
        </w:rPr>
        <w:t xml:space="preserve">Office for National Statistics. (2022). </w:t>
      </w:r>
      <w:r w:rsidRPr="00802172">
        <w:rPr>
          <w:i/>
          <w:sz w:val="22"/>
          <w:szCs w:val="16"/>
        </w:rPr>
        <w:t>Population for England and Wales</w:t>
      </w:r>
      <w:r w:rsidRPr="00802172">
        <w:rPr>
          <w:sz w:val="22"/>
          <w:szCs w:val="16"/>
        </w:rPr>
        <w:t xml:space="preserve">. Office of National Statistics. </w:t>
      </w:r>
      <w:hyperlink r:id="rId18" w:history="1">
        <w:r w:rsidRPr="00802172">
          <w:rPr>
            <w:rStyle w:val="Hyperlink"/>
            <w:sz w:val="22"/>
            <w:szCs w:val="16"/>
          </w:rPr>
          <w:t>https://www.ethnicity-facts-figures.service.gov.uk/uk-population-by-ethnicity/national-and-regional-populations/population-of-england-and-wales/latest/</w:t>
        </w:r>
      </w:hyperlink>
    </w:p>
    <w:p w14:paraId="260FDB2C" w14:textId="0CC0FADB" w:rsidR="00D015FC" w:rsidRPr="00802172" w:rsidRDefault="003043BF" w:rsidP="009C5742">
      <w:pPr>
        <w:pStyle w:val="EndNoteBibliography"/>
        <w:spacing w:after="0"/>
        <w:ind w:left="720" w:hanging="720"/>
        <w:rPr>
          <w:sz w:val="22"/>
          <w:szCs w:val="16"/>
        </w:rPr>
      </w:pPr>
      <w:r w:rsidRPr="00802172">
        <w:rPr>
          <w:sz w:val="22"/>
          <w:szCs w:val="16"/>
          <w:lang w:val="en-GB"/>
        </w:rPr>
        <w:t xml:space="preserve">Peay, Jill (2016) Responsibility, culpability and the sentencing of mentally disordered offenders: objectives in conflict. </w:t>
      </w:r>
      <w:r w:rsidRPr="00802172">
        <w:rPr>
          <w:i/>
          <w:iCs/>
          <w:sz w:val="22"/>
          <w:szCs w:val="16"/>
          <w:lang w:val="en-GB"/>
        </w:rPr>
        <w:t>Criminal Law Review</w:t>
      </w:r>
      <w:r w:rsidRPr="00802172">
        <w:rPr>
          <w:sz w:val="22"/>
          <w:szCs w:val="16"/>
          <w:lang w:val="en-GB"/>
        </w:rPr>
        <w:t xml:space="preserve"> (3).152-164. </w:t>
      </w:r>
    </w:p>
    <w:p w14:paraId="4BCA8586" w14:textId="77777777" w:rsidR="009C5742" w:rsidRPr="00802172" w:rsidRDefault="009C5742" w:rsidP="009C5742">
      <w:pPr>
        <w:pStyle w:val="EndNoteBibliography"/>
        <w:spacing w:after="0"/>
        <w:ind w:left="720" w:hanging="720"/>
        <w:rPr>
          <w:sz w:val="22"/>
          <w:szCs w:val="16"/>
        </w:rPr>
      </w:pPr>
      <w:r w:rsidRPr="00802172">
        <w:rPr>
          <w:sz w:val="22"/>
          <w:szCs w:val="16"/>
        </w:rPr>
        <w:t xml:space="preserve">R v Edwards,  (EWCA Crim 595 2018). </w:t>
      </w:r>
    </w:p>
    <w:p w14:paraId="1D8A015E" w14:textId="77777777" w:rsidR="009C5742" w:rsidRPr="00802172" w:rsidRDefault="009C5742" w:rsidP="009C5742">
      <w:pPr>
        <w:pStyle w:val="EndNoteBibliography"/>
        <w:spacing w:after="0"/>
        <w:ind w:left="720" w:hanging="720"/>
        <w:rPr>
          <w:sz w:val="22"/>
          <w:szCs w:val="16"/>
        </w:rPr>
      </w:pPr>
      <w:r w:rsidRPr="00802172">
        <w:rPr>
          <w:sz w:val="22"/>
          <w:szCs w:val="16"/>
        </w:rPr>
        <w:t xml:space="preserve">R v Nelson,  (EWCA Crim 1615 2020). </w:t>
      </w:r>
    </w:p>
    <w:p w14:paraId="4123D5EB" w14:textId="77777777" w:rsidR="009C5742" w:rsidRPr="00802172" w:rsidRDefault="009C5742" w:rsidP="009C5742">
      <w:pPr>
        <w:pStyle w:val="EndNoteBibliography"/>
        <w:spacing w:after="0"/>
        <w:ind w:left="720" w:hanging="720"/>
        <w:rPr>
          <w:sz w:val="22"/>
          <w:szCs w:val="16"/>
        </w:rPr>
      </w:pPr>
      <w:r w:rsidRPr="00802172">
        <w:rPr>
          <w:sz w:val="22"/>
          <w:szCs w:val="16"/>
        </w:rPr>
        <w:t xml:space="preserve">R v Vowles and others [2015] (EWCA Crim 45 2015). </w:t>
      </w:r>
    </w:p>
    <w:p w14:paraId="50400E52" w14:textId="52C4BDCA" w:rsidR="009C5742" w:rsidRPr="00802172" w:rsidRDefault="009C5742" w:rsidP="009C5742">
      <w:pPr>
        <w:pStyle w:val="EndNoteBibliography"/>
        <w:spacing w:after="0"/>
        <w:ind w:left="720" w:hanging="720"/>
        <w:rPr>
          <w:sz w:val="22"/>
          <w:szCs w:val="16"/>
        </w:rPr>
      </w:pPr>
      <w:r w:rsidRPr="00802172">
        <w:rPr>
          <w:sz w:val="22"/>
          <w:szCs w:val="16"/>
        </w:rPr>
        <w:t xml:space="preserve">Robinson, K. F., &amp; Fuller, A. K. (2017). Participatory Modeling and Structured Decision Making. In S. Gray, M. Paolisso, R. Jordan, &amp; S. Gray (Eds.), </w:t>
      </w:r>
      <w:r w:rsidRPr="00802172">
        <w:rPr>
          <w:i/>
          <w:sz w:val="22"/>
          <w:szCs w:val="16"/>
        </w:rPr>
        <w:t>Environmental Modeling with Stakeholders</w:t>
      </w:r>
      <w:r w:rsidRPr="00802172">
        <w:rPr>
          <w:sz w:val="22"/>
          <w:szCs w:val="16"/>
        </w:rPr>
        <w:t xml:space="preserve"> (pp. 83–101). Springer International Publishing. </w:t>
      </w:r>
      <w:hyperlink r:id="rId19" w:history="1">
        <w:r w:rsidRPr="00802172">
          <w:rPr>
            <w:rStyle w:val="Hyperlink"/>
            <w:sz w:val="22"/>
            <w:szCs w:val="16"/>
          </w:rPr>
          <w:t>https://doi.org/</w:t>
        </w:r>
      </w:hyperlink>
      <w:r w:rsidRPr="00802172">
        <w:rPr>
          <w:sz w:val="22"/>
          <w:szCs w:val="16"/>
        </w:rPr>
        <w:t xml:space="preserve"> 10.1007/978-3-319-25053-3_5 </w:t>
      </w:r>
    </w:p>
    <w:p w14:paraId="0F7FFCFD" w14:textId="66662C12" w:rsidR="009C5742" w:rsidRPr="00802172" w:rsidRDefault="009C5742" w:rsidP="009C5742">
      <w:pPr>
        <w:pStyle w:val="EndNoteBibliography"/>
        <w:spacing w:after="0"/>
        <w:ind w:left="720" w:hanging="720"/>
        <w:rPr>
          <w:sz w:val="22"/>
          <w:szCs w:val="16"/>
        </w:rPr>
      </w:pPr>
      <w:r w:rsidRPr="00802172">
        <w:rPr>
          <w:sz w:val="22"/>
          <w:szCs w:val="16"/>
        </w:rPr>
        <w:t xml:space="preserve">Royal College of Psychiatrists. (2018). </w:t>
      </w:r>
      <w:r w:rsidRPr="00802172">
        <w:rPr>
          <w:i/>
          <w:sz w:val="22"/>
          <w:szCs w:val="16"/>
        </w:rPr>
        <w:t>Review of the Mental Health Act 1983: The Royal College of Psychiatrists' Submission of Evidence</w:t>
      </w:r>
      <w:r w:rsidRPr="00802172">
        <w:rPr>
          <w:sz w:val="22"/>
          <w:szCs w:val="16"/>
        </w:rPr>
        <w:t xml:space="preserve">. </w:t>
      </w:r>
      <w:hyperlink r:id="rId20" w:history="1">
        <w:r w:rsidRPr="00802172">
          <w:rPr>
            <w:rStyle w:val="Hyperlink"/>
            <w:sz w:val="22"/>
            <w:szCs w:val="16"/>
          </w:rPr>
          <w:t>https://www.rcpsych.ac.uk/docs/default-source/improving-care/better-mh-policy/policy/policy-rcpsych-mha-review-submission-2018.pdf</w:t>
        </w:r>
      </w:hyperlink>
    </w:p>
    <w:p w14:paraId="7CC0B9E2" w14:textId="029DAF52" w:rsidR="009C5742" w:rsidRPr="00802172" w:rsidRDefault="009C5742" w:rsidP="009C5742">
      <w:pPr>
        <w:pStyle w:val="EndNoteBibliography"/>
        <w:spacing w:after="0"/>
        <w:ind w:left="720" w:hanging="720"/>
        <w:rPr>
          <w:sz w:val="22"/>
          <w:szCs w:val="16"/>
        </w:rPr>
      </w:pPr>
      <w:r w:rsidRPr="00802172">
        <w:rPr>
          <w:sz w:val="22"/>
          <w:szCs w:val="16"/>
        </w:rPr>
        <w:t xml:space="preserve">Royal College of Psychiatrists. (2023). </w:t>
      </w:r>
      <w:r w:rsidRPr="00802172">
        <w:rPr>
          <w:i/>
          <w:sz w:val="22"/>
          <w:szCs w:val="16"/>
        </w:rPr>
        <w:t>Responsibilities of psychiatrists who provide expert evidence to courts and tribunals</w:t>
      </w:r>
      <w:r w:rsidRPr="00802172">
        <w:rPr>
          <w:sz w:val="22"/>
          <w:szCs w:val="16"/>
        </w:rPr>
        <w:t xml:space="preserve">. </w:t>
      </w:r>
      <w:hyperlink r:id="rId21" w:history="1">
        <w:r w:rsidRPr="00802172">
          <w:rPr>
            <w:rStyle w:val="Hyperlink"/>
            <w:sz w:val="22"/>
            <w:szCs w:val="16"/>
          </w:rPr>
          <w:t>https://www.rcpsych.ac.uk/docs/default-source/improving-care/better-mh-policy/college-reports/college-report-cr193.pdf?sfvrsn=c0381b24_2</w:t>
        </w:r>
      </w:hyperlink>
    </w:p>
    <w:p w14:paraId="435FE235" w14:textId="3BFA246D" w:rsidR="009C5742" w:rsidRPr="00802172" w:rsidRDefault="009C5742" w:rsidP="009C5742">
      <w:pPr>
        <w:pStyle w:val="EndNoteBibliography"/>
        <w:spacing w:after="0"/>
        <w:ind w:left="720" w:hanging="720"/>
        <w:rPr>
          <w:sz w:val="22"/>
          <w:szCs w:val="16"/>
        </w:rPr>
      </w:pPr>
      <w:r w:rsidRPr="00802172">
        <w:rPr>
          <w:sz w:val="22"/>
          <w:szCs w:val="16"/>
        </w:rPr>
        <w:t xml:space="preserve">Shook, J. J., &amp; Sarri, R. C. (2007). Structured decision making in juvenile justice: Judges' and probation officers' perceptions and use. </w:t>
      </w:r>
      <w:r w:rsidRPr="00802172">
        <w:rPr>
          <w:i/>
          <w:sz w:val="22"/>
          <w:szCs w:val="16"/>
        </w:rPr>
        <w:t>Children and Youth Services Review</w:t>
      </w:r>
      <w:r w:rsidRPr="00802172">
        <w:rPr>
          <w:sz w:val="22"/>
          <w:szCs w:val="16"/>
        </w:rPr>
        <w:t>,</w:t>
      </w:r>
      <w:r w:rsidRPr="00802172">
        <w:rPr>
          <w:i/>
          <w:sz w:val="22"/>
          <w:szCs w:val="16"/>
        </w:rPr>
        <w:t xml:space="preserve"> 29</w:t>
      </w:r>
      <w:r w:rsidRPr="00802172">
        <w:rPr>
          <w:sz w:val="22"/>
          <w:szCs w:val="16"/>
        </w:rPr>
        <w:t xml:space="preserve">(10), 1335–1351. </w:t>
      </w:r>
      <w:hyperlink r:id="rId22" w:history="1">
        <w:r w:rsidRPr="00802172">
          <w:rPr>
            <w:rStyle w:val="Hyperlink"/>
            <w:sz w:val="22"/>
            <w:szCs w:val="16"/>
          </w:rPr>
          <w:t>https://doi.org/10.1016/j.childyouth.2007.05.008</w:t>
        </w:r>
      </w:hyperlink>
      <w:r w:rsidRPr="00802172">
        <w:rPr>
          <w:sz w:val="22"/>
          <w:szCs w:val="16"/>
        </w:rPr>
        <w:t xml:space="preserve"> </w:t>
      </w:r>
    </w:p>
    <w:p w14:paraId="53087C3D" w14:textId="1E16CAFA" w:rsidR="009C5742" w:rsidRPr="00802172" w:rsidRDefault="009C5742" w:rsidP="009C5742">
      <w:pPr>
        <w:pStyle w:val="EndNoteBibliography"/>
        <w:spacing w:after="0"/>
        <w:ind w:left="720" w:hanging="720"/>
        <w:rPr>
          <w:sz w:val="22"/>
          <w:szCs w:val="16"/>
        </w:rPr>
      </w:pPr>
      <w:r w:rsidRPr="00802172">
        <w:rPr>
          <w:sz w:val="22"/>
          <w:szCs w:val="16"/>
        </w:rPr>
        <w:t xml:space="preserve">Stoet, G. (2010). PsyToolkit: a software package for programming psychological experiments using Linux. </w:t>
      </w:r>
      <w:r w:rsidRPr="00802172">
        <w:rPr>
          <w:i/>
          <w:sz w:val="22"/>
          <w:szCs w:val="16"/>
        </w:rPr>
        <w:t>Behav Res Methods</w:t>
      </w:r>
      <w:r w:rsidRPr="00802172">
        <w:rPr>
          <w:sz w:val="22"/>
          <w:szCs w:val="16"/>
        </w:rPr>
        <w:t>,</w:t>
      </w:r>
      <w:r w:rsidRPr="00802172">
        <w:rPr>
          <w:i/>
          <w:sz w:val="22"/>
          <w:szCs w:val="16"/>
        </w:rPr>
        <w:t xml:space="preserve"> 42</w:t>
      </w:r>
      <w:r w:rsidRPr="00802172">
        <w:rPr>
          <w:sz w:val="22"/>
          <w:szCs w:val="16"/>
        </w:rPr>
        <w:t xml:space="preserve">(4), 1096–1104. </w:t>
      </w:r>
      <w:hyperlink r:id="rId23" w:history="1">
        <w:r w:rsidRPr="00802172">
          <w:rPr>
            <w:rStyle w:val="Hyperlink"/>
            <w:sz w:val="22"/>
            <w:szCs w:val="16"/>
          </w:rPr>
          <w:t>https://doi.org/10.3758/BRM.42.4.1096</w:t>
        </w:r>
      </w:hyperlink>
      <w:r w:rsidRPr="00802172">
        <w:rPr>
          <w:sz w:val="22"/>
          <w:szCs w:val="16"/>
        </w:rPr>
        <w:t xml:space="preserve"> </w:t>
      </w:r>
    </w:p>
    <w:p w14:paraId="1B2B4F92" w14:textId="7C880C75" w:rsidR="009C5742" w:rsidRPr="00802172" w:rsidRDefault="009C5742" w:rsidP="009C5742">
      <w:pPr>
        <w:pStyle w:val="EndNoteBibliography"/>
        <w:spacing w:after="0"/>
        <w:ind w:left="720" w:hanging="720"/>
        <w:rPr>
          <w:sz w:val="22"/>
          <w:szCs w:val="16"/>
        </w:rPr>
      </w:pPr>
      <w:r w:rsidRPr="00802172">
        <w:rPr>
          <w:sz w:val="22"/>
          <w:szCs w:val="16"/>
        </w:rPr>
        <w:t xml:space="preserve">Stoet, G. (2016). PsyToolkit. </w:t>
      </w:r>
      <w:r w:rsidRPr="00802172">
        <w:rPr>
          <w:i/>
          <w:sz w:val="22"/>
          <w:szCs w:val="16"/>
        </w:rPr>
        <w:t>Teaching of Psychology</w:t>
      </w:r>
      <w:r w:rsidRPr="00802172">
        <w:rPr>
          <w:sz w:val="22"/>
          <w:szCs w:val="16"/>
        </w:rPr>
        <w:t>,</w:t>
      </w:r>
      <w:r w:rsidRPr="00802172">
        <w:rPr>
          <w:i/>
          <w:sz w:val="22"/>
          <w:szCs w:val="16"/>
        </w:rPr>
        <w:t xml:space="preserve"> 44</w:t>
      </w:r>
      <w:r w:rsidRPr="00802172">
        <w:rPr>
          <w:sz w:val="22"/>
          <w:szCs w:val="16"/>
        </w:rPr>
        <w:t xml:space="preserve">(1), 24–31. </w:t>
      </w:r>
      <w:hyperlink r:id="rId24" w:history="1">
        <w:r w:rsidRPr="00802172">
          <w:rPr>
            <w:rStyle w:val="Hyperlink"/>
            <w:sz w:val="22"/>
            <w:szCs w:val="16"/>
          </w:rPr>
          <w:t>https://doi.org/10.1177/0098628316677643</w:t>
        </w:r>
      </w:hyperlink>
      <w:r w:rsidRPr="00802172">
        <w:rPr>
          <w:sz w:val="22"/>
          <w:szCs w:val="16"/>
        </w:rPr>
        <w:t xml:space="preserve"> </w:t>
      </w:r>
    </w:p>
    <w:p w14:paraId="585B405B" w14:textId="4CF0AD9D" w:rsidR="009C5742" w:rsidRPr="00802172" w:rsidRDefault="009C5742" w:rsidP="009C5742">
      <w:pPr>
        <w:pStyle w:val="EndNoteBibliography"/>
        <w:ind w:left="720" w:hanging="720"/>
        <w:rPr>
          <w:sz w:val="22"/>
          <w:szCs w:val="16"/>
        </w:rPr>
      </w:pPr>
      <w:r w:rsidRPr="00802172">
        <w:rPr>
          <w:sz w:val="22"/>
          <w:szCs w:val="16"/>
        </w:rPr>
        <w:t xml:space="preserve">Tversky, A., &amp; Kahneman, D. (1981). The framing of decisions and the psychology of choice. </w:t>
      </w:r>
      <w:r w:rsidRPr="00802172">
        <w:rPr>
          <w:i/>
          <w:sz w:val="22"/>
          <w:szCs w:val="16"/>
        </w:rPr>
        <w:t>Science</w:t>
      </w:r>
      <w:r w:rsidRPr="00802172">
        <w:rPr>
          <w:sz w:val="22"/>
          <w:szCs w:val="16"/>
        </w:rPr>
        <w:t>,</w:t>
      </w:r>
      <w:r w:rsidRPr="00802172">
        <w:rPr>
          <w:i/>
          <w:sz w:val="22"/>
          <w:szCs w:val="16"/>
        </w:rPr>
        <w:t xml:space="preserve"> 211</w:t>
      </w:r>
      <w:r w:rsidRPr="00802172">
        <w:rPr>
          <w:sz w:val="22"/>
          <w:szCs w:val="16"/>
        </w:rPr>
        <w:t xml:space="preserve">(4481), 453–458. </w:t>
      </w:r>
      <w:hyperlink r:id="rId25" w:history="1">
        <w:r w:rsidRPr="00802172">
          <w:rPr>
            <w:rStyle w:val="Hyperlink"/>
            <w:sz w:val="22"/>
            <w:szCs w:val="16"/>
          </w:rPr>
          <w:t>https://doi.org/10.1126/science.7455683</w:t>
        </w:r>
      </w:hyperlink>
      <w:r w:rsidRPr="00802172">
        <w:rPr>
          <w:sz w:val="22"/>
          <w:szCs w:val="16"/>
        </w:rPr>
        <w:t xml:space="preserve"> </w:t>
      </w:r>
    </w:p>
    <w:p w14:paraId="4B96D430" w14:textId="679849FC" w:rsidR="000C11E0" w:rsidRPr="00802172" w:rsidRDefault="00A91F86" w:rsidP="000C11E0">
      <w:pPr>
        <w:pStyle w:val="Heading2"/>
        <w:rPr>
          <w:rFonts w:asciiTheme="minorHAnsi" w:hAnsiTheme="minorHAnsi"/>
          <w:sz w:val="22"/>
          <w:szCs w:val="22"/>
        </w:rPr>
      </w:pPr>
      <w:r w:rsidRPr="00802172">
        <w:rPr>
          <w:rFonts w:asciiTheme="minorHAnsi" w:hAnsiTheme="minorHAnsi"/>
          <w:sz w:val="22"/>
          <w:szCs w:val="22"/>
        </w:rPr>
        <w:fldChar w:fldCharType="end"/>
      </w:r>
    </w:p>
    <w:p w14:paraId="05C3AAFD" w14:textId="77777777" w:rsidR="00104ADD" w:rsidRPr="00802172" w:rsidRDefault="00104ADD" w:rsidP="00104ADD">
      <w:pPr>
        <w:rPr>
          <w:sz w:val="16"/>
          <w:szCs w:val="16"/>
        </w:rPr>
      </w:pPr>
    </w:p>
    <w:p w14:paraId="09C0D0C6" w14:textId="1FE582B8" w:rsidR="00985C73" w:rsidRPr="00802172" w:rsidRDefault="00985C73" w:rsidP="00832F29">
      <w:pPr>
        <w:rPr>
          <w:sz w:val="16"/>
          <w:szCs w:val="16"/>
        </w:rPr>
      </w:pPr>
    </w:p>
    <w:p w14:paraId="3E83D4B8" w14:textId="62846B49" w:rsidR="00A46E11" w:rsidRPr="00802172" w:rsidRDefault="00A46E11" w:rsidP="00A46E11">
      <w:pPr>
        <w:tabs>
          <w:tab w:val="left" w:pos="2255"/>
        </w:tabs>
        <w:rPr>
          <w:sz w:val="16"/>
          <w:szCs w:val="16"/>
          <w:lang w:val="en-US"/>
        </w:rPr>
      </w:pPr>
      <w:r w:rsidRPr="00802172">
        <w:rPr>
          <w:sz w:val="16"/>
          <w:szCs w:val="16"/>
          <w:lang w:val="en-US"/>
        </w:rPr>
        <w:tab/>
      </w:r>
      <w:bookmarkEnd w:id="0"/>
    </w:p>
    <w:sectPr w:rsidR="00A46E11" w:rsidRPr="008021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8357" w14:textId="77777777" w:rsidR="00244982" w:rsidRDefault="00244982" w:rsidP="00774D97">
      <w:pPr>
        <w:spacing w:after="0" w:line="240" w:lineRule="auto"/>
      </w:pPr>
      <w:r>
        <w:separator/>
      </w:r>
    </w:p>
  </w:endnote>
  <w:endnote w:type="continuationSeparator" w:id="0">
    <w:p w14:paraId="485250E2" w14:textId="77777777" w:rsidR="00244982" w:rsidRDefault="00244982" w:rsidP="0077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F764" w14:textId="77777777" w:rsidR="00244982" w:rsidRDefault="00244982" w:rsidP="00774D97">
      <w:pPr>
        <w:spacing w:after="0" w:line="240" w:lineRule="auto"/>
      </w:pPr>
      <w:r>
        <w:separator/>
      </w:r>
    </w:p>
  </w:footnote>
  <w:footnote w:type="continuationSeparator" w:id="0">
    <w:p w14:paraId="25169E64" w14:textId="77777777" w:rsidR="00244982" w:rsidRDefault="00244982" w:rsidP="00774D97">
      <w:pPr>
        <w:spacing w:after="0" w:line="240" w:lineRule="auto"/>
      </w:pPr>
      <w:r>
        <w:continuationSeparator/>
      </w:r>
    </w:p>
  </w:footnote>
  <w:footnote w:id="1">
    <w:p w14:paraId="0751923F" w14:textId="6D6A463E" w:rsidR="006D4970" w:rsidRPr="00FE4DB5" w:rsidRDefault="006D4970" w:rsidP="00FE4DB5">
      <w:pPr>
        <w:spacing w:after="20" w:line="276" w:lineRule="auto"/>
        <w:rPr>
          <w:rFonts w:cs="Times New Roman"/>
          <w:color w:val="000000" w:themeColor="text1"/>
          <w:sz w:val="14"/>
          <w:szCs w:val="14"/>
        </w:rPr>
      </w:pPr>
      <w:r w:rsidRPr="00FE4DB5">
        <w:rPr>
          <w:rStyle w:val="FootnoteReference"/>
          <w:sz w:val="18"/>
          <w:szCs w:val="18"/>
        </w:rPr>
        <w:footnoteRef/>
      </w:r>
      <w:r w:rsidRPr="00FE4DB5">
        <w:rPr>
          <w:sz w:val="18"/>
          <w:szCs w:val="18"/>
        </w:rPr>
        <w:t xml:space="preserve"> </w:t>
      </w:r>
      <w:r w:rsidRPr="00FE4DB5">
        <w:rPr>
          <w:rFonts w:cs="Times New Roman"/>
          <w:b/>
          <w:bCs/>
          <w:color w:val="000000" w:themeColor="text1"/>
          <w:sz w:val="14"/>
          <w:szCs w:val="14"/>
        </w:rPr>
        <w:t xml:space="preserve">Hospital Order (s.37): </w:t>
      </w:r>
      <w:r w:rsidRPr="00FE4DB5">
        <w:rPr>
          <w:rFonts w:cs="Times New Roman"/>
          <w:color w:val="000000" w:themeColor="text1"/>
          <w:sz w:val="14"/>
          <w:szCs w:val="14"/>
        </w:rPr>
        <w:t xml:space="preserve">In this scenario the offender would go to a secure hospital and receive mental health treatment until deemed well enough to be discharged by a Mental Health Tribunal. They would then be monitored in the community by forensic mental health services.  </w:t>
      </w:r>
      <w:r w:rsidRPr="00FE4DB5">
        <w:rPr>
          <w:rFonts w:cs="Times New Roman"/>
          <w:b/>
          <w:bCs/>
          <w:color w:val="000000" w:themeColor="text1"/>
          <w:sz w:val="14"/>
          <w:szCs w:val="14"/>
        </w:rPr>
        <w:t>Prison:</w:t>
      </w:r>
      <w:r w:rsidRPr="00FE4DB5">
        <w:rPr>
          <w:rFonts w:cs="Times New Roman"/>
          <w:color w:val="000000" w:themeColor="text1"/>
          <w:sz w:val="14"/>
          <w:szCs w:val="14"/>
        </w:rPr>
        <w:t xml:space="preserve"> In this scenario the offender would go to prison until either the expiry of their sentence or they become eligible for parole. After release, they would be monitored in the community by probation services </w:t>
      </w:r>
      <w:r w:rsidRPr="00FE4DB5">
        <w:rPr>
          <w:rFonts w:cs="Times New Roman"/>
          <w:b/>
          <w:bCs/>
          <w:color w:val="000000" w:themeColor="text1"/>
          <w:sz w:val="14"/>
          <w:szCs w:val="14"/>
        </w:rPr>
        <w:t xml:space="preserve">Hybrid Order  (s.45A): </w:t>
      </w:r>
      <w:r w:rsidRPr="00FE4DB5">
        <w:rPr>
          <w:rFonts w:cs="Times New Roman"/>
          <w:color w:val="000000" w:themeColor="text1"/>
          <w:sz w:val="14"/>
          <w:szCs w:val="14"/>
        </w:rPr>
        <w:t>In this scenario the offender would go to a secure hospital and receive mental health treatment, however there would be a minimum sentence attached, meaning if the Mental Health Tribunal felt the offender no longer needed to be in hospital, they could be transferred to prison for the remainder of their sentence until eligible for parole. If released from hospital, they would be monitored by forensic mental health services, if released from prison, they would be monitored by probation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D233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F087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90DA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56AD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90CF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06B1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2436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0618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321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943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11BB7"/>
    <w:multiLevelType w:val="hybridMultilevel"/>
    <w:tmpl w:val="68B66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9C3EDA"/>
    <w:multiLevelType w:val="multilevel"/>
    <w:tmpl w:val="CCC066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7351E84"/>
    <w:multiLevelType w:val="multilevel"/>
    <w:tmpl w:val="B3DA38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86C4396"/>
    <w:multiLevelType w:val="multilevel"/>
    <w:tmpl w:val="060EB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CBA7FF4"/>
    <w:multiLevelType w:val="hybridMultilevel"/>
    <w:tmpl w:val="DDC0B97C"/>
    <w:lvl w:ilvl="0" w:tplc="756ADA20">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16C06F7"/>
    <w:multiLevelType w:val="hybridMultilevel"/>
    <w:tmpl w:val="9D14AEC4"/>
    <w:lvl w:ilvl="0" w:tplc="506CB6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3316D0E"/>
    <w:multiLevelType w:val="hybridMultilevel"/>
    <w:tmpl w:val="16DEADD6"/>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E55C71"/>
    <w:multiLevelType w:val="hybridMultilevel"/>
    <w:tmpl w:val="ADF07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3F84E99"/>
    <w:multiLevelType w:val="hybridMultilevel"/>
    <w:tmpl w:val="FB5CA93E"/>
    <w:lvl w:ilvl="0" w:tplc="74AEC3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7DF78DD"/>
    <w:multiLevelType w:val="hybridMultilevel"/>
    <w:tmpl w:val="F72032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93F2AC3"/>
    <w:multiLevelType w:val="multilevel"/>
    <w:tmpl w:val="647ED2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A0D0EFA"/>
    <w:multiLevelType w:val="multilevel"/>
    <w:tmpl w:val="983A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0C281B"/>
    <w:multiLevelType w:val="hybridMultilevel"/>
    <w:tmpl w:val="21FE8C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912BF8"/>
    <w:multiLevelType w:val="hybridMultilevel"/>
    <w:tmpl w:val="0EAEA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FB74C96"/>
    <w:multiLevelType w:val="hybridMultilevel"/>
    <w:tmpl w:val="64604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A17D3A"/>
    <w:multiLevelType w:val="hybridMultilevel"/>
    <w:tmpl w:val="EC66A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D82AC8"/>
    <w:multiLevelType w:val="hybridMultilevel"/>
    <w:tmpl w:val="E80C90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57D3866"/>
    <w:multiLevelType w:val="multilevel"/>
    <w:tmpl w:val="B6823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A3F5438"/>
    <w:multiLevelType w:val="multilevel"/>
    <w:tmpl w:val="56788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140767C"/>
    <w:multiLevelType w:val="hybridMultilevel"/>
    <w:tmpl w:val="64604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A47936"/>
    <w:multiLevelType w:val="hybridMultilevel"/>
    <w:tmpl w:val="B62E8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16463B"/>
    <w:multiLevelType w:val="hybridMultilevel"/>
    <w:tmpl w:val="BF7C7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5D26A8"/>
    <w:multiLevelType w:val="multilevel"/>
    <w:tmpl w:val="4B848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0563122"/>
    <w:multiLevelType w:val="hybridMultilevel"/>
    <w:tmpl w:val="87D43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240831"/>
    <w:multiLevelType w:val="hybridMultilevel"/>
    <w:tmpl w:val="FBFEC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486D6A"/>
    <w:multiLevelType w:val="multilevel"/>
    <w:tmpl w:val="B08EC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9D050B"/>
    <w:multiLevelType w:val="hybridMultilevel"/>
    <w:tmpl w:val="7DC43BC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157B2E"/>
    <w:multiLevelType w:val="hybridMultilevel"/>
    <w:tmpl w:val="64604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7F2156"/>
    <w:multiLevelType w:val="hybridMultilevel"/>
    <w:tmpl w:val="46EA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846489"/>
    <w:multiLevelType w:val="hybridMultilevel"/>
    <w:tmpl w:val="EDA45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517C09"/>
    <w:multiLevelType w:val="hybridMultilevel"/>
    <w:tmpl w:val="60CAB5F0"/>
    <w:lvl w:ilvl="0" w:tplc="3B4EA67C">
      <w:start w:val="1"/>
      <w:numFmt w:val="decimal"/>
      <w:lvlText w:val="%1."/>
      <w:lvlJc w:val="left"/>
      <w:pPr>
        <w:ind w:left="1020" w:hanging="360"/>
      </w:pPr>
    </w:lvl>
    <w:lvl w:ilvl="1" w:tplc="7D1655AC">
      <w:start w:val="1"/>
      <w:numFmt w:val="decimal"/>
      <w:lvlText w:val="%2."/>
      <w:lvlJc w:val="left"/>
      <w:pPr>
        <w:ind w:left="1020" w:hanging="360"/>
      </w:pPr>
    </w:lvl>
    <w:lvl w:ilvl="2" w:tplc="FCE6905E">
      <w:start w:val="1"/>
      <w:numFmt w:val="decimal"/>
      <w:lvlText w:val="%3."/>
      <w:lvlJc w:val="left"/>
      <w:pPr>
        <w:ind w:left="1020" w:hanging="360"/>
      </w:pPr>
    </w:lvl>
    <w:lvl w:ilvl="3" w:tplc="D5A00454">
      <w:start w:val="1"/>
      <w:numFmt w:val="decimal"/>
      <w:lvlText w:val="%4."/>
      <w:lvlJc w:val="left"/>
      <w:pPr>
        <w:ind w:left="1020" w:hanging="360"/>
      </w:pPr>
    </w:lvl>
    <w:lvl w:ilvl="4" w:tplc="7F0ED1AE">
      <w:start w:val="1"/>
      <w:numFmt w:val="decimal"/>
      <w:lvlText w:val="%5."/>
      <w:lvlJc w:val="left"/>
      <w:pPr>
        <w:ind w:left="1020" w:hanging="360"/>
      </w:pPr>
    </w:lvl>
    <w:lvl w:ilvl="5" w:tplc="9AD0B1B8">
      <w:start w:val="1"/>
      <w:numFmt w:val="decimal"/>
      <w:lvlText w:val="%6."/>
      <w:lvlJc w:val="left"/>
      <w:pPr>
        <w:ind w:left="1020" w:hanging="360"/>
      </w:pPr>
    </w:lvl>
    <w:lvl w:ilvl="6" w:tplc="95ECFFBA">
      <w:start w:val="1"/>
      <w:numFmt w:val="decimal"/>
      <w:lvlText w:val="%7."/>
      <w:lvlJc w:val="left"/>
      <w:pPr>
        <w:ind w:left="1020" w:hanging="360"/>
      </w:pPr>
    </w:lvl>
    <w:lvl w:ilvl="7" w:tplc="2D92B0BC">
      <w:start w:val="1"/>
      <w:numFmt w:val="decimal"/>
      <w:lvlText w:val="%8."/>
      <w:lvlJc w:val="left"/>
      <w:pPr>
        <w:ind w:left="1020" w:hanging="360"/>
      </w:pPr>
    </w:lvl>
    <w:lvl w:ilvl="8" w:tplc="9C90E2FA">
      <w:start w:val="1"/>
      <w:numFmt w:val="decimal"/>
      <w:lvlText w:val="%9."/>
      <w:lvlJc w:val="left"/>
      <w:pPr>
        <w:ind w:left="1020" w:hanging="360"/>
      </w:pPr>
    </w:lvl>
  </w:abstractNum>
  <w:abstractNum w:abstractNumId="41" w15:restartNumberingAfterBreak="0">
    <w:nsid w:val="60892355"/>
    <w:multiLevelType w:val="hybridMultilevel"/>
    <w:tmpl w:val="6D20E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5AA6D7B"/>
    <w:multiLevelType w:val="hybridMultilevel"/>
    <w:tmpl w:val="A9966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5F66B5C"/>
    <w:multiLevelType w:val="hybridMultilevel"/>
    <w:tmpl w:val="84A08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2204DD"/>
    <w:multiLevelType w:val="multilevel"/>
    <w:tmpl w:val="A6DA6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B7B724C"/>
    <w:multiLevelType w:val="multilevel"/>
    <w:tmpl w:val="231430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F035921"/>
    <w:multiLevelType w:val="hybridMultilevel"/>
    <w:tmpl w:val="D6E49164"/>
    <w:lvl w:ilvl="0" w:tplc="F5CADC3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433254">
    <w:abstractNumId w:val="39"/>
  </w:num>
  <w:num w:numId="2" w16cid:durableId="114639230">
    <w:abstractNumId w:val="40"/>
  </w:num>
  <w:num w:numId="3" w16cid:durableId="302736975">
    <w:abstractNumId w:val="36"/>
  </w:num>
  <w:num w:numId="4" w16cid:durableId="574777220">
    <w:abstractNumId w:val="16"/>
  </w:num>
  <w:num w:numId="5" w16cid:durableId="249243684">
    <w:abstractNumId w:val="19"/>
  </w:num>
  <w:num w:numId="6" w16cid:durableId="506409669">
    <w:abstractNumId w:val="41"/>
  </w:num>
  <w:num w:numId="7" w16cid:durableId="1244341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0988087">
    <w:abstractNumId w:val="23"/>
  </w:num>
  <w:num w:numId="9" w16cid:durableId="56589877">
    <w:abstractNumId w:val="17"/>
  </w:num>
  <w:num w:numId="10" w16cid:durableId="713774663">
    <w:abstractNumId w:val="42"/>
  </w:num>
  <w:num w:numId="11" w16cid:durableId="161119946">
    <w:abstractNumId w:val="30"/>
  </w:num>
  <w:num w:numId="12" w16cid:durableId="1651910014">
    <w:abstractNumId w:val="34"/>
  </w:num>
  <w:num w:numId="13" w16cid:durableId="1426994504">
    <w:abstractNumId w:val="21"/>
  </w:num>
  <w:num w:numId="14" w16cid:durableId="1820683284">
    <w:abstractNumId w:val="35"/>
  </w:num>
  <w:num w:numId="15" w16cid:durableId="910188856">
    <w:abstractNumId w:val="25"/>
  </w:num>
  <w:num w:numId="16" w16cid:durableId="1747343760">
    <w:abstractNumId w:val="15"/>
  </w:num>
  <w:num w:numId="17" w16cid:durableId="1961456164">
    <w:abstractNumId w:val="14"/>
  </w:num>
  <w:num w:numId="18" w16cid:durableId="1405567488">
    <w:abstractNumId w:val="28"/>
  </w:num>
  <w:num w:numId="19" w16cid:durableId="822622605">
    <w:abstractNumId w:val="32"/>
  </w:num>
  <w:num w:numId="20" w16cid:durableId="1568301362">
    <w:abstractNumId w:val="13"/>
  </w:num>
  <w:num w:numId="21" w16cid:durableId="1228299427">
    <w:abstractNumId w:val="11"/>
  </w:num>
  <w:num w:numId="22" w16cid:durableId="1941137668">
    <w:abstractNumId w:val="27"/>
  </w:num>
  <w:num w:numId="23" w16cid:durableId="2069456809">
    <w:abstractNumId w:val="45"/>
  </w:num>
  <w:num w:numId="24" w16cid:durableId="829173468">
    <w:abstractNumId w:val="20"/>
  </w:num>
  <w:num w:numId="25" w16cid:durableId="1489176102">
    <w:abstractNumId w:val="44"/>
  </w:num>
  <w:num w:numId="26" w16cid:durableId="529882703">
    <w:abstractNumId w:val="12"/>
  </w:num>
  <w:num w:numId="27" w16cid:durableId="1705329913">
    <w:abstractNumId w:val="9"/>
  </w:num>
  <w:num w:numId="28" w16cid:durableId="1848712634">
    <w:abstractNumId w:val="8"/>
  </w:num>
  <w:num w:numId="29" w16cid:durableId="865018473">
    <w:abstractNumId w:val="7"/>
  </w:num>
  <w:num w:numId="30" w16cid:durableId="1671710935">
    <w:abstractNumId w:val="6"/>
  </w:num>
  <w:num w:numId="31" w16cid:durableId="1697467624">
    <w:abstractNumId w:val="5"/>
  </w:num>
  <w:num w:numId="32" w16cid:durableId="20521596">
    <w:abstractNumId w:val="4"/>
  </w:num>
  <w:num w:numId="33" w16cid:durableId="999967983">
    <w:abstractNumId w:val="3"/>
  </w:num>
  <w:num w:numId="34" w16cid:durableId="1958640999">
    <w:abstractNumId w:val="2"/>
  </w:num>
  <w:num w:numId="35" w16cid:durableId="2107991351">
    <w:abstractNumId w:val="1"/>
  </w:num>
  <w:num w:numId="36" w16cid:durableId="1880973875">
    <w:abstractNumId w:val="0"/>
  </w:num>
  <w:num w:numId="37" w16cid:durableId="1086658643">
    <w:abstractNumId w:val="38"/>
  </w:num>
  <w:num w:numId="38" w16cid:durableId="1690135061">
    <w:abstractNumId w:val="46"/>
  </w:num>
  <w:num w:numId="39" w16cid:durableId="2010477752">
    <w:abstractNumId w:val="22"/>
  </w:num>
  <w:num w:numId="40" w16cid:durableId="991956136">
    <w:abstractNumId w:val="43"/>
  </w:num>
  <w:num w:numId="41" w16cid:durableId="862523074">
    <w:abstractNumId w:val="31"/>
  </w:num>
  <w:num w:numId="42" w16cid:durableId="337272436">
    <w:abstractNumId w:val="29"/>
  </w:num>
  <w:num w:numId="43" w16cid:durableId="2034648435">
    <w:abstractNumId w:val="37"/>
  </w:num>
  <w:num w:numId="44" w16cid:durableId="2023897262">
    <w:abstractNumId w:val="18"/>
  </w:num>
  <w:num w:numId="45" w16cid:durableId="1343125346">
    <w:abstractNumId w:val="24"/>
  </w:num>
  <w:num w:numId="46" w16cid:durableId="503786716">
    <w:abstractNumId w:val="10"/>
  </w:num>
  <w:num w:numId="47" w16cid:durableId="14260752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 Display&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ts9t0enpvff3ewzpd59fdbxwpt0ssftp2w&quot;&gt;Peter Beazley - Endnote Library&lt;record-ids&gt;&lt;item&gt;203&lt;/item&gt;&lt;item&gt;208&lt;/item&gt;&lt;item&gt;242&lt;/item&gt;&lt;item&gt;243&lt;/item&gt;&lt;item&gt;259&lt;/item&gt;&lt;item&gt;311&lt;/item&gt;&lt;item&gt;313&lt;/item&gt;&lt;item&gt;314&lt;/item&gt;&lt;item&gt;315&lt;/item&gt;&lt;item&gt;316&lt;/item&gt;&lt;item&gt;317&lt;/item&gt;&lt;item&gt;318&lt;/item&gt;&lt;item&gt;319&lt;/item&gt;&lt;item&gt;320&lt;/item&gt;&lt;item&gt;321&lt;/item&gt;&lt;item&gt;322&lt;/item&gt;&lt;item&gt;323&lt;/item&gt;&lt;/record-ids&gt;&lt;/item&gt;&lt;/Libraries&gt;"/>
  </w:docVars>
  <w:rsids>
    <w:rsidRoot w:val="004B6287"/>
    <w:rsid w:val="00000A83"/>
    <w:rsid w:val="000012CA"/>
    <w:rsid w:val="00002B04"/>
    <w:rsid w:val="00003499"/>
    <w:rsid w:val="00006C45"/>
    <w:rsid w:val="00010B7C"/>
    <w:rsid w:val="00015C25"/>
    <w:rsid w:val="000178D3"/>
    <w:rsid w:val="00020B10"/>
    <w:rsid w:val="000243F7"/>
    <w:rsid w:val="00035C91"/>
    <w:rsid w:val="00037B2A"/>
    <w:rsid w:val="00041D2F"/>
    <w:rsid w:val="00042543"/>
    <w:rsid w:val="000425AA"/>
    <w:rsid w:val="000462DF"/>
    <w:rsid w:val="00054294"/>
    <w:rsid w:val="00054A11"/>
    <w:rsid w:val="000570C0"/>
    <w:rsid w:val="00060C66"/>
    <w:rsid w:val="00060CEA"/>
    <w:rsid w:val="00061A88"/>
    <w:rsid w:val="0007324E"/>
    <w:rsid w:val="00074B85"/>
    <w:rsid w:val="00075FC2"/>
    <w:rsid w:val="00076A04"/>
    <w:rsid w:val="00082860"/>
    <w:rsid w:val="00084AB0"/>
    <w:rsid w:val="0008697F"/>
    <w:rsid w:val="000923BB"/>
    <w:rsid w:val="00092629"/>
    <w:rsid w:val="000974FA"/>
    <w:rsid w:val="000A0557"/>
    <w:rsid w:val="000B03B1"/>
    <w:rsid w:val="000B06AE"/>
    <w:rsid w:val="000B2534"/>
    <w:rsid w:val="000B413E"/>
    <w:rsid w:val="000B41A8"/>
    <w:rsid w:val="000B41AC"/>
    <w:rsid w:val="000B44CD"/>
    <w:rsid w:val="000B6808"/>
    <w:rsid w:val="000C11E0"/>
    <w:rsid w:val="000C1F58"/>
    <w:rsid w:val="000D2AD7"/>
    <w:rsid w:val="000D64B1"/>
    <w:rsid w:val="000D6A0B"/>
    <w:rsid w:val="000E098D"/>
    <w:rsid w:val="000E0CCC"/>
    <w:rsid w:val="000F090C"/>
    <w:rsid w:val="000F24E4"/>
    <w:rsid w:val="000F3BEA"/>
    <w:rsid w:val="000F4714"/>
    <w:rsid w:val="000F5D0B"/>
    <w:rsid w:val="00100CC1"/>
    <w:rsid w:val="00104ADD"/>
    <w:rsid w:val="00106DEB"/>
    <w:rsid w:val="00111367"/>
    <w:rsid w:val="001113FB"/>
    <w:rsid w:val="00111F30"/>
    <w:rsid w:val="00114CA6"/>
    <w:rsid w:val="00114F9B"/>
    <w:rsid w:val="00115C61"/>
    <w:rsid w:val="001215F5"/>
    <w:rsid w:val="00122573"/>
    <w:rsid w:val="001225DA"/>
    <w:rsid w:val="00122893"/>
    <w:rsid w:val="001231E6"/>
    <w:rsid w:val="0012377B"/>
    <w:rsid w:val="00127AD6"/>
    <w:rsid w:val="0013362B"/>
    <w:rsid w:val="00133B11"/>
    <w:rsid w:val="00134858"/>
    <w:rsid w:val="00134BAD"/>
    <w:rsid w:val="001413AD"/>
    <w:rsid w:val="00141BA0"/>
    <w:rsid w:val="00144A6B"/>
    <w:rsid w:val="00146863"/>
    <w:rsid w:val="001548FD"/>
    <w:rsid w:val="00154A93"/>
    <w:rsid w:val="00156789"/>
    <w:rsid w:val="00157D66"/>
    <w:rsid w:val="00160C98"/>
    <w:rsid w:val="001610B2"/>
    <w:rsid w:val="001640E5"/>
    <w:rsid w:val="00171841"/>
    <w:rsid w:val="00175D31"/>
    <w:rsid w:val="00181692"/>
    <w:rsid w:val="00182F13"/>
    <w:rsid w:val="001849FA"/>
    <w:rsid w:val="00185C2B"/>
    <w:rsid w:val="00186143"/>
    <w:rsid w:val="00187049"/>
    <w:rsid w:val="001878C3"/>
    <w:rsid w:val="00190531"/>
    <w:rsid w:val="00190E8C"/>
    <w:rsid w:val="00195A50"/>
    <w:rsid w:val="0019687A"/>
    <w:rsid w:val="001A2C91"/>
    <w:rsid w:val="001A533F"/>
    <w:rsid w:val="001A6E6A"/>
    <w:rsid w:val="001A72D6"/>
    <w:rsid w:val="001A771A"/>
    <w:rsid w:val="001A771C"/>
    <w:rsid w:val="001B1587"/>
    <w:rsid w:val="001B3BB9"/>
    <w:rsid w:val="001B43E2"/>
    <w:rsid w:val="001B47C6"/>
    <w:rsid w:val="001B545A"/>
    <w:rsid w:val="001B588D"/>
    <w:rsid w:val="001B63E0"/>
    <w:rsid w:val="001C0B77"/>
    <w:rsid w:val="001C140B"/>
    <w:rsid w:val="001C4486"/>
    <w:rsid w:val="001C5B7F"/>
    <w:rsid w:val="001C5D45"/>
    <w:rsid w:val="001C6F37"/>
    <w:rsid w:val="001D2132"/>
    <w:rsid w:val="001D3C8E"/>
    <w:rsid w:val="001D43A4"/>
    <w:rsid w:val="001D5655"/>
    <w:rsid w:val="001D5970"/>
    <w:rsid w:val="001E148A"/>
    <w:rsid w:val="001E2984"/>
    <w:rsid w:val="001E6E90"/>
    <w:rsid w:val="001E75B2"/>
    <w:rsid w:val="001F12CD"/>
    <w:rsid w:val="001F5BFE"/>
    <w:rsid w:val="001F65A7"/>
    <w:rsid w:val="001F6B75"/>
    <w:rsid w:val="0020031E"/>
    <w:rsid w:val="00203C88"/>
    <w:rsid w:val="002055B9"/>
    <w:rsid w:val="00207DFF"/>
    <w:rsid w:val="00216FD1"/>
    <w:rsid w:val="00223672"/>
    <w:rsid w:val="00223F23"/>
    <w:rsid w:val="00224A0D"/>
    <w:rsid w:val="00225371"/>
    <w:rsid w:val="00225F66"/>
    <w:rsid w:val="00227058"/>
    <w:rsid w:val="00227A46"/>
    <w:rsid w:val="00227D32"/>
    <w:rsid w:val="00233BA4"/>
    <w:rsid w:val="0023469C"/>
    <w:rsid w:val="00237D6F"/>
    <w:rsid w:val="00244982"/>
    <w:rsid w:val="002458D1"/>
    <w:rsid w:val="00254FC8"/>
    <w:rsid w:val="00256CAC"/>
    <w:rsid w:val="00256F4C"/>
    <w:rsid w:val="00261F22"/>
    <w:rsid w:val="0026255F"/>
    <w:rsid w:val="0026273F"/>
    <w:rsid w:val="00262912"/>
    <w:rsid w:val="00264FA8"/>
    <w:rsid w:val="002677A5"/>
    <w:rsid w:val="002700E6"/>
    <w:rsid w:val="0027039A"/>
    <w:rsid w:val="002705B6"/>
    <w:rsid w:val="002710C0"/>
    <w:rsid w:val="002771FB"/>
    <w:rsid w:val="00281253"/>
    <w:rsid w:val="00284821"/>
    <w:rsid w:val="00284D2B"/>
    <w:rsid w:val="00286DD8"/>
    <w:rsid w:val="002873E6"/>
    <w:rsid w:val="0029009B"/>
    <w:rsid w:val="00290B93"/>
    <w:rsid w:val="002932D1"/>
    <w:rsid w:val="00293394"/>
    <w:rsid w:val="00294BAF"/>
    <w:rsid w:val="00294E07"/>
    <w:rsid w:val="0029515C"/>
    <w:rsid w:val="00295C67"/>
    <w:rsid w:val="002962FB"/>
    <w:rsid w:val="002964F3"/>
    <w:rsid w:val="0029683C"/>
    <w:rsid w:val="00296BAF"/>
    <w:rsid w:val="002A1BAC"/>
    <w:rsid w:val="002A37F9"/>
    <w:rsid w:val="002A6056"/>
    <w:rsid w:val="002A6C1D"/>
    <w:rsid w:val="002A78F2"/>
    <w:rsid w:val="002B0F26"/>
    <w:rsid w:val="002B1AB5"/>
    <w:rsid w:val="002B245A"/>
    <w:rsid w:val="002B50F0"/>
    <w:rsid w:val="002C4008"/>
    <w:rsid w:val="002C4D24"/>
    <w:rsid w:val="002C5ECC"/>
    <w:rsid w:val="002D25B8"/>
    <w:rsid w:val="002D3AD5"/>
    <w:rsid w:val="002D7134"/>
    <w:rsid w:val="002D7D4C"/>
    <w:rsid w:val="002E1535"/>
    <w:rsid w:val="002E316C"/>
    <w:rsid w:val="002E450A"/>
    <w:rsid w:val="002E4B58"/>
    <w:rsid w:val="002E5888"/>
    <w:rsid w:val="002E6237"/>
    <w:rsid w:val="002E7460"/>
    <w:rsid w:val="002F02F7"/>
    <w:rsid w:val="002F0E61"/>
    <w:rsid w:val="002F2301"/>
    <w:rsid w:val="002F23DF"/>
    <w:rsid w:val="002F247F"/>
    <w:rsid w:val="002F4A40"/>
    <w:rsid w:val="002F6456"/>
    <w:rsid w:val="00300360"/>
    <w:rsid w:val="0030103C"/>
    <w:rsid w:val="00303472"/>
    <w:rsid w:val="003043BF"/>
    <w:rsid w:val="003050EB"/>
    <w:rsid w:val="0030692B"/>
    <w:rsid w:val="00310FD8"/>
    <w:rsid w:val="0031162A"/>
    <w:rsid w:val="00312C86"/>
    <w:rsid w:val="003130E1"/>
    <w:rsid w:val="00313F7D"/>
    <w:rsid w:val="00317BE9"/>
    <w:rsid w:val="0032075D"/>
    <w:rsid w:val="003218B6"/>
    <w:rsid w:val="00326C7F"/>
    <w:rsid w:val="00327FC6"/>
    <w:rsid w:val="00331B2B"/>
    <w:rsid w:val="003332AC"/>
    <w:rsid w:val="003340B6"/>
    <w:rsid w:val="00334ACF"/>
    <w:rsid w:val="00340503"/>
    <w:rsid w:val="00343C60"/>
    <w:rsid w:val="00350FBF"/>
    <w:rsid w:val="003521C5"/>
    <w:rsid w:val="0035606D"/>
    <w:rsid w:val="00356E21"/>
    <w:rsid w:val="003576B2"/>
    <w:rsid w:val="00361C1B"/>
    <w:rsid w:val="003622F4"/>
    <w:rsid w:val="00362313"/>
    <w:rsid w:val="00362C62"/>
    <w:rsid w:val="00363C01"/>
    <w:rsid w:val="00366889"/>
    <w:rsid w:val="00370C9D"/>
    <w:rsid w:val="00370DC9"/>
    <w:rsid w:val="00371ECA"/>
    <w:rsid w:val="00374E2D"/>
    <w:rsid w:val="003771B9"/>
    <w:rsid w:val="00377850"/>
    <w:rsid w:val="00380677"/>
    <w:rsid w:val="00380F68"/>
    <w:rsid w:val="003835D9"/>
    <w:rsid w:val="00385E07"/>
    <w:rsid w:val="00390C84"/>
    <w:rsid w:val="00390F4F"/>
    <w:rsid w:val="0039572D"/>
    <w:rsid w:val="00397AB8"/>
    <w:rsid w:val="003A73FE"/>
    <w:rsid w:val="003A7FED"/>
    <w:rsid w:val="003B42EE"/>
    <w:rsid w:val="003C0A41"/>
    <w:rsid w:val="003C1A00"/>
    <w:rsid w:val="003C2CA4"/>
    <w:rsid w:val="003C3B3B"/>
    <w:rsid w:val="003D2EF9"/>
    <w:rsid w:val="003E1A6D"/>
    <w:rsid w:val="003E2011"/>
    <w:rsid w:val="003E253B"/>
    <w:rsid w:val="003E4B83"/>
    <w:rsid w:val="003E60FD"/>
    <w:rsid w:val="003F0050"/>
    <w:rsid w:val="003F1D0C"/>
    <w:rsid w:val="003F222E"/>
    <w:rsid w:val="003F61D5"/>
    <w:rsid w:val="003F73AC"/>
    <w:rsid w:val="004023FA"/>
    <w:rsid w:val="004027FF"/>
    <w:rsid w:val="00407792"/>
    <w:rsid w:val="00411D38"/>
    <w:rsid w:val="00414A32"/>
    <w:rsid w:val="00415253"/>
    <w:rsid w:val="00422C02"/>
    <w:rsid w:val="0042543A"/>
    <w:rsid w:val="00426347"/>
    <w:rsid w:val="004373EA"/>
    <w:rsid w:val="004446F3"/>
    <w:rsid w:val="004449CD"/>
    <w:rsid w:val="00446F76"/>
    <w:rsid w:val="00450F1B"/>
    <w:rsid w:val="00452E12"/>
    <w:rsid w:val="00456F60"/>
    <w:rsid w:val="00460796"/>
    <w:rsid w:val="00460889"/>
    <w:rsid w:val="0046130E"/>
    <w:rsid w:val="00463E9B"/>
    <w:rsid w:val="00465C3B"/>
    <w:rsid w:val="00466383"/>
    <w:rsid w:val="0047191B"/>
    <w:rsid w:val="0047532A"/>
    <w:rsid w:val="00477EA3"/>
    <w:rsid w:val="00480E3E"/>
    <w:rsid w:val="00480F53"/>
    <w:rsid w:val="004824FD"/>
    <w:rsid w:val="0048251A"/>
    <w:rsid w:val="00483515"/>
    <w:rsid w:val="00486A87"/>
    <w:rsid w:val="00487DF5"/>
    <w:rsid w:val="00494DBD"/>
    <w:rsid w:val="00497AC5"/>
    <w:rsid w:val="004A0CD0"/>
    <w:rsid w:val="004A74B3"/>
    <w:rsid w:val="004A7F32"/>
    <w:rsid w:val="004B0A2E"/>
    <w:rsid w:val="004B6287"/>
    <w:rsid w:val="004C1A9E"/>
    <w:rsid w:val="004C562B"/>
    <w:rsid w:val="004C77A6"/>
    <w:rsid w:val="004D0DB1"/>
    <w:rsid w:val="004D1AFE"/>
    <w:rsid w:val="004D3897"/>
    <w:rsid w:val="004D3ACE"/>
    <w:rsid w:val="004D6AA2"/>
    <w:rsid w:val="004D7E4F"/>
    <w:rsid w:val="004E1055"/>
    <w:rsid w:val="004E205D"/>
    <w:rsid w:val="004E38D8"/>
    <w:rsid w:val="004E56A0"/>
    <w:rsid w:val="004F06FA"/>
    <w:rsid w:val="004F09DF"/>
    <w:rsid w:val="004F2610"/>
    <w:rsid w:val="004F2CFC"/>
    <w:rsid w:val="004F3753"/>
    <w:rsid w:val="004F44AC"/>
    <w:rsid w:val="004F5C40"/>
    <w:rsid w:val="004F610E"/>
    <w:rsid w:val="004F7192"/>
    <w:rsid w:val="00500B4D"/>
    <w:rsid w:val="0050220E"/>
    <w:rsid w:val="0050240B"/>
    <w:rsid w:val="00504BA6"/>
    <w:rsid w:val="00505333"/>
    <w:rsid w:val="005069C2"/>
    <w:rsid w:val="005073A6"/>
    <w:rsid w:val="00511E12"/>
    <w:rsid w:val="00511F15"/>
    <w:rsid w:val="005134EA"/>
    <w:rsid w:val="00513BD4"/>
    <w:rsid w:val="005151D4"/>
    <w:rsid w:val="005158C5"/>
    <w:rsid w:val="00515A2E"/>
    <w:rsid w:val="0052186B"/>
    <w:rsid w:val="00523DCB"/>
    <w:rsid w:val="00530DD1"/>
    <w:rsid w:val="00531221"/>
    <w:rsid w:val="005343C1"/>
    <w:rsid w:val="00535963"/>
    <w:rsid w:val="00536F60"/>
    <w:rsid w:val="00540CE0"/>
    <w:rsid w:val="00540FEC"/>
    <w:rsid w:val="005453D1"/>
    <w:rsid w:val="00550BC0"/>
    <w:rsid w:val="00552242"/>
    <w:rsid w:val="00555664"/>
    <w:rsid w:val="00556348"/>
    <w:rsid w:val="005578A2"/>
    <w:rsid w:val="00560732"/>
    <w:rsid w:val="00563348"/>
    <w:rsid w:val="005700B0"/>
    <w:rsid w:val="0057033A"/>
    <w:rsid w:val="00575670"/>
    <w:rsid w:val="00576305"/>
    <w:rsid w:val="005820BE"/>
    <w:rsid w:val="00584E81"/>
    <w:rsid w:val="00585143"/>
    <w:rsid w:val="00591FFA"/>
    <w:rsid w:val="005941BC"/>
    <w:rsid w:val="00595E42"/>
    <w:rsid w:val="00597779"/>
    <w:rsid w:val="005979BF"/>
    <w:rsid w:val="005A0D4E"/>
    <w:rsid w:val="005A2499"/>
    <w:rsid w:val="005A2A54"/>
    <w:rsid w:val="005A3FDD"/>
    <w:rsid w:val="005A545A"/>
    <w:rsid w:val="005A56A5"/>
    <w:rsid w:val="005A600A"/>
    <w:rsid w:val="005B021A"/>
    <w:rsid w:val="005B3EB0"/>
    <w:rsid w:val="005B5236"/>
    <w:rsid w:val="005C5282"/>
    <w:rsid w:val="005C6A46"/>
    <w:rsid w:val="005D12F8"/>
    <w:rsid w:val="005D1F2A"/>
    <w:rsid w:val="005D2CDC"/>
    <w:rsid w:val="005D32DC"/>
    <w:rsid w:val="005D336C"/>
    <w:rsid w:val="005D4DBF"/>
    <w:rsid w:val="005D4FC1"/>
    <w:rsid w:val="005E0DD8"/>
    <w:rsid w:val="005E6C69"/>
    <w:rsid w:val="005F29E7"/>
    <w:rsid w:val="00600126"/>
    <w:rsid w:val="0060364E"/>
    <w:rsid w:val="00604040"/>
    <w:rsid w:val="00606098"/>
    <w:rsid w:val="00606167"/>
    <w:rsid w:val="006102B2"/>
    <w:rsid w:val="00610EF9"/>
    <w:rsid w:val="00614FF8"/>
    <w:rsid w:val="00615111"/>
    <w:rsid w:val="00621BD9"/>
    <w:rsid w:val="00622286"/>
    <w:rsid w:val="00623B82"/>
    <w:rsid w:val="00624A6D"/>
    <w:rsid w:val="006321B0"/>
    <w:rsid w:val="006328B6"/>
    <w:rsid w:val="00634788"/>
    <w:rsid w:val="00635F79"/>
    <w:rsid w:val="006368A1"/>
    <w:rsid w:val="00641244"/>
    <w:rsid w:val="0064135D"/>
    <w:rsid w:val="00643515"/>
    <w:rsid w:val="00645A0A"/>
    <w:rsid w:val="00647234"/>
    <w:rsid w:val="006473CB"/>
    <w:rsid w:val="0064784B"/>
    <w:rsid w:val="00655770"/>
    <w:rsid w:val="0066109D"/>
    <w:rsid w:val="00665148"/>
    <w:rsid w:val="00665EF4"/>
    <w:rsid w:val="006665D5"/>
    <w:rsid w:val="00666799"/>
    <w:rsid w:val="00670699"/>
    <w:rsid w:val="0067283D"/>
    <w:rsid w:val="006731A4"/>
    <w:rsid w:val="00673617"/>
    <w:rsid w:val="00675097"/>
    <w:rsid w:val="006776AF"/>
    <w:rsid w:val="00677D55"/>
    <w:rsid w:val="006808C2"/>
    <w:rsid w:val="00680C90"/>
    <w:rsid w:val="00683B79"/>
    <w:rsid w:val="006841BF"/>
    <w:rsid w:val="006845F2"/>
    <w:rsid w:val="00685593"/>
    <w:rsid w:val="0069216D"/>
    <w:rsid w:val="00693424"/>
    <w:rsid w:val="006958A1"/>
    <w:rsid w:val="006958CC"/>
    <w:rsid w:val="006A0638"/>
    <w:rsid w:val="006A2585"/>
    <w:rsid w:val="006A31DA"/>
    <w:rsid w:val="006A59E1"/>
    <w:rsid w:val="006B1AA0"/>
    <w:rsid w:val="006B1D79"/>
    <w:rsid w:val="006B20C1"/>
    <w:rsid w:val="006B3F83"/>
    <w:rsid w:val="006B4FDA"/>
    <w:rsid w:val="006B658B"/>
    <w:rsid w:val="006B7D61"/>
    <w:rsid w:val="006C02D6"/>
    <w:rsid w:val="006C0B09"/>
    <w:rsid w:val="006C1C0A"/>
    <w:rsid w:val="006C3640"/>
    <w:rsid w:val="006C5741"/>
    <w:rsid w:val="006C6E19"/>
    <w:rsid w:val="006D24BF"/>
    <w:rsid w:val="006D2605"/>
    <w:rsid w:val="006D3763"/>
    <w:rsid w:val="006D3798"/>
    <w:rsid w:val="006D4970"/>
    <w:rsid w:val="006D4FE8"/>
    <w:rsid w:val="006D59E9"/>
    <w:rsid w:val="006D5F8C"/>
    <w:rsid w:val="006D652D"/>
    <w:rsid w:val="006D682D"/>
    <w:rsid w:val="006D6880"/>
    <w:rsid w:val="006D6C82"/>
    <w:rsid w:val="006E1DD8"/>
    <w:rsid w:val="006E6802"/>
    <w:rsid w:val="006E79BB"/>
    <w:rsid w:val="006F1523"/>
    <w:rsid w:val="006F296A"/>
    <w:rsid w:val="00700A00"/>
    <w:rsid w:val="00701322"/>
    <w:rsid w:val="00702E19"/>
    <w:rsid w:val="0070400C"/>
    <w:rsid w:val="007105D9"/>
    <w:rsid w:val="00713810"/>
    <w:rsid w:val="007140DA"/>
    <w:rsid w:val="00715CEA"/>
    <w:rsid w:val="00722249"/>
    <w:rsid w:val="0072373A"/>
    <w:rsid w:val="00725C5F"/>
    <w:rsid w:val="00726508"/>
    <w:rsid w:val="0072679B"/>
    <w:rsid w:val="00726A60"/>
    <w:rsid w:val="007329BF"/>
    <w:rsid w:val="00732AC3"/>
    <w:rsid w:val="00733305"/>
    <w:rsid w:val="0073367C"/>
    <w:rsid w:val="00734D9C"/>
    <w:rsid w:val="0073617D"/>
    <w:rsid w:val="00741FA1"/>
    <w:rsid w:val="00741FBD"/>
    <w:rsid w:val="00742BC3"/>
    <w:rsid w:val="00743548"/>
    <w:rsid w:val="0074492B"/>
    <w:rsid w:val="0074531A"/>
    <w:rsid w:val="00750277"/>
    <w:rsid w:val="00751FB6"/>
    <w:rsid w:val="00752411"/>
    <w:rsid w:val="007630C8"/>
    <w:rsid w:val="007631AC"/>
    <w:rsid w:val="007654E8"/>
    <w:rsid w:val="00767B27"/>
    <w:rsid w:val="00767C35"/>
    <w:rsid w:val="00772672"/>
    <w:rsid w:val="00773C6C"/>
    <w:rsid w:val="00773E41"/>
    <w:rsid w:val="00774D97"/>
    <w:rsid w:val="00777D5B"/>
    <w:rsid w:val="00783AAF"/>
    <w:rsid w:val="00783B46"/>
    <w:rsid w:val="00783D5A"/>
    <w:rsid w:val="0078426E"/>
    <w:rsid w:val="00784D73"/>
    <w:rsid w:val="0078631B"/>
    <w:rsid w:val="007866EB"/>
    <w:rsid w:val="007870F8"/>
    <w:rsid w:val="007877E1"/>
    <w:rsid w:val="00792A20"/>
    <w:rsid w:val="00794417"/>
    <w:rsid w:val="00794E1F"/>
    <w:rsid w:val="0079725C"/>
    <w:rsid w:val="007A2FE0"/>
    <w:rsid w:val="007A32ED"/>
    <w:rsid w:val="007A55CF"/>
    <w:rsid w:val="007A59EC"/>
    <w:rsid w:val="007A616C"/>
    <w:rsid w:val="007A721B"/>
    <w:rsid w:val="007B07DF"/>
    <w:rsid w:val="007B1F8E"/>
    <w:rsid w:val="007B6CE1"/>
    <w:rsid w:val="007B7526"/>
    <w:rsid w:val="007C0B27"/>
    <w:rsid w:val="007C3307"/>
    <w:rsid w:val="007C4021"/>
    <w:rsid w:val="007C4DF2"/>
    <w:rsid w:val="007D035A"/>
    <w:rsid w:val="007D0380"/>
    <w:rsid w:val="007D0BC9"/>
    <w:rsid w:val="007D33AF"/>
    <w:rsid w:val="007D4563"/>
    <w:rsid w:val="007D75F0"/>
    <w:rsid w:val="007E1F68"/>
    <w:rsid w:val="007E543D"/>
    <w:rsid w:val="007E7AD9"/>
    <w:rsid w:val="007F0FF3"/>
    <w:rsid w:val="007F1269"/>
    <w:rsid w:val="007F402F"/>
    <w:rsid w:val="007F66FD"/>
    <w:rsid w:val="007F7F93"/>
    <w:rsid w:val="008001CB"/>
    <w:rsid w:val="00802172"/>
    <w:rsid w:val="008039F7"/>
    <w:rsid w:val="00806888"/>
    <w:rsid w:val="00812606"/>
    <w:rsid w:val="00814886"/>
    <w:rsid w:val="00816067"/>
    <w:rsid w:val="00817457"/>
    <w:rsid w:val="00820443"/>
    <w:rsid w:val="00823B90"/>
    <w:rsid w:val="00826040"/>
    <w:rsid w:val="00826228"/>
    <w:rsid w:val="00826269"/>
    <w:rsid w:val="00826454"/>
    <w:rsid w:val="0082774D"/>
    <w:rsid w:val="00827C7D"/>
    <w:rsid w:val="00832F29"/>
    <w:rsid w:val="00837A1C"/>
    <w:rsid w:val="00840AFC"/>
    <w:rsid w:val="0084162A"/>
    <w:rsid w:val="00841FE7"/>
    <w:rsid w:val="00842006"/>
    <w:rsid w:val="00842076"/>
    <w:rsid w:val="00842BF8"/>
    <w:rsid w:val="0084427B"/>
    <w:rsid w:val="00847130"/>
    <w:rsid w:val="00851ACB"/>
    <w:rsid w:val="0085246D"/>
    <w:rsid w:val="00852920"/>
    <w:rsid w:val="00852985"/>
    <w:rsid w:val="00855C30"/>
    <w:rsid w:val="008576E9"/>
    <w:rsid w:val="00861135"/>
    <w:rsid w:val="008619E9"/>
    <w:rsid w:val="00865DF5"/>
    <w:rsid w:val="00866C1E"/>
    <w:rsid w:val="00867E17"/>
    <w:rsid w:val="00876AF0"/>
    <w:rsid w:val="00877BF9"/>
    <w:rsid w:val="00881C78"/>
    <w:rsid w:val="00881CE7"/>
    <w:rsid w:val="00882B7A"/>
    <w:rsid w:val="00883759"/>
    <w:rsid w:val="00883779"/>
    <w:rsid w:val="00883F02"/>
    <w:rsid w:val="00884127"/>
    <w:rsid w:val="00885D85"/>
    <w:rsid w:val="00886B8A"/>
    <w:rsid w:val="00886CCC"/>
    <w:rsid w:val="00886F07"/>
    <w:rsid w:val="0089017F"/>
    <w:rsid w:val="008911CA"/>
    <w:rsid w:val="00891BFC"/>
    <w:rsid w:val="0089218D"/>
    <w:rsid w:val="008924B7"/>
    <w:rsid w:val="008962E4"/>
    <w:rsid w:val="008963CD"/>
    <w:rsid w:val="008965EE"/>
    <w:rsid w:val="008A2576"/>
    <w:rsid w:val="008A67F8"/>
    <w:rsid w:val="008B0626"/>
    <w:rsid w:val="008B1443"/>
    <w:rsid w:val="008B31C4"/>
    <w:rsid w:val="008C1214"/>
    <w:rsid w:val="008C2316"/>
    <w:rsid w:val="008C23BA"/>
    <w:rsid w:val="008C3445"/>
    <w:rsid w:val="008C440C"/>
    <w:rsid w:val="008C6B94"/>
    <w:rsid w:val="008D04B2"/>
    <w:rsid w:val="008D3343"/>
    <w:rsid w:val="008D3965"/>
    <w:rsid w:val="008D560A"/>
    <w:rsid w:val="008D6872"/>
    <w:rsid w:val="008D6E7C"/>
    <w:rsid w:val="008D7870"/>
    <w:rsid w:val="008E17B0"/>
    <w:rsid w:val="008E1822"/>
    <w:rsid w:val="008E3123"/>
    <w:rsid w:val="008E7212"/>
    <w:rsid w:val="008E742D"/>
    <w:rsid w:val="008F0B4D"/>
    <w:rsid w:val="008F0B61"/>
    <w:rsid w:val="008F0C95"/>
    <w:rsid w:val="008F3529"/>
    <w:rsid w:val="008F40D3"/>
    <w:rsid w:val="008F460D"/>
    <w:rsid w:val="008F5DB9"/>
    <w:rsid w:val="008F76A3"/>
    <w:rsid w:val="008F773F"/>
    <w:rsid w:val="008F77E1"/>
    <w:rsid w:val="00900F8C"/>
    <w:rsid w:val="009036E0"/>
    <w:rsid w:val="009047F1"/>
    <w:rsid w:val="00905665"/>
    <w:rsid w:val="009059D4"/>
    <w:rsid w:val="00906A99"/>
    <w:rsid w:val="00906CE6"/>
    <w:rsid w:val="009078D9"/>
    <w:rsid w:val="009136CC"/>
    <w:rsid w:val="00913E68"/>
    <w:rsid w:val="009165FC"/>
    <w:rsid w:val="00920323"/>
    <w:rsid w:val="00921513"/>
    <w:rsid w:val="00921918"/>
    <w:rsid w:val="00921BD4"/>
    <w:rsid w:val="00924768"/>
    <w:rsid w:val="00931B34"/>
    <w:rsid w:val="00933321"/>
    <w:rsid w:val="009347D3"/>
    <w:rsid w:val="00934FF0"/>
    <w:rsid w:val="0094181B"/>
    <w:rsid w:val="009459E9"/>
    <w:rsid w:val="009500E4"/>
    <w:rsid w:val="00950B64"/>
    <w:rsid w:val="009519A6"/>
    <w:rsid w:val="00951F9B"/>
    <w:rsid w:val="00951FBD"/>
    <w:rsid w:val="00952A6F"/>
    <w:rsid w:val="00953F89"/>
    <w:rsid w:val="00962042"/>
    <w:rsid w:val="00963FC1"/>
    <w:rsid w:val="0096442F"/>
    <w:rsid w:val="00965568"/>
    <w:rsid w:val="00974C8A"/>
    <w:rsid w:val="0098299D"/>
    <w:rsid w:val="00985C73"/>
    <w:rsid w:val="00990A40"/>
    <w:rsid w:val="00992B5D"/>
    <w:rsid w:val="009947F8"/>
    <w:rsid w:val="00995DAE"/>
    <w:rsid w:val="00996E17"/>
    <w:rsid w:val="009A03BF"/>
    <w:rsid w:val="009A2A60"/>
    <w:rsid w:val="009A6D03"/>
    <w:rsid w:val="009A7387"/>
    <w:rsid w:val="009B06DA"/>
    <w:rsid w:val="009B18B0"/>
    <w:rsid w:val="009B4388"/>
    <w:rsid w:val="009B62D3"/>
    <w:rsid w:val="009B63DC"/>
    <w:rsid w:val="009B7A77"/>
    <w:rsid w:val="009C0235"/>
    <w:rsid w:val="009C1017"/>
    <w:rsid w:val="009C137E"/>
    <w:rsid w:val="009C17F1"/>
    <w:rsid w:val="009C39C4"/>
    <w:rsid w:val="009C4503"/>
    <w:rsid w:val="009C46BA"/>
    <w:rsid w:val="009C5742"/>
    <w:rsid w:val="009C5F2C"/>
    <w:rsid w:val="009C61CA"/>
    <w:rsid w:val="009D029C"/>
    <w:rsid w:val="009D2552"/>
    <w:rsid w:val="009D33A9"/>
    <w:rsid w:val="009D3F3E"/>
    <w:rsid w:val="009E06AD"/>
    <w:rsid w:val="009E118D"/>
    <w:rsid w:val="009E144F"/>
    <w:rsid w:val="009E274A"/>
    <w:rsid w:val="009E375C"/>
    <w:rsid w:val="009E4486"/>
    <w:rsid w:val="009E4C3E"/>
    <w:rsid w:val="009F22CE"/>
    <w:rsid w:val="009F3331"/>
    <w:rsid w:val="009F3518"/>
    <w:rsid w:val="009F4858"/>
    <w:rsid w:val="009F7778"/>
    <w:rsid w:val="009F7855"/>
    <w:rsid w:val="009F7DDF"/>
    <w:rsid w:val="00A00D22"/>
    <w:rsid w:val="00A0126A"/>
    <w:rsid w:val="00A032E4"/>
    <w:rsid w:val="00A04321"/>
    <w:rsid w:val="00A06B60"/>
    <w:rsid w:val="00A06D0F"/>
    <w:rsid w:val="00A07995"/>
    <w:rsid w:val="00A079AE"/>
    <w:rsid w:val="00A07BD4"/>
    <w:rsid w:val="00A07C51"/>
    <w:rsid w:val="00A1744B"/>
    <w:rsid w:val="00A175CE"/>
    <w:rsid w:val="00A249E9"/>
    <w:rsid w:val="00A25CB7"/>
    <w:rsid w:val="00A3276B"/>
    <w:rsid w:val="00A32F36"/>
    <w:rsid w:val="00A4080A"/>
    <w:rsid w:val="00A40A69"/>
    <w:rsid w:val="00A40B4A"/>
    <w:rsid w:val="00A4159C"/>
    <w:rsid w:val="00A46E11"/>
    <w:rsid w:val="00A47346"/>
    <w:rsid w:val="00A474B6"/>
    <w:rsid w:val="00A47726"/>
    <w:rsid w:val="00A5282C"/>
    <w:rsid w:val="00A554F9"/>
    <w:rsid w:val="00A57345"/>
    <w:rsid w:val="00A576AA"/>
    <w:rsid w:val="00A57ED8"/>
    <w:rsid w:val="00A609E4"/>
    <w:rsid w:val="00A61522"/>
    <w:rsid w:val="00A617AB"/>
    <w:rsid w:val="00A63CEE"/>
    <w:rsid w:val="00A66BAC"/>
    <w:rsid w:val="00A73ADE"/>
    <w:rsid w:val="00A7486D"/>
    <w:rsid w:val="00A74E7F"/>
    <w:rsid w:val="00A75B16"/>
    <w:rsid w:val="00A75DE7"/>
    <w:rsid w:val="00A81FF7"/>
    <w:rsid w:val="00A83F68"/>
    <w:rsid w:val="00A85DF8"/>
    <w:rsid w:val="00A87251"/>
    <w:rsid w:val="00A91E85"/>
    <w:rsid w:val="00A91F86"/>
    <w:rsid w:val="00A92224"/>
    <w:rsid w:val="00A9364D"/>
    <w:rsid w:val="00A93B69"/>
    <w:rsid w:val="00A955FF"/>
    <w:rsid w:val="00AA2A45"/>
    <w:rsid w:val="00AA5CFB"/>
    <w:rsid w:val="00AB0D12"/>
    <w:rsid w:val="00AB223C"/>
    <w:rsid w:val="00AB34A2"/>
    <w:rsid w:val="00AB734E"/>
    <w:rsid w:val="00AC256F"/>
    <w:rsid w:val="00AD008F"/>
    <w:rsid w:val="00AD0EA9"/>
    <w:rsid w:val="00AD0EF6"/>
    <w:rsid w:val="00AD204B"/>
    <w:rsid w:val="00AD403C"/>
    <w:rsid w:val="00AD4B57"/>
    <w:rsid w:val="00AD5008"/>
    <w:rsid w:val="00AE0219"/>
    <w:rsid w:val="00AE0F47"/>
    <w:rsid w:val="00AE2A38"/>
    <w:rsid w:val="00AE383A"/>
    <w:rsid w:val="00AE5179"/>
    <w:rsid w:val="00AF07C1"/>
    <w:rsid w:val="00AF0A86"/>
    <w:rsid w:val="00AF2A69"/>
    <w:rsid w:val="00AF2CDA"/>
    <w:rsid w:val="00AF5D5D"/>
    <w:rsid w:val="00AF5E4A"/>
    <w:rsid w:val="00AF65D7"/>
    <w:rsid w:val="00AF6A16"/>
    <w:rsid w:val="00AF7055"/>
    <w:rsid w:val="00B021EB"/>
    <w:rsid w:val="00B1017A"/>
    <w:rsid w:val="00B10519"/>
    <w:rsid w:val="00B17841"/>
    <w:rsid w:val="00B205BA"/>
    <w:rsid w:val="00B21EE4"/>
    <w:rsid w:val="00B22563"/>
    <w:rsid w:val="00B23B73"/>
    <w:rsid w:val="00B250B3"/>
    <w:rsid w:val="00B268D5"/>
    <w:rsid w:val="00B33609"/>
    <w:rsid w:val="00B33B83"/>
    <w:rsid w:val="00B40095"/>
    <w:rsid w:val="00B41EBF"/>
    <w:rsid w:val="00B438D9"/>
    <w:rsid w:val="00B43C5D"/>
    <w:rsid w:val="00B458CF"/>
    <w:rsid w:val="00B478C4"/>
    <w:rsid w:val="00B47A8F"/>
    <w:rsid w:val="00B5207D"/>
    <w:rsid w:val="00B521A4"/>
    <w:rsid w:val="00B537B3"/>
    <w:rsid w:val="00B54861"/>
    <w:rsid w:val="00B54F5F"/>
    <w:rsid w:val="00B55A93"/>
    <w:rsid w:val="00B56608"/>
    <w:rsid w:val="00B624B6"/>
    <w:rsid w:val="00B625C0"/>
    <w:rsid w:val="00B66FD2"/>
    <w:rsid w:val="00B75188"/>
    <w:rsid w:val="00B75467"/>
    <w:rsid w:val="00B77E05"/>
    <w:rsid w:val="00B77ECA"/>
    <w:rsid w:val="00B832CE"/>
    <w:rsid w:val="00B83732"/>
    <w:rsid w:val="00B87AEE"/>
    <w:rsid w:val="00B87BE6"/>
    <w:rsid w:val="00B87F5A"/>
    <w:rsid w:val="00B908CE"/>
    <w:rsid w:val="00B96540"/>
    <w:rsid w:val="00B97602"/>
    <w:rsid w:val="00BA011A"/>
    <w:rsid w:val="00BA0485"/>
    <w:rsid w:val="00BA135B"/>
    <w:rsid w:val="00BA1440"/>
    <w:rsid w:val="00BA1EC9"/>
    <w:rsid w:val="00BA26E8"/>
    <w:rsid w:val="00BA2F93"/>
    <w:rsid w:val="00BA31B3"/>
    <w:rsid w:val="00BA36A9"/>
    <w:rsid w:val="00BA4F8F"/>
    <w:rsid w:val="00BA54FB"/>
    <w:rsid w:val="00BA6059"/>
    <w:rsid w:val="00BB098A"/>
    <w:rsid w:val="00BB1B62"/>
    <w:rsid w:val="00BB242E"/>
    <w:rsid w:val="00BB3B1F"/>
    <w:rsid w:val="00BB4DF3"/>
    <w:rsid w:val="00BC1F1A"/>
    <w:rsid w:val="00BC406F"/>
    <w:rsid w:val="00BC4654"/>
    <w:rsid w:val="00BC4A38"/>
    <w:rsid w:val="00BC4F93"/>
    <w:rsid w:val="00BC6713"/>
    <w:rsid w:val="00BC74E4"/>
    <w:rsid w:val="00BD2E7C"/>
    <w:rsid w:val="00BD398D"/>
    <w:rsid w:val="00BD716D"/>
    <w:rsid w:val="00BE28BA"/>
    <w:rsid w:val="00BE3244"/>
    <w:rsid w:val="00BE534C"/>
    <w:rsid w:val="00BE59ED"/>
    <w:rsid w:val="00BE61B0"/>
    <w:rsid w:val="00BE6316"/>
    <w:rsid w:val="00BF0E09"/>
    <w:rsid w:val="00BF1D5C"/>
    <w:rsid w:val="00BF2383"/>
    <w:rsid w:val="00BF560F"/>
    <w:rsid w:val="00BF6681"/>
    <w:rsid w:val="00C03B01"/>
    <w:rsid w:val="00C050FC"/>
    <w:rsid w:val="00C067AD"/>
    <w:rsid w:val="00C06A8B"/>
    <w:rsid w:val="00C07AF1"/>
    <w:rsid w:val="00C15131"/>
    <w:rsid w:val="00C1741E"/>
    <w:rsid w:val="00C20197"/>
    <w:rsid w:val="00C207F1"/>
    <w:rsid w:val="00C20FEE"/>
    <w:rsid w:val="00C21031"/>
    <w:rsid w:val="00C2609D"/>
    <w:rsid w:val="00C2629B"/>
    <w:rsid w:val="00C2679D"/>
    <w:rsid w:val="00C30E2B"/>
    <w:rsid w:val="00C33706"/>
    <w:rsid w:val="00C33752"/>
    <w:rsid w:val="00C44978"/>
    <w:rsid w:val="00C507B9"/>
    <w:rsid w:val="00C51A47"/>
    <w:rsid w:val="00C54704"/>
    <w:rsid w:val="00C559F4"/>
    <w:rsid w:val="00C64CE0"/>
    <w:rsid w:val="00C6587F"/>
    <w:rsid w:val="00C71375"/>
    <w:rsid w:val="00C72F7D"/>
    <w:rsid w:val="00C74FB5"/>
    <w:rsid w:val="00C803E6"/>
    <w:rsid w:val="00C8070B"/>
    <w:rsid w:val="00C81379"/>
    <w:rsid w:val="00C82A12"/>
    <w:rsid w:val="00C84677"/>
    <w:rsid w:val="00C84BC2"/>
    <w:rsid w:val="00C8675E"/>
    <w:rsid w:val="00C87C5A"/>
    <w:rsid w:val="00C90876"/>
    <w:rsid w:val="00C908F1"/>
    <w:rsid w:val="00C915D2"/>
    <w:rsid w:val="00C91727"/>
    <w:rsid w:val="00CA13AE"/>
    <w:rsid w:val="00CA348F"/>
    <w:rsid w:val="00CA40A6"/>
    <w:rsid w:val="00CA4F69"/>
    <w:rsid w:val="00CA6C93"/>
    <w:rsid w:val="00CA7401"/>
    <w:rsid w:val="00CB0806"/>
    <w:rsid w:val="00CB0B8C"/>
    <w:rsid w:val="00CB149A"/>
    <w:rsid w:val="00CB2311"/>
    <w:rsid w:val="00CB3957"/>
    <w:rsid w:val="00CB45A3"/>
    <w:rsid w:val="00CB4EBE"/>
    <w:rsid w:val="00CB72CC"/>
    <w:rsid w:val="00CB737A"/>
    <w:rsid w:val="00CC079D"/>
    <w:rsid w:val="00CC1074"/>
    <w:rsid w:val="00CC1907"/>
    <w:rsid w:val="00CC4F7B"/>
    <w:rsid w:val="00CC63CA"/>
    <w:rsid w:val="00CD28B4"/>
    <w:rsid w:val="00CD3B24"/>
    <w:rsid w:val="00CD5347"/>
    <w:rsid w:val="00CD7A4D"/>
    <w:rsid w:val="00CE2857"/>
    <w:rsid w:val="00CE2C41"/>
    <w:rsid w:val="00CE6A01"/>
    <w:rsid w:val="00CE6D1B"/>
    <w:rsid w:val="00CF008F"/>
    <w:rsid w:val="00CF2DC9"/>
    <w:rsid w:val="00CF5640"/>
    <w:rsid w:val="00D015FC"/>
    <w:rsid w:val="00D0274D"/>
    <w:rsid w:val="00D07152"/>
    <w:rsid w:val="00D1282C"/>
    <w:rsid w:val="00D12F3A"/>
    <w:rsid w:val="00D15E8A"/>
    <w:rsid w:val="00D15F1C"/>
    <w:rsid w:val="00D16357"/>
    <w:rsid w:val="00D165AE"/>
    <w:rsid w:val="00D20F77"/>
    <w:rsid w:val="00D2240B"/>
    <w:rsid w:val="00D2628B"/>
    <w:rsid w:val="00D33093"/>
    <w:rsid w:val="00D335DC"/>
    <w:rsid w:val="00D3766F"/>
    <w:rsid w:val="00D37E6D"/>
    <w:rsid w:val="00D44E8C"/>
    <w:rsid w:val="00D45300"/>
    <w:rsid w:val="00D51AB2"/>
    <w:rsid w:val="00D53846"/>
    <w:rsid w:val="00D53E7B"/>
    <w:rsid w:val="00D55D9F"/>
    <w:rsid w:val="00D606B9"/>
    <w:rsid w:val="00D63787"/>
    <w:rsid w:val="00D711C5"/>
    <w:rsid w:val="00D73897"/>
    <w:rsid w:val="00D74768"/>
    <w:rsid w:val="00D75665"/>
    <w:rsid w:val="00D77681"/>
    <w:rsid w:val="00D8402F"/>
    <w:rsid w:val="00D84968"/>
    <w:rsid w:val="00D87974"/>
    <w:rsid w:val="00D90206"/>
    <w:rsid w:val="00D90ACD"/>
    <w:rsid w:val="00D9108C"/>
    <w:rsid w:val="00D9115D"/>
    <w:rsid w:val="00D9207C"/>
    <w:rsid w:val="00D92C89"/>
    <w:rsid w:val="00D9377B"/>
    <w:rsid w:val="00D93E95"/>
    <w:rsid w:val="00D94109"/>
    <w:rsid w:val="00D946CF"/>
    <w:rsid w:val="00D97307"/>
    <w:rsid w:val="00DA1FF9"/>
    <w:rsid w:val="00DA2115"/>
    <w:rsid w:val="00DA7D07"/>
    <w:rsid w:val="00DB2B60"/>
    <w:rsid w:val="00DB30F6"/>
    <w:rsid w:val="00DB35B9"/>
    <w:rsid w:val="00DB3ABD"/>
    <w:rsid w:val="00DB4075"/>
    <w:rsid w:val="00DB5736"/>
    <w:rsid w:val="00DB5980"/>
    <w:rsid w:val="00DB7B26"/>
    <w:rsid w:val="00DB7C30"/>
    <w:rsid w:val="00DC12B7"/>
    <w:rsid w:val="00DD2D6B"/>
    <w:rsid w:val="00DD3C86"/>
    <w:rsid w:val="00DD5EA3"/>
    <w:rsid w:val="00DD70A3"/>
    <w:rsid w:val="00DE02C2"/>
    <w:rsid w:val="00DE079E"/>
    <w:rsid w:val="00DE15F4"/>
    <w:rsid w:val="00DE2310"/>
    <w:rsid w:val="00DF7511"/>
    <w:rsid w:val="00DF7C6A"/>
    <w:rsid w:val="00E00D30"/>
    <w:rsid w:val="00E027B6"/>
    <w:rsid w:val="00E02BC9"/>
    <w:rsid w:val="00E031A7"/>
    <w:rsid w:val="00E036E5"/>
    <w:rsid w:val="00E04213"/>
    <w:rsid w:val="00E04F92"/>
    <w:rsid w:val="00E058EC"/>
    <w:rsid w:val="00E07550"/>
    <w:rsid w:val="00E0796F"/>
    <w:rsid w:val="00E109DB"/>
    <w:rsid w:val="00E11CC5"/>
    <w:rsid w:val="00E120C8"/>
    <w:rsid w:val="00E13CC1"/>
    <w:rsid w:val="00E15F41"/>
    <w:rsid w:val="00E16EF1"/>
    <w:rsid w:val="00E2005A"/>
    <w:rsid w:val="00E20083"/>
    <w:rsid w:val="00E20C40"/>
    <w:rsid w:val="00E2428B"/>
    <w:rsid w:val="00E24D97"/>
    <w:rsid w:val="00E25D52"/>
    <w:rsid w:val="00E30B56"/>
    <w:rsid w:val="00E31A82"/>
    <w:rsid w:val="00E3702B"/>
    <w:rsid w:val="00E40AAF"/>
    <w:rsid w:val="00E43EF9"/>
    <w:rsid w:val="00E45425"/>
    <w:rsid w:val="00E47FDC"/>
    <w:rsid w:val="00E51E1F"/>
    <w:rsid w:val="00E5281C"/>
    <w:rsid w:val="00E52C10"/>
    <w:rsid w:val="00E543FD"/>
    <w:rsid w:val="00E55C5C"/>
    <w:rsid w:val="00E578A1"/>
    <w:rsid w:val="00E601F4"/>
    <w:rsid w:val="00E6295F"/>
    <w:rsid w:val="00E62FC8"/>
    <w:rsid w:val="00E6343E"/>
    <w:rsid w:val="00E63445"/>
    <w:rsid w:val="00E64BB1"/>
    <w:rsid w:val="00E67325"/>
    <w:rsid w:val="00E72B5A"/>
    <w:rsid w:val="00E74797"/>
    <w:rsid w:val="00E76B13"/>
    <w:rsid w:val="00E76D6A"/>
    <w:rsid w:val="00E77163"/>
    <w:rsid w:val="00E77E43"/>
    <w:rsid w:val="00E80579"/>
    <w:rsid w:val="00E8103C"/>
    <w:rsid w:val="00E82975"/>
    <w:rsid w:val="00E840C1"/>
    <w:rsid w:val="00E843DF"/>
    <w:rsid w:val="00E85AB6"/>
    <w:rsid w:val="00E8615C"/>
    <w:rsid w:val="00E86770"/>
    <w:rsid w:val="00E94436"/>
    <w:rsid w:val="00E94656"/>
    <w:rsid w:val="00E9588E"/>
    <w:rsid w:val="00E973D8"/>
    <w:rsid w:val="00EA017E"/>
    <w:rsid w:val="00EA2E7F"/>
    <w:rsid w:val="00EA3925"/>
    <w:rsid w:val="00EA443B"/>
    <w:rsid w:val="00EA5001"/>
    <w:rsid w:val="00EA7A40"/>
    <w:rsid w:val="00EB008E"/>
    <w:rsid w:val="00EB0E4E"/>
    <w:rsid w:val="00EB1098"/>
    <w:rsid w:val="00EB2138"/>
    <w:rsid w:val="00EB2F5D"/>
    <w:rsid w:val="00EB389D"/>
    <w:rsid w:val="00EB627A"/>
    <w:rsid w:val="00EB6A13"/>
    <w:rsid w:val="00EB7795"/>
    <w:rsid w:val="00EC085B"/>
    <w:rsid w:val="00EC0942"/>
    <w:rsid w:val="00EC1834"/>
    <w:rsid w:val="00EC5CA1"/>
    <w:rsid w:val="00EC73C9"/>
    <w:rsid w:val="00EC7D77"/>
    <w:rsid w:val="00ED03B2"/>
    <w:rsid w:val="00ED1B93"/>
    <w:rsid w:val="00ED51DE"/>
    <w:rsid w:val="00ED594F"/>
    <w:rsid w:val="00EE21F2"/>
    <w:rsid w:val="00EE36B5"/>
    <w:rsid w:val="00EE3D55"/>
    <w:rsid w:val="00EE5A3C"/>
    <w:rsid w:val="00EE5E0F"/>
    <w:rsid w:val="00EE6050"/>
    <w:rsid w:val="00EF0D95"/>
    <w:rsid w:val="00EF2712"/>
    <w:rsid w:val="00EF6D89"/>
    <w:rsid w:val="00EF6FF1"/>
    <w:rsid w:val="00EF75B4"/>
    <w:rsid w:val="00F018E1"/>
    <w:rsid w:val="00F109B4"/>
    <w:rsid w:val="00F1105A"/>
    <w:rsid w:val="00F11FB9"/>
    <w:rsid w:val="00F13B33"/>
    <w:rsid w:val="00F24A7C"/>
    <w:rsid w:val="00F25619"/>
    <w:rsid w:val="00F30480"/>
    <w:rsid w:val="00F308F6"/>
    <w:rsid w:val="00F3176F"/>
    <w:rsid w:val="00F320BD"/>
    <w:rsid w:val="00F32D79"/>
    <w:rsid w:val="00F339C5"/>
    <w:rsid w:val="00F3692B"/>
    <w:rsid w:val="00F41D19"/>
    <w:rsid w:val="00F45212"/>
    <w:rsid w:val="00F508E6"/>
    <w:rsid w:val="00F52238"/>
    <w:rsid w:val="00F536B8"/>
    <w:rsid w:val="00F536D5"/>
    <w:rsid w:val="00F634D5"/>
    <w:rsid w:val="00F643BB"/>
    <w:rsid w:val="00F653BD"/>
    <w:rsid w:val="00F6598E"/>
    <w:rsid w:val="00F65DF0"/>
    <w:rsid w:val="00F8212E"/>
    <w:rsid w:val="00F84A97"/>
    <w:rsid w:val="00F86C8A"/>
    <w:rsid w:val="00F90F35"/>
    <w:rsid w:val="00F94C9C"/>
    <w:rsid w:val="00F952CC"/>
    <w:rsid w:val="00F95CB1"/>
    <w:rsid w:val="00FA1008"/>
    <w:rsid w:val="00FA3CE3"/>
    <w:rsid w:val="00FA4E0C"/>
    <w:rsid w:val="00FA69A2"/>
    <w:rsid w:val="00FB136C"/>
    <w:rsid w:val="00FB32AA"/>
    <w:rsid w:val="00FC0C30"/>
    <w:rsid w:val="00FC0FE2"/>
    <w:rsid w:val="00FC3711"/>
    <w:rsid w:val="00FC5D15"/>
    <w:rsid w:val="00FC6C45"/>
    <w:rsid w:val="00FD1EBC"/>
    <w:rsid w:val="00FD3FDD"/>
    <w:rsid w:val="00FD76E2"/>
    <w:rsid w:val="00FE14AA"/>
    <w:rsid w:val="00FE4DB5"/>
    <w:rsid w:val="00FE761E"/>
    <w:rsid w:val="00FF19E8"/>
    <w:rsid w:val="00FF2ED1"/>
    <w:rsid w:val="00FF52F0"/>
    <w:rsid w:val="235378E9"/>
    <w:rsid w:val="75659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5BA2A"/>
  <w15:chartTrackingRefBased/>
  <w15:docId w15:val="{E74D0979-7122-4328-81AC-C6A6D1DA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6DA"/>
    <w:pPr>
      <w:spacing w:after="40"/>
    </w:pPr>
    <w:rPr>
      <w:kern w:val="0"/>
      <w14:ligatures w14:val="none"/>
    </w:rPr>
  </w:style>
  <w:style w:type="paragraph" w:styleId="Heading1">
    <w:name w:val="heading 1"/>
    <w:basedOn w:val="Normal"/>
    <w:next w:val="Normal"/>
    <w:link w:val="Heading1Char"/>
    <w:uiPriority w:val="9"/>
    <w:qFormat/>
    <w:rsid w:val="004B6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6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6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6287"/>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287"/>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6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6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6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287"/>
    <w:rPr>
      <w:rFonts w:eastAsiaTheme="majorEastAsia" w:cstheme="majorBidi"/>
      <w:color w:val="272727" w:themeColor="text1" w:themeTint="D8"/>
    </w:rPr>
  </w:style>
  <w:style w:type="paragraph" w:styleId="Title">
    <w:name w:val="Title"/>
    <w:basedOn w:val="Normal"/>
    <w:next w:val="Normal"/>
    <w:link w:val="TitleChar"/>
    <w:uiPriority w:val="10"/>
    <w:qFormat/>
    <w:rsid w:val="004B6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287"/>
    <w:pPr>
      <w:spacing w:before="160"/>
      <w:jc w:val="center"/>
    </w:pPr>
    <w:rPr>
      <w:i/>
      <w:iCs/>
      <w:color w:val="404040" w:themeColor="text1" w:themeTint="BF"/>
    </w:rPr>
  </w:style>
  <w:style w:type="character" w:customStyle="1" w:styleId="QuoteChar">
    <w:name w:val="Quote Char"/>
    <w:basedOn w:val="DefaultParagraphFont"/>
    <w:link w:val="Quote"/>
    <w:uiPriority w:val="29"/>
    <w:rsid w:val="004B6287"/>
    <w:rPr>
      <w:i/>
      <w:iCs/>
      <w:color w:val="404040" w:themeColor="text1" w:themeTint="BF"/>
    </w:rPr>
  </w:style>
  <w:style w:type="paragraph" w:styleId="ListParagraph">
    <w:name w:val="List Paragraph"/>
    <w:basedOn w:val="Normal"/>
    <w:qFormat/>
    <w:rsid w:val="004B6287"/>
    <w:pPr>
      <w:ind w:left="720"/>
      <w:contextualSpacing/>
    </w:pPr>
  </w:style>
  <w:style w:type="character" w:styleId="IntenseEmphasis">
    <w:name w:val="Intense Emphasis"/>
    <w:basedOn w:val="DefaultParagraphFont"/>
    <w:uiPriority w:val="21"/>
    <w:qFormat/>
    <w:rsid w:val="004B6287"/>
    <w:rPr>
      <w:i/>
      <w:iCs/>
      <w:color w:val="0F4761" w:themeColor="accent1" w:themeShade="BF"/>
    </w:rPr>
  </w:style>
  <w:style w:type="paragraph" w:styleId="IntenseQuote">
    <w:name w:val="Intense Quote"/>
    <w:basedOn w:val="Normal"/>
    <w:next w:val="Normal"/>
    <w:link w:val="IntenseQuoteChar"/>
    <w:uiPriority w:val="30"/>
    <w:qFormat/>
    <w:rsid w:val="004B6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287"/>
    <w:rPr>
      <w:i/>
      <w:iCs/>
      <w:color w:val="0F4761" w:themeColor="accent1" w:themeShade="BF"/>
    </w:rPr>
  </w:style>
  <w:style w:type="character" w:styleId="IntenseReference">
    <w:name w:val="Intense Reference"/>
    <w:basedOn w:val="DefaultParagraphFont"/>
    <w:uiPriority w:val="32"/>
    <w:qFormat/>
    <w:rsid w:val="004B6287"/>
    <w:rPr>
      <w:b/>
      <w:bCs/>
      <w:smallCaps/>
      <w:color w:val="0F4761" w:themeColor="accent1" w:themeShade="BF"/>
      <w:spacing w:val="5"/>
    </w:rPr>
  </w:style>
  <w:style w:type="character" w:styleId="Hyperlink">
    <w:name w:val="Hyperlink"/>
    <w:basedOn w:val="DefaultParagraphFont"/>
    <w:uiPriority w:val="99"/>
    <w:unhideWhenUsed/>
    <w:rsid w:val="000C11E0"/>
    <w:rPr>
      <w:color w:val="467886" w:themeColor="hyperlink"/>
      <w:u w:val="single"/>
    </w:rPr>
  </w:style>
  <w:style w:type="character" w:styleId="UnresolvedMention">
    <w:name w:val="Unresolved Mention"/>
    <w:basedOn w:val="DefaultParagraphFont"/>
    <w:uiPriority w:val="99"/>
    <w:semiHidden/>
    <w:unhideWhenUsed/>
    <w:rsid w:val="000C11E0"/>
    <w:rPr>
      <w:color w:val="605E5C"/>
      <w:shd w:val="clear" w:color="auto" w:fill="E1DFDD"/>
    </w:rPr>
  </w:style>
  <w:style w:type="paragraph" w:styleId="Caption">
    <w:name w:val="caption"/>
    <w:basedOn w:val="Normal"/>
    <w:next w:val="Normal"/>
    <w:uiPriority w:val="35"/>
    <w:unhideWhenUsed/>
    <w:qFormat/>
    <w:rsid w:val="000C11E0"/>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0C11E0"/>
    <w:rPr>
      <w:sz w:val="16"/>
      <w:szCs w:val="16"/>
    </w:rPr>
  </w:style>
  <w:style w:type="paragraph" w:styleId="CommentText">
    <w:name w:val="annotation text"/>
    <w:basedOn w:val="Normal"/>
    <w:link w:val="CommentTextChar"/>
    <w:uiPriority w:val="99"/>
    <w:unhideWhenUsed/>
    <w:rsid w:val="000C11E0"/>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0C11E0"/>
    <w:rPr>
      <w:sz w:val="20"/>
      <w:szCs w:val="20"/>
    </w:rPr>
  </w:style>
  <w:style w:type="table" w:styleId="TableGrid">
    <w:name w:val="Table Grid"/>
    <w:basedOn w:val="TableNormal"/>
    <w:uiPriority w:val="39"/>
    <w:rsid w:val="000C11E0"/>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1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1E0"/>
    <w:rPr>
      <w:kern w:val="0"/>
      <w14:ligatures w14:val="none"/>
    </w:rPr>
  </w:style>
  <w:style w:type="paragraph" w:styleId="Footer">
    <w:name w:val="footer"/>
    <w:basedOn w:val="Normal"/>
    <w:link w:val="FooterChar"/>
    <w:uiPriority w:val="99"/>
    <w:unhideWhenUsed/>
    <w:rsid w:val="000C1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1E0"/>
    <w:rPr>
      <w:kern w:val="0"/>
      <w14:ligatures w14:val="none"/>
    </w:rPr>
  </w:style>
  <w:style w:type="paragraph" w:styleId="CommentSubject">
    <w:name w:val="annotation subject"/>
    <w:basedOn w:val="CommentText"/>
    <w:next w:val="CommentText"/>
    <w:link w:val="CommentSubjectChar"/>
    <w:uiPriority w:val="99"/>
    <w:semiHidden/>
    <w:unhideWhenUsed/>
    <w:rsid w:val="000C11E0"/>
    <w:rPr>
      <w:b/>
      <w:bCs/>
      <w:kern w:val="0"/>
      <w14:ligatures w14:val="none"/>
    </w:rPr>
  </w:style>
  <w:style w:type="character" w:customStyle="1" w:styleId="CommentSubjectChar">
    <w:name w:val="Comment Subject Char"/>
    <w:basedOn w:val="CommentTextChar"/>
    <w:link w:val="CommentSubject"/>
    <w:uiPriority w:val="99"/>
    <w:semiHidden/>
    <w:rsid w:val="000C11E0"/>
    <w:rPr>
      <w:b/>
      <w:bCs/>
      <w:kern w:val="0"/>
      <w:sz w:val="20"/>
      <w:szCs w:val="20"/>
      <w14:ligatures w14:val="none"/>
    </w:rPr>
  </w:style>
  <w:style w:type="paragraph" w:styleId="Revision">
    <w:name w:val="Revision"/>
    <w:hidden/>
    <w:uiPriority w:val="99"/>
    <w:semiHidden/>
    <w:rsid w:val="000C11E0"/>
    <w:pPr>
      <w:spacing w:after="0" w:line="240" w:lineRule="auto"/>
    </w:pPr>
    <w:rPr>
      <w:kern w:val="0"/>
      <w14:ligatures w14:val="none"/>
    </w:rPr>
  </w:style>
  <w:style w:type="character" w:customStyle="1" w:styleId="ref-journal">
    <w:name w:val="ref-journal"/>
    <w:basedOn w:val="DefaultParagraphFont"/>
    <w:rsid w:val="000C11E0"/>
  </w:style>
  <w:style w:type="character" w:styleId="Emphasis">
    <w:name w:val="Emphasis"/>
    <w:basedOn w:val="DefaultParagraphFont"/>
    <w:uiPriority w:val="20"/>
    <w:qFormat/>
    <w:rsid w:val="000C11E0"/>
    <w:rPr>
      <w:i/>
      <w:iCs/>
    </w:rPr>
  </w:style>
  <w:style w:type="character" w:customStyle="1" w:styleId="ref-title">
    <w:name w:val="ref-title"/>
    <w:basedOn w:val="DefaultParagraphFont"/>
    <w:rsid w:val="000C11E0"/>
  </w:style>
  <w:style w:type="character" w:customStyle="1" w:styleId="ref-vol">
    <w:name w:val="ref-vol"/>
    <w:basedOn w:val="DefaultParagraphFont"/>
    <w:rsid w:val="000C11E0"/>
  </w:style>
  <w:style w:type="character" w:customStyle="1" w:styleId="ref-iss">
    <w:name w:val="ref-iss"/>
    <w:basedOn w:val="DefaultParagraphFont"/>
    <w:rsid w:val="000C11E0"/>
  </w:style>
  <w:style w:type="character" w:customStyle="1" w:styleId="authors">
    <w:name w:val="authors"/>
    <w:basedOn w:val="DefaultParagraphFont"/>
    <w:rsid w:val="000C11E0"/>
  </w:style>
  <w:style w:type="character" w:customStyle="1" w:styleId="Date1">
    <w:name w:val="Date1"/>
    <w:basedOn w:val="DefaultParagraphFont"/>
    <w:rsid w:val="000C11E0"/>
  </w:style>
  <w:style w:type="character" w:customStyle="1" w:styleId="arttitle">
    <w:name w:val="art_title"/>
    <w:basedOn w:val="DefaultParagraphFont"/>
    <w:rsid w:val="000C11E0"/>
  </w:style>
  <w:style w:type="character" w:customStyle="1" w:styleId="serialtitle">
    <w:name w:val="serial_title"/>
    <w:basedOn w:val="DefaultParagraphFont"/>
    <w:rsid w:val="000C11E0"/>
  </w:style>
  <w:style w:type="character" w:customStyle="1" w:styleId="volumeissue">
    <w:name w:val="volume_issue"/>
    <w:basedOn w:val="DefaultParagraphFont"/>
    <w:rsid w:val="000C11E0"/>
  </w:style>
  <w:style w:type="character" w:customStyle="1" w:styleId="pagerange">
    <w:name w:val="page_range"/>
    <w:basedOn w:val="DefaultParagraphFont"/>
    <w:rsid w:val="000C11E0"/>
  </w:style>
  <w:style w:type="character" w:customStyle="1" w:styleId="html-italic">
    <w:name w:val="html-italic"/>
    <w:basedOn w:val="DefaultParagraphFont"/>
    <w:rsid w:val="000C11E0"/>
  </w:style>
  <w:style w:type="character" w:customStyle="1" w:styleId="author">
    <w:name w:val="author"/>
    <w:basedOn w:val="DefaultParagraphFont"/>
    <w:rsid w:val="000C11E0"/>
  </w:style>
  <w:style w:type="character" w:customStyle="1" w:styleId="pubyear">
    <w:name w:val="pubyear"/>
    <w:basedOn w:val="DefaultParagraphFont"/>
    <w:rsid w:val="000C11E0"/>
  </w:style>
  <w:style w:type="character" w:customStyle="1" w:styleId="articletitle">
    <w:name w:val="articletitle"/>
    <w:basedOn w:val="DefaultParagraphFont"/>
    <w:rsid w:val="000C11E0"/>
  </w:style>
  <w:style w:type="character" w:customStyle="1" w:styleId="vol">
    <w:name w:val="vol"/>
    <w:basedOn w:val="DefaultParagraphFont"/>
    <w:rsid w:val="000C11E0"/>
  </w:style>
  <w:style w:type="character" w:customStyle="1" w:styleId="citedissue">
    <w:name w:val="citedissue"/>
    <w:basedOn w:val="DefaultParagraphFont"/>
    <w:rsid w:val="000C11E0"/>
  </w:style>
  <w:style w:type="character" w:customStyle="1" w:styleId="pagefirst">
    <w:name w:val="pagefirst"/>
    <w:basedOn w:val="DefaultParagraphFont"/>
    <w:rsid w:val="000C11E0"/>
  </w:style>
  <w:style w:type="character" w:customStyle="1" w:styleId="pagelast">
    <w:name w:val="pagelast"/>
    <w:basedOn w:val="DefaultParagraphFont"/>
    <w:rsid w:val="000C11E0"/>
  </w:style>
  <w:style w:type="paragraph" w:styleId="NormalWeb">
    <w:name w:val="Normal (Web)"/>
    <w:basedOn w:val="Normal"/>
    <w:uiPriority w:val="99"/>
    <w:unhideWhenUsed/>
    <w:rsid w:val="000C1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ersonname">
    <w:name w:val="person_name"/>
    <w:basedOn w:val="DefaultParagraphFont"/>
    <w:rsid w:val="000C11E0"/>
  </w:style>
  <w:style w:type="character" w:customStyle="1" w:styleId="cf01">
    <w:name w:val="cf01"/>
    <w:basedOn w:val="DefaultParagraphFont"/>
    <w:rsid w:val="000C11E0"/>
    <w:rPr>
      <w:rFonts w:ascii="Segoe UI" w:hAnsi="Segoe UI" w:cs="Segoe UI" w:hint="default"/>
      <w:sz w:val="18"/>
      <w:szCs w:val="18"/>
    </w:rPr>
  </w:style>
  <w:style w:type="paragraph" w:styleId="NoSpacing">
    <w:name w:val="No Spacing"/>
    <w:uiPriority w:val="1"/>
    <w:qFormat/>
    <w:rsid w:val="000C11E0"/>
    <w:pPr>
      <w:spacing w:after="0" w:line="240" w:lineRule="auto"/>
    </w:pPr>
    <w:rPr>
      <w:rFonts w:eastAsiaTheme="minorEastAsia"/>
      <w:kern w:val="0"/>
      <w:lang w:eastAsia="zh-CN"/>
      <w14:ligatures w14:val="none"/>
    </w:rPr>
  </w:style>
  <w:style w:type="character" w:customStyle="1" w:styleId="element-citation">
    <w:name w:val="element-citation"/>
    <w:basedOn w:val="DefaultParagraphFont"/>
    <w:rsid w:val="000C11E0"/>
  </w:style>
  <w:style w:type="character" w:styleId="Strong">
    <w:name w:val="Strong"/>
    <w:basedOn w:val="DefaultParagraphFont"/>
    <w:uiPriority w:val="22"/>
    <w:qFormat/>
    <w:rsid w:val="000C11E0"/>
    <w:rPr>
      <w:b/>
      <w:bCs/>
    </w:rPr>
  </w:style>
  <w:style w:type="paragraph" w:customStyle="1" w:styleId="pf0">
    <w:name w:val="pf0"/>
    <w:basedOn w:val="Normal"/>
    <w:rsid w:val="000C1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C11E0"/>
    <w:rPr>
      <w:color w:val="96607D" w:themeColor="followedHyperlink"/>
      <w:u w:val="single"/>
    </w:rPr>
  </w:style>
  <w:style w:type="paragraph" w:styleId="TOCHeading">
    <w:name w:val="TOC Heading"/>
    <w:basedOn w:val="Heading1"/>
    <w:next w:val="Normal"/>
    <w:uiPriority w:val="39"/>
    <w:unhideWhenUsed/>
    <w:qFormat/>
    <w:rsid w:val="000C11E0"/>
    <w:pPr>
      <w:spacing w:before="240" w:after="0" w:line="480" w:lineRule="auto"/>
      <w:jc w:val="center"/>
      <w:outlineLvl w:val="9"/>
    </w:pPr>
    <w:rPr>
      <w:rFonts w:ascii="Times New Roman" w:hAnsi="Times New Roman" w:cs="Times New Roman"/>
      <w:b/>
      <w:bCs/>
      <w:color w:val="000000" w:themeColor="text1"/>
      <w:sz w:val="32"/>
      <w:szCs w:val="32"/>
      <w:lang w:val="en-US"/>
    </w:rPr>
  </w:style>
  <w:style w:type="paragraph" w:styleId="TOC2">
    <w:name w:val="toc 2"/>
    <w:basedOn w:val="Normal"/>
    <w:next w:val="Normal"/>
    <w:autoRedefine/>
    <w:uiPriority w:val="39"/>
    <w:unhideWhenUsed/>
    <w:rsid w:val="000C11E0"/>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C11E0"/>
    <w:pPr>
      <w:spacing w:after="100"/>
    </w:pPr>
    <w:rPr>
      <w:rFonts w:eastAsiaTheme="minorEastAsia" w:cs="Times New Roman"/>
      <w:lang w:val="en-US"/>
    </w:rPr>
  </w:style>
  <w:style w:type="paragraph" w:styleId="TOC3">
    <w:name w:val="toc 3"/>
    <w:basedOn w:val="Normal"/>
    <w:next w:val="Normal"/>
    <w:autoRedefine/>
    <w:uiPriority w:val="39"/>
    <w:unhideWhenUsed/>
    <w:rsid w:val="000C11E0"/>
    <w:pPr>
      <w:tabs>
        <w:tab w:val="right" w:leader="dot" w:pos="8914"/>
      </w:tabs>
      <w:spacing w:after="100"/>
      <w:ind w:left="440"/>
    </w:pPr>
    <w:rPr>
      <w:rFonts w:ascii="Times New Roman" w:eastAsiaTheme="minorEastAsia" w:hAnsi="Times New Roman" w:cs="Times New Roman"/>
      <w:noProof/>
      <w:sz w:val="24"/>
      <w:szCs w:val="24"/>
      <w:lang w:val="en-US"/>
    </w:rPr>
  </w:style>
  <w:style w:type="character" w:customStyle="1" w:styleId="string-name">
    <w:name w:val="string-name"/>
    <w:basedOn w:val="DefaultParagraphFont"/>
    <w:rsid w:val="000C11E0"/>
  </w:style>
  <w:style w:type="character" w:customStyle="1" w:styleId="surname">
    <w:name w:val="surname"/>
    <w:basedOn w:val="DefaultParagraphFont"/>
    <w:rsid w:val="000C11E0"/>
  </w:style>
  <w:style w:type="character" w:customStyle="1" w:styleId="given-names">
    <w:name w:val="given-names"/>
    <w:basedOn w:val="DefaultParagraphFont"/>
    <w:rsid w:val="000C11E0"/>
  </w:style>
  <w:style w:type="character" w:customStyle="1" w:styleId="year">
    <w:name w:val="year"/>
    <w:basedOn w:val="DefaultParagraphFont"/>
    <w:rsid w:val="000C11E0"/>
  </w:style>
  <w:style w:type="paragraph" w:styleId="FootnoteText">
    <w:name w:val="footnote text"/>
    <w:basedOn w:val="Normal"/>
    <w:link w:val="FootnoteTextChar"/>
    <w:uiPriority w:val="99"/>
    <w:semiHidden/>
    <w:unhideWhenUsed/>
    <w:rsid w:val="00774D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D97"/>
    <w:rPr>
      <w:kern w:val="0"/>
      <w:sz w:val="20"/>
      <w:szCs w:val="20"/>
      <w14:ligatures w14:val="none"/>
    </w:rPr>
  </w:style>
  <w:style w:type="character" w:styleId="FootnoteReference">
    <w:name w:val="footnote reference"/>
    <w:basedOn w:val="DefaultParagraphFont"/>
    <w:uiPriority w:val="99"/>
    <w:semiHidden/>
    <w:unhideWhenUsed/>
    <w:rsid w:val="00774D97"/>
    <w:rPr>
      <w:vertAlign w:val="superscript"/>
    </w:rPr>
  </w:style>
  <w:style w:type="paragraph" w:styleId="EndnoteText">
    <w:name w:val="endnote text"/>
    <w:basedOn w:val="Normal"/>
    <w:link w:val="EndnoteTextChar"/>
    <w:uiPriority w:val="99"/>
    <w:semiHidden/>
    <w:unhideWhenUsed/>
    <w:rsid w:val="00774D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4D97"/>
    <w:rPr>
      <w:kern w:val="0"/>
      <w:sz w:val="20"/>
      <w:szCs w:val="20"/>
      <w14:ligatures w14:val="none"/>
    </w:rPr>
  </w:style>
  <w:style w:type="character" w:styleId="EndnoteReference">
    <w:name w:val="endnote reference"/>
    <w:basedOn w:val="DefaultParagraphFont"/>
    <w:uiPriority w:val="99"/>
    <w:semiHidden/>
    <w:unhideWhenUsed/>
    <w:rsid w:val="00774D97"/>
    <w:rPr>
      <w:vertAlign w:val="superscript"/>
    </w:rPr>
  </w:style>
  <w:style w:type="table" w:styleId="PlainTable2">
    <w:name w:val="Plain Table 2"/>
    <w:basedOn w:val="TableNormal"/>
    <w:uiPriority w:val="42"/>
    <w:rsid w:val="00256C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634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rsid w:val="00A91F86"/>
    <w:pPr>
      <w:spacing w:after="0"/>
      <w:jc w:val="center"/>
    </w:pPr>
    <w:rPr>
      <w:rFonts w:ascii="Aptos Display" w:hAnsi="Aptos Display"/>
      <w:noProof/>
      <w:sz w:val="32"/>
      <w:lang w:val="en-US"/>
    </w:rPr>
  </w:style>
  <w:style w:type="character" w:customStyle="1" w:styleId="EndNoteBibliographyTitleChar">
    <w:name w:val="EndNote Bibliography Title Char"/>
    <w:basedOn w:val="DefaultParagraphFont"/>
    <w:link w:val="EndNoteBibliographyTitle"/>
    <w:rsid w:val="00A91F86"/>
    <w:rPr>
      <w:rFonts w:ascii="Aptos Display" w:hAnsi="Aptos Display"/>
      <w:noProof/>
      <w:kern w:val="0"/>
      <w:sz w:val="32"/>
      <w:lang w:val="en-US"/>
      <w14:ligatures w14:val="none"/>
    </w:rPr>
  </w:style>
  <w:style w:type="paragraph" w:customStyle="1" w:styleId="EndNoteBibliography">
    <w:name w:val="EndNote Bibliography"/>
    <w:basedOn w:val="Normal"/>
    <w:link w:val="EndNoteBibliographyChar"/>
    <w:rsid w:val="00A91F86"/>
    <w:pPr>
      <w:spacing w:line="240" w:lineRule="auto"/>
    </w:pPr>
    <w:rPr>
      <w:rFonts w:ascii="Aptos Display" w:hAnsi="Aptos Display"/>
      <w:noProof/>
      <w:sz w:val="32"/>
      <w:lang w:val="en-US"/>
    </w:rPr>
  </w:style>
  <w:style w:type="character" w:customStyle="1" w:styleId="EndNoteBibliographyChar">
    <w:name w:val="EndNote Bibliography Char"/>
    <w:basedOn w:val="DefaultParagraphFont"/>
    <w:link w:val="EndNoteBibliography"/>
    <w:rsid w:val="00A91F86"/>
    <w:rPr>
      <w:rFonts w:ascii="Aptos Display" w:hAnsi="Aptos Display"/>
      <w:noProof/>
      <w:kern w:val="0"/>
      <w:sz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40342">
      <w:bodyDiv w:val="1"/>
      <w:marLeft w:val="0"/>
      <w:marRight w:val="0"/>
      <w:marTop w:val="0"/>
      <w:marBottom w:val="0"/>
      <w:divBdr>
        <w:top w:val="none" w:sz="0" w:space="0" w:color="auto"/>
        <w:left w:val="none" w:sz="0" w:space="0" w:color="auto"/>
        <w:bottom w:val="none" w:sz="0" w:space="0" w:color="auto"/>
        <w:right w:val="none" w:sz="0" w:space="0" w:color="auto"/>
      </w:divBdr>
    </w:div>
    <w:div w:id="346102191">
      <w:bodyDiv w:val="1"/>
      <w:marLeft w:val="0"/>
      <w:marRight w:val="0"/>
      <w:marTop w:val="0"/>
      <w:marBottom w:val="0"/>
      <w:divBdr>
        <w:top w:val="none" w:sz="0" w:space="0" w:color="auto"/>
        <w:left w:val="none" w:sz="0" w:space="0" w:color="auto"/>
        <w:bottom w:val="none" w:sz="0" w:space="0" w:color="auto"/>
        <w:right w:val="none" w:sz="0" w:space="0" w:color="auto"/>
      </w:divBdr>
    </w:div>
    <w:div w:id="373697026">
      <w:bodyDiv w:val="1"/>
      <w:marLeft w:val="0"/>
      <w:marRight w:val="0"/>
      <w:marTop w:val="0"/>
      <w:marBottom w:val="0"/>
      <w:divBdr>
        <w:top w:val="none" w:sz="0" w:space="0" w:color="auto"/>
        <w:left w:val="none" w:sz="0" w:space="0" w:color="auto"/>
        <w:bottom w:val="none" w:sz="0" w:space="0" w:color="auto"/>
        <w:right w:val="none" w:sz="0" w:space="0" w:color="auto"/>
      </w:divBdr>
    </w:div>
    <w:div w:id="711812107">
      <w:bodyDiv w:val="1"/>
      <w:marLeft w:val="0"/>
      <w:marRight w:val="0"/>
      <w:marTop w:val="0"/>
      <w:marBottom w:val="0"/>
      <w:divBdr>
        <w:top w:val="none" w:sz="0" w:space="0" w:color="auto"/>
        <w:left w:val="none" w:sz="0" w:space="0" w:color="auto"/>
        <w:bottom w:val="none" w:sz="0" w:space="0" w:color="auto"/>
        <w:right w:val="none" w:sz="0" w:space="0" w:color="auto"/>
      </w:divBdr>
    </w:div>
    <w:div w:id="131013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05/OSF.IO/5728V" TargetMode="External"/><Relationship Id="rId13" Type="http://schemas.openxmlformats.org/officeDocument/2006/relationships/hyperlink" Target="https://doi.org/10.1192/pb.bp.115.052456" TargetMode="External"/><Relationship Id="rId18" Type="http://schemas.openxmlformats.org/officeDocument/2006/relationships/hyperlink" Target="https://www.ethnicity-facts-figures.service.gov.uk/uk-population-by-ethnicity/national-and-regional-populations/population-of-england-and-wales/lates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cpsych.ac.uk/docs/default-source/improving-care/better-mh-policy/college-reports/college-report-cr193.pdf?sfvrsn=c0381b24_2" TargetMode="External"/><Relationship Id="rId7" Type="http://schemas.openxmlformats.org/officeDocument/2006/relationships/endnotes" Target="endnotes.xml"/><Relationship Id="rId12" Type="http://schemas.openxmlformats.org/officeDocument/2006/relationships/hyperlink" Target="https://doi.org/10.1016/j.ijlp.2025.102071" TargetMode="External"/><Relationship Id="rId17" Type="http://schemas.openxmlformats.org/officeDocument/2006/relationships/hyperlink" Target="https://doi.org/10.1111/puar.13211" TargetMode="External"/><Relationship Id="rId25" Type="http://schemas.openxmlformats.org/officeDocument/2006/relationships/hyperlink" Target="https://doi.org/10.1126/science.7455683" TargetMode="External"/><Relationship Id="rId2" Type="http://schemas.openxmlformats.org/officeDocument/2006/relationships/numbering" Target="numbering.xml"/><Relationship Id="rId16" Type="http://schemas.openxmlformats.org/officeDocument/2006/relationships/hyperlink" Target="https://doi.org/10.1192/bjp.153.1.44" TargetMode="External"/><Relationship Id="rId20" Type="http://schemas.openxmlformats.org/officeDocument/2006/relationships/hyperlink" Target="https://www.rcpsych.ac.uk/docs/default-source/improving-care/better-mh-policy/policy/policy-rcpsych-mha-review-submission-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5728v/overview?view_only=cf2e98cffefb47dd8d8a43d7ac3a82ac" TargetMode="External"/><Relationship Id="rId24" Type="http://schemas.openxmlformats.org/officeDocument/2006/relationships/hyperlink" Target="https://doi.org/10.1177/0098628316677643" TargetMode="External"/><Relationship Id="rId5" Type="http://schemas.openxmlformats.org/officeDocument/2006/relationships/webSettings" Target="webSettings.xml"/><Relationship Id="rId15" Type="http://schemas.openxmlformats.org/officeDocument/2006/relationships/hyperlink" Target="https://psycnet.apa.org/doi/10.1002/acp.2350050305" TargetMode="External"/><Relationship Id="rId23" Type="http://schemas.openxmlformats.org/officeDocument/2006/relationships/hyperlink" Target="https://doi.org/10.3758/BRM.42.4.1096" TargetMode="External"/><Relationship Id="rId10" Type="http://schemas.openxmlformats.org/officeDocument/2006/relationships/hyperlink" Target="https://osf.io/5728v/overview?view_only=cf2e98cffefb47dd8d8a43d7ac3a82ac" TargetMode="External"/><Relationship Id="rId19" Type="http://schemas.openxmlformats.org/officeDocument/2006/relationships/hyperlink" Target="https://doi.org/" TargetMode="External"/><Relationship Id="rId4" Type="http://schemas.openxmlformats.org/officeDocument/2006/relationships/settings" Target="settings.xml"/><Relationship Id="rId9" Type="http://schemas.openxmlformats.org/officeDocument/2006/relationships/hyperlink" Target="mailto:p.beazley@uea.ac.uk" TargetMode="External"/><Relationship Id="rId14" Type="http://schemas.openxmlformats.org/officeDocument/2006/relationships/hyperlink" Target="https://doi.org/10.1080/14789949.2019.1651381" TargetMode="External"/><Relationship Id="rId22" Type="http://schemas.openxmlformats.org/officeDocument/2006/relationships/hyperlink" Target="https://doi.org/10.1016/j.childyouth.2007.05.00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FF2F5-AEBC-4504-8579-7E0A4CEF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23</Pages>
  <Words>10062</Words>
  <Characters>57359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Beazley (MED - Staff)</dc:creator>
  <cp:keywords/>
  <dc:description/>
  <cp:lastModifiedBy>Peter Beazley (MED - Staff)</cp:lastModifiedBy>
  <cp:revision>66</cp:revision>
  <dcterms:created xsi:type="dcterms:W3CDTF">2026-02-27T08:26:00Z</dcterms:created>
  <dcterms:modified xsi:type="dcterms:W3CDTF">2026-03-16T11:23:00Z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-2053494184</vt:i4>
  </property>
  <property fmtid="{D5CDD505-2E9C-101B-9397-08002B2CF9AE}" pid="3" name="_NewReviewCycle">
    <vt:lpwstr/>
  </property>
  <property fmtid="{D5CDD505-2E9C-101B-9397-08002B2CF9AE}" pid="4" name="_EmailSubject">
    <vt:lpwstr>Decision on submission to International Journal of Law and Psychiatry</vt:lpwstr>
  </property>
  <property fmtid="{D5CDD505-2E9C-101B-9397-08002B2CF9AE}" pid="5" name="_AuthorEmail">
    <vt:lpwstr>L.Fitton@uea.ac.uk</vt:lpwstr>
  </property>
  <property fmtid="{D5CDD505-2E9C-101B-9397-08002B2CF9AE}" pid="6" name="_AuthorEmailDisplayName">
    <vt:lpwstr>Lucy Fitton (MED - Staff)</vt:lpwstr>
  </property>
  <property fmtid="{D5CDD505-2E9C-101B-9397-08002B2CF9AE}" pid="7" name="_ReviewingToolsShownOnce">
    <vt:lpwstr/>
  </property>
</Properties>
</file>