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963E8" w14:textId="6F6D11B0" w:rsidR="00C05743" w:rsidRPr="005B0B3D" w:rsidRDefault="00BD1B98" w:rsidP="00EC0D19">
      <w:pPr>
        <w:pStyle w:val="Heading1"/>
        <w:spacing w:before="0" w:beforeAutospacing="0" w:after="0" w:afterAutospacing="0"/>
        <w:rPr>
          <w:rFonts w:asciiTheme="minorHAnsi" w:hAnsiTheme="minorHAnsi" w:cstheme="minorHAnsi"/>
          <w:sz w:val="36"/>
          <w:szCs w:val="36"/>
        </w:rPr>
      </w:pPr>
      <w:r>
        <w:t>Utilisation of</w:t>
      </w:r>
      <w:r w:rsidR="00933B93">
        <w:t xml:space="preserve"> </w:t>
      </w:r>
      <w:r w:rsidR="008E32F1">
        <w:t>m</w:t>
      </w:r>
      <w:r w:rsidR="00933B93">
        <w:t xml:space="preserve">ental </w:t>
      </w:r>
      <w:r w:rsidR="008E32F1">
        <w:t>h</w:t>
      </w:r>
      <w:r w:rsidR="00933B93">
        <w:t xml:space="preserve">ealth </w:t>
      </w:r>
      <w:r w:rsidR="008E32F1">
        <w:t>s</w:t>
      </w:r>
      <w:r w:rsidR="00933B93">
        <w:t>ervices before</w:t>
      </w:r>
      <w:r w:rsidR="006F6ADC">
        <w:t>,</w:t>
      </w:r>
      <w:r w:rsidR="00933B93">
        <w:t xml:space="preserve"> during</w:t>
      </w:r>
      <w:r w:rsidR="006F6ADC">
        <w:t>,</w:t>
      </w:r>
      <w:r w:rsidR="00933B93">
        <w:t xml:space="preserve"> and after COVID-19 </w:t>
      </w:r>
      <w:r w:rsidR="00B858BD">
        <w:t>restrictions</w:t>
      </w:r>
      <w:r w:rsidR="00933B93">
        <w:t xml:space="preserve">: </w:t>
      </w:r>
      <w:r w:rsidR="002F03C7">
        <w:t>interrupted time-series analysis</w:t>
      </w:r>
      <w:r w:rsidR="00933B93">
        <w:t xml:space="preserve"> in England</w:t>
      </w:r>
      <w:r w:rsidR="00933B93" w:rsidRPr="005B0B3D">
        <w:rPr>
          <w:rFonts w:asciiTheme="minorHAnsi" w:hAnsiTheme="minorHAnsi" w:cstheme="minorHAnsi"/>
          <w:sz w:val="36"/>
          <w:szCs w:val="36"/>
        </w:rPr>
        <w:t xml:space="preserve"> </w:t>
      </w:r>
    </w:p>
    <w:p w14:paraId="2806CEBC" w14:textId="77777777" w:rsidR="00C05743" w:rsidRPr="00F54D17" w:rsidRDefault="00C05743" w:rsidP="00EC0D19">
      <w:pPr>
        <w:spacing w:after="0" w:line="240" w:lineRule="auto"/>
        <w:rPr>
          <w:rFonts w:cstheme="minorHAnsi"/>
          <w:color w:val="FF0000"/>
        </w:rPr>
      </w:pPr>
    </w:p>
    <w:p w14:paraId="36A13E07" w14:textId="1BABB05F" w:rsidR="005F196D" w:rsidRPr="00A95A6D" w:rsidRDefault="005F196D" w:rsidP="00EC0D19">
      <w:pPr>
        <w:spacing w:after="0" w:line="240" w:lineRule="auto"/>
        <w:rPr>
          <w:rFonts w:cstheme="minorHAnsi"/>
          <w:sz w:val="20"/>
          <w:szCs w:val="20"/>
        </w:rPr>
      </w:pPr>
      <w:r w:rsidRPr="00661F89">
        <w:rPr>
          <w:rFonts w:cstheme="minorHAnsi"/>
          <w:sz w:val="20"/>
          <w:szCs w:val="20"/>
        </w:rPr>
        <w:t xml:space="preserve">Campbell </w:t>
      </w:r>
      <w:r w:rsidRPr="00A95A6D">
        <w:rPr>
          <w:rFonts w:cstheme="minorHAnsi"/>
          <w:sz w:val="20"/>
          <w:szCs w:val="20"/>
        </w:rPr>
        <w:t>Robertson</w:t>
      </w:r>
      <w:r w:rsidR="00AC315E" w:rsidRPr="00A95A6D">
        <w:rPr>
          <w:rFonts w:cstheme="minorHAnsi"/>
          <w:sz w:val="20"/>
          <w:szCs w:val="20"/>
        </w:rPr>
        <w:t xml:space="preserve"> </w:t>
      </w:r>
      <w:r w:rsidR="000D6A04" w:rsidRPr="00A95A6D">
        <w:rPr>
          <w:rFonts w:cstheme="minorHAnsi"/>
          <w:sz w:val="20"/>
          <w:szCs w:val="20"/>
          <w:vertAlign w:val="superscript"/>
        </w:rPr>
        <w:t>1,2</w:t>
      </w:r>
      <w:r w:rsidR="00430E8F">
        <w:rPr>
          <w:rFonts w:cstheme="minorHAnsi"/>
          <w:sz w:val="20"/>
          <w:szCs w:val="20"/>
          <w:vertAlign w:val="superscript"/>
        </w:rPr>
        <w:t>,3</w:t>
      </w:r>
      <w:r w:rsidR="007E2300" w:rsidRPr="00A95A6D">
        <w:rPr>
          <w:rFonts w:cstheme="minorHAnsi"/>
          <w:sz w:val="20"/>
          <w:szCs w:val="20"/>
          <w:vertAlign w:val="superscript"/>
        </w:rPr>
        <w:t xml:space="preserve">  </w:t>
      </w:r>
      <w:r w:rsidR="002D09D4">
        <w:rPr>
          <w:rFonts w:cstheme="minorHAnsi"/>
          <w:sz w:val="20"/>
          <w:szCs w:val="20"/>
        </w:rPr>
        <w:t>PhD</w:t>
      </w:r>
    </w:p>
    <w:p w14:paraId="66C09512" w14:textId="1645C4E8" w:rsidR="00CD5D2C" w:rsidRPr="00A95A6D" w:rsidRDefault="00CD5D2C" w:rsidP="00EC0D19">
      <w:pPr>
        <w:spacing w:after="0" w:line="240" w:lineRule="auto"/>
        <w:rPr>
          <w:rFonts w:cstheme="minorHAnsi"/>
          <w:sz w:val="20"/>
          <w:szCs w:val="20"/>
        </w:rPr>
      </w:pPr>
      <w:r w:rsidRPr="00A95A6D">
        <w:rPr>
          <w:rFonts w:cstheme="minorHAnsi"/>
          <w:sz w:val="20"/>
          <w:szCs w:val="20"/>
        </w:rPr>
        <w:t xml:space="preserve">Julii Brainard </w:t>
      </w:r>
      <w:r w:rsidR="000D6A04" w:rsidRPr="00A95A6D">
        <w:rPr>
          <w:rFonts w:cstheme="minorHAnsi"/>
          <w:sz w:val="20"/>
          <w:szCs w:val="20"/>
          <w:vertAlign w:val="superscript"/>
        </w:rPr>
        <w:t>1,</w:t>
      </w:r>
      <w:r w:rsidR="00430E8F">
        <w:rPr>
          <w:rFonts w:cstheme="minorHAnsi"/>
          <w:sz w:val="20"/>
          <w:szCs w:val="20"/>
          <w:vertAlign w:val="superscript"/>
        </w:rPr>
        <w:t>4</w:t>
      </w:r>
      <w:r w:rsidR="007E2300" w:rsidRPr="00A95A6D">
        <w:rPr>
          <w:rFonts w:cstheme="minorHAnsi"/>
          <w:sz w:val="20"/>
          <w:szCs w:val="20"/>
          <w:vertAlign w:val="superscript"/>
        </w:rPr>
        <w:t xml:space="preserve">  </w:t>
      </w:r>
      <w:r w:rsidR="007E2300" w:rsidRPr="00A95A6D">
        <w:rPr>
          <w:rFonts w:cstheme="minorHAnsi"/>
          <w:sz w:val="20"/>
          <w:szCs w:val="20"/>
        </w:rPr>
        <w:t>PhD</w:t>
      </w:r>
    </w:p>
    <w:p w14:paraId="1B56980D" w14:textId="44DA1D20" w:rsidR="005F196D" w:rsidRPr="00A95A6D" w:rsidRDefault="005F196D" w:rsidP="00EC0D19">
      <w:pPr>
        <w:spacing w:after="0" w:line="240" w:lineRule="auto"/>
        <w:rPr>
          <w:rFonts w:cstheme="minorHAnsi"/>
          <w:sz w:val="20"/>
          <w:szCs w:val="20"/>
        </w:rPr>
      </w:pPr>
      <w:r w:rsidRPr="00A95A6D">
        <w:rPr>
          <w:rFonts w:cstheme="minorHAnsi"/>
          <w:sz w:val="20"/>
          <w:szCs w:val="20"/>
        </w:rPr>
        <w:t>Gillian E Smith</w:t>
      </w:r>
      <w:r w:rsidR="00AC315E" w:rsidRPr="00A95A6D">
        <w:rPr>
          <w:rFonts w:cstheme="minorHAnsi"/>
          <w:sz w:val="20"/>
          <w:szCs w:val="20"/>
        </w:rPr>
        <w:t xml:space="preserve"> </w:t>
      </w:r>
      <w:r w:rsidRPr="00A95A6D">
        <w:rPr>
          <w:rFonts w:cstheme="minorHAnsi"/>
          <w:sz w:val="20"/>
          <w:szCs w:val="20"/>
          <w:vertAlign w:val="superscript"/>
        </w:rPr>
        <w:t>1,</w:t>
      </w:r>
      <w:r w:rsidR="00430E8F">
        <w:rPr>
          <w:rFonts w:cstheme="minorHAnsi"/>
          <w:sz w:val="20"/>
          <w:szCs w:val="20"/>
          <w:vertAlign w:val="superscript"/>
        </w:rPr>
        <w:t>5</w:t>
      </w:r>
      <w:r w:rsidRPr="00A95A6D">
        <w:rPr>
          <w:rFonts w:cstheme="minorHAnsi"/>
          <w:sz w:val="20"/>
          <w:szCs w:val="20"/>
        </w:rPr>
        <w:t xml:space="preserve"> MBBS</w:t>
      </w:r>
    </w:p>
    <w:p w14:paraId="6413DBCC" w14:textId="4B054201" w:rsidR="005F196D" w:rsidRPr="00A95A6D" w:rsidRDefault="005F196D" w:rsidP="00EC0D19">
      <w:pPr>
        <w:spacing w:after="0" w:line="240" w:lineRule="auto"/>
        <w:rPr>
          <w:rFonts w:cstheme="minorHAnsi"/>
          <w:sz w:val="20"/>
          <w:szCs w:val="20"/>
        </w:rPr>
      </w:pPr>
      <w:r w:rsidRPr="00A95A6D">
        <w:rPr>
          <w:rFonts w:cstheme="minorHAnsi"/>
          <w:sz w:val="20"/>
          <w:szCs w:val="20"/>
        </w:rPr>
        <w:t>Sally E Harcourt</w:t>
      </w:r>
      <w:r w:rsidR="00AC315E" w:rsidRPr="00A95A6D">
        <w:rPr>
          <w:rFonts w:cstheme="minorHAnsi"/>
          <w:sz w:val="20"/>
          <w:szCs w:val="20"/>
        </w:rPr>
        <w:t xml:space="preserve"> </w:t>
      </w:r>
      <w:r w:rsidR="00430E8F">
        <w:rPr>
          <w:rFonts w:cstheme="minorHAnsi"/>
          <w:sz w:val="20"/>
          <w:szCs w:val="20"/>
          <w:vertAlign w:val="superscript"/>
        </w:rPr>
        <w:t>5</w:t>
      </w:r>
      <w:r w:rsidRPr="00A95A6D">
        <w:rPr>
          <w:rFonts w:cstheme="minorHAnsi"/>
          <w:sz w:val="20"/>
          <w:szCs w:val="20"/>
        </w:rPr>
        <w:t xml:space="preserve"> MPH </w:t>
      </w:r>
    </w:p>
    <w:p w14:paraId="68E42056" w14:textId="61A305D7" w:rsidR="005F196D" w:rsidRPr="004562C4" w:rsidRDefault="005F196D" w:rsidP="3F94A7BC">
      <w:pPr>
        <w:spacing w:after="0" w:line="240" w:lineRule="auto"/>
        <w:rPr>
          <w:sz w:val="20"/>
          <w:szCs w:val="20"/>
          <w:lang w:val="nb-NO"/>
        </w:rPr>
      </w:pPr>
      <w:r w:rsidRPr="004562C4">
        <w:rPr>
          <w:sz w:val="20"/>
          <w:szCs w:val="20"/>
          <w:lang w:val="nb-NO"/>
        </w:rPr>
        <w:t>Uy Hoang</w:t>
      </w:r>
      <w:r w:rsidR="00AC315E" w:rsidRPr="004562C4">
        <w:rPr>
          <w:sz w:val="20"/>
          <w:szCs w:val="20"/>
          <w:lang w:val="nb-NO"/>
        </w:rPr>
        <w:t xml:space="preserve"> </w:t>
      </w:r>
      <w:r w:rsidR="00430E8F">
        <w:rPr>
          <w:sz w:val="20"/>
          <w:szCs w:val="20"/>
          <w:vertAlign w:val="superscript"/>
          <w:lang w:val="nb-NO"/>
        </w:rPr>
        <w:t>6</w:t>
      </w:r>
      <w:r w:rsidRPr="004562C4">
        <w:rPr>
          <w:sz w:val="20"/>
          <w:szCs w:val="20"/>
          <w:lang w:val="nb-NO"/>
        </w:rPr>
        <w:t xml:space="preserve"> M</w:t>
      </w:r>
      <w:r w:rsidR="000020A8" w:rsidRPr="004562C4">
        <w:rPr>
          <w:sz w:val="20"/>
          <w:szCs w:val="20"/>
          <w:lang w:val="nb-NO"/>
        </w:rPr>
        <w:t>D</w:t>
      </w:r>
    </w:p>
    <w:p w14:paraId="12B96D6B" w14:textId="6BA35A1E" w:rsidR="005F196D" w:rsidRPr="004562C4" w:rsidRDefault="005F196D" w:rsidP="00EC0D19">
      <w:pPr>
        <w:spacing w:after="0" w:line="240" w:lineRule="auto"/>
        <w:rPr>
          <w:rFonts w:cstheme="minorHAnsi"/>
          <w:sz w:val="20"/>
          <w:szCs w:val="20"/>
          <w:lang w:val="nb-NO"/>
        </w:rPr>
      </w:pPr>
      <w:r w:rsidRPr="004562C4">
        <w:rPr>
          <w:rFonts w:cstheme="minorHAnsi"/>
          <w:sz w:val="20"/>
          <w:szCs w:val="20"/>
          <w:lang w:val="nb-NO"/>
        </w:rPr>
        <w:t>Alex J Elliot</w:t>
      </w:r>
      <w:r w:rsidR="00AC315E" w:rsidRPr="004562C4">
        <w:rPr>
          <w:rFonts w:cstheme="minorHAnsi"/>
          <w:sz w:val="20"/>
          <w:szCs w:val="20"/>
          <w:lang w:val="nb-NO"/>
        </w:rPr>
        <w:t xml:space="preserve"> </w:t>
      </w:r>
      <w:r w:rsidRPr="004562C4">
        <w:rPr>
          <w:rFonts w:cstheme="minorHAnsi"/>
          <w:sz w:val="20"/>
          <w:szCs w:val="20"/>
          <w:vertAlign w:val="superscript"/>
          <w:lang w:val="nb-NO"/>
        </w:rPr>
        <w:t>1,</w:t>
      </w:r>
      <w:r w:rsidR="00430E8F">
        <w:rPr>
          <w:rFonts w:cstheme="minorHAnsi"/>
          <w:sz w:val="20"/>
          <w:szCs w:val="20"/>
          <w:vertAlign w:val="superscript"/>
          <w:lang w:val="nb-NO"/>
        </w:rPr>
        <w:t>5</w:t>
      </w:r>
      <w:r w:rsidRPr="004562C4">
        <w:rPr>
          <w:rFonts w:cstheme="minorHAnsi"/>
          <w:sz w:val="20"/>
          <w:szCs w:val="20"/>
          <w:lang w:val="nb-NO"/>
        </w:rPr>
        <w:t xml:space="preserve"> PhD </w:t>
      </w:r>
    </w:p>
    <w:p w14:paraId="26B84F87" w14:textId="3A537346" w:rsidR="005F196D" w:rsidRPr="00456E35" w:rsidRDefault="005F196D" w:rsidP="1F0C83B2">
      <w:pPr>
        <w:spacing w:after="0" w:line="240" w:lineRule="auto"/>
        <w:rPr>
          <w:sz w:val="20"/>
          <w:szCs w:val="20"/>
          <w:lang w:val="es-ES"/>
        </w:rPr>
      </w:pPr>
      <w:r w:rsidRPr="00456E35">
        <w:rPr>
          <w:sz w:val="20"/>
          <w:szCs w:val="20"/>
          <w:lang w:val="es-ES"/>
        </w:rPr>
        <w:t>Simon de Lusignan</w:t>
      </w:r>
      <w:r w:rsidR="00AC315E" w:rsidRPr="00456E35">
        <w:rPr>
          <w:sz w:val="20"/>
          <w:szCs w:val="20"/>
          <w:lang w:val="es-ES"/>
        </w:rPr>
        <w:t xml:space="preserve"> </w:t>
      </w:r>
      <w:r w:rsidR="00C55963" w:rsidRPr="00456E35">
        <w:rPr>
          <w:sz w:val="20"/>
          <w:szCs w:val="20"/>
          <w:vertAlign w:val="superscript"/>
          <w:lang w:val="es-ES"/>
        </w:rPr>
        <w:t>6,7</w:t>
      </w:r>
      <w:r w:rsidR="00430E8F" w:rsidRPr="00456E35">
        <w:rPr>
          <w:sz w:val="20"/>
          <w:szCs w:val="20"/>
          <w:vertAlign w:val="superscript"/>
          <w:lang w:val="es-ES"/>
        </w:rPr>
        <w:t>,8</w:t>
      </w:r>
      <w:r w:rsidRPr="00456E35">
        <w:rPr>
          <w:sz w:val="20"/>
          <w:szCs w:val="20"/>
          <w:lang w:val="es-ES"/>
        </w:rPr>
        <w:t xml:space="preserve"> M</w:t>
      </w:r>
      <w:r w:rsidR="5FF362BC" w:rsidRPr="00456E35">
        <w:rPr>
          <w:sz w:val="20"/>
          <w:szCs w:val="20"/>
          <w:lang w:val="es-ES"/>
        </w:rPr>
        <w:t>D</w:t>
      </w:r>
    </w:p>
    <w:p w14:paraId="01F3F0F2" w14:textId="184B6ED2" w:rsidR="005F196D" w:rsidRPr="00456E35" w:rsidRDefault="005F196D" w:rsidP="1F0C83B2">
      <w:pPr>
        <w:spacing w:after="0" w:line="240" w:lineRule="auto"/>
        <w:rPr>
          <w:sz w:val="20"/>
          <w:szCs w:val="20"/>
          <w:lang w:val="es-ES"/>
        </w:rPr>
      </w:pPr>
      <w:r w:rsidRPr="00456E35">
        <w:rPr>
          <w:sz w:val="20"/>
          <w:szCs w:val="20"/>
          <w:lang w:val="es-ES"/>
        </w:rPr>
        <w:t xml:space="preserve">Felipe </w:t>
      </w:r>
      <w:r w:rsidR="00296555" w:rsidRPr="00456E35">
        <w:rPr>
          <w:sz w:val="20"/>
          <w:szCs w:val="20"/>
          <w:lang w:val="es-ES"/>
        </w:rPr>
        <w:t>J</w:t>
      </w:r>
      <w:r w:rsidRPr="00456E35">
        <w:rPr>
          <w:sz w:val="20"/>
          <w:szCs w:val="20"/>
          <w:lang w:val="es-ES"/>
        </w:rPr>
        <w:t xml:space="preserve"> Col</w:t>
      </w:r>
      <w:r w:rsidR="00074EB4" w:rsidRPr="00456E35">
        <w:rPr>
          <w:sz w:val="20"/>
          <w:szCs w:val="20"/>
          <w:lang w:val="es-ES"/>
        </w:rPr>
        <w:t>ó</w:t>
      </w:r>
      <w:r w:rsidRPr="00456E35">
        <w:rPr>
          <w:sz w:val="20"/>
          <w:szCs w:val="20"/>
          <w:lang w:val="es-ES"/>
        </w:rPr>
        <w:t>n</w:t>
      </w:r>
      <w:r w:rsidR="00074EB4" w:rsidRPr="00456E35">
        <w:rPr>
          <w:sz w:val="20"/>
          <w:szCs w:val="20"/>
          <w:lang w:val="es-ES"/>
        </w:rPr>
        <w:t>-Gonz</w:t>
      </w:r>
      <w:r w:rsidR="00296555" w:rsidRPr="00456E35">
        <w:rPr>
          <w:sz w:val="20"/>
          <w:szCs w:val="20"/>
          <w:lang w:val="es-ES"/>
        </w:rPr>
        <w:t>á</w:t>
      </w:r>
      <w:r w:rsidR="00074EB4" w:rsidRPr="00456E35">
        <w:rPr>
          <w:sz w:val="20"/>
          <w:szCs w:val="20"/>
          <w:lang w:val="es-ES"/>
        </w:rPr>
        <w:t>lez</w:t>
      </w:r>
      <w:r w:rsidR="00AC315E" w:rsidRPr="00456E35">
        <w:rPr>
          <w:sz w:val="20"/>
          <w:szCs w:val="20"/>
          <w:lang w:val="es-ES"/>
        </w:rPr>
        <w:t xml:space="preserve"> </w:t>
      </w:r>
      <w:r w:rsidRPr="00456E35">
        <w:rPr>
          <w:sz w:val="20"/>
          <w:szCs w:val="20"/>
          <w:vertAlign w:val="superscript"/>
          <w:lang w:val="es-ES"/>
        </w:rPr>
        <w:t>2,</w:t>
      </w:r>
      <w:r w:rsidR="00430E8F" w:rsidRPr="00456E35">
        <w:rPr>
          <w:sz w:val="20"/>
          <w:szCs w:val="20"/>
          <w:vertAlign w:val="superscript"/>
          <w:lang w:val="es-ES"/>
        </w:rPr>
        <w:t>8</w:t>
      </w:r>
      <w:r w:rsidR="007E2300" w:rsidRPr="00456E35">
        <w:rPr>
          <w:sz w:val="20"/>
          <w:szCs w:val="20"/>
          <w:vertAlign w:val="superscript"/>
          <w:lang w:val="es-ES"/>
        </w:rPr>
        <w:t xml:space="preserve">  </w:t>
      </w:r>
      <w:r w:rsidR="007E2300" w:rsidRPr="00456E35">
        <w:rPr>
          <w:sz w:val="20"/>
          <w:szCs w:val="20"/>
          <w:lang w:val="es-ES"/>
        </w:rPr>
        <w:t>PhD</w:t>
      </w:r>
    </w:p>
    <w:p w14:paraId="228232B4" w14:textId="4640BED3" w:rsidR="00AC315E" w:rsidRPr="00456E35" w:rsidRDefault="00AC315E" w:rsidP="1F0C83B2">
      <w:pPr>
        <w:spacing w:after="0" w:line="240" w:lineRule="auto"/>
        <w:rPr>
          <w:sz w:val="20"/>
          <w:szCs w:val="20"/>
          <w:lang w:val="es-ES"/>
        </w:rPr>
      </w:pPr>
      <w:r w:rsidRPr="00456E35">
        <w:rPr>
          <w:sz w:val="20"/>
          <w:szCs w:val="20"/>
          <w:lang w:val="es-ES"/>
        </w:rPr>
        <w:t>Iain</w:t>
      </w:r>
      <w:r w:rsidR="009C13DE" w:rsidRPr="00A95A6D">
        <w:rPr>
          <w:sz w:val="20"/>
          <w:szCs w:val="20"/>
          <w:lang w:val="es-419"/>
        </w:rPr>
        <w:t xml:space="preserve"> R.</w:t>
      </w:r>
      <w:r w:rsidRPr="00456E35">
        <w:rPr>
          <w:sz w:val="20"/>
          <w:szCs w:val="20"/>
          <w:lang w:val="es-ES"/>
        </w:rPr>
        <w:t xml:space="preserve"> Lake </w:t>
      </w:r>
      <w:r w:rsidR="000D6A04" w:rsidRPr="00A95A6D">
        <w:rPr>
          <w:sz w:val="20"/>
          <w:szCs w:val="20"/>
          <w:vertAlign w:val="superscript"/>
          <w:lang w:val="es-419"/>
        </w:rPr>
        <w:t>1,2</w:t>
      </w:r>
      <w:r w:rsidRPr="00456E35">
        <w:rPr>
          <w:sz w:val="20"/>
          <w:szCs w:val="20"/>
          <w:lang w:val="es-ES"/>
        </w:rPr>
        <w:t xml:space="preserve"> PhD</w:t>
      </w:r>
    </w:p>
    <w:p w14:paraId="663F3C15" w14:textId="77777777" w:rsidR="005F196D" w:rsidRPr="00456E35" w:rsidRDefault="005F196D" w:rsidP="1F0C83B2">
      <w:pPr>
        <w:spacing w:after="0" w:line="240" w:lineRule="auto"/>
        <w:rPr>
          <w:sz w:val="20"/>
          <w:szCs w:val="20"/>
          <w:lang w:val="es-ES"/>
        </w:rPr>
      </w:pPr>
    </w:p>
    <w:p w14:paraId="22F0DAD5" w14:textId="77777777" w:rsidR="005F196D" w:rsidRPr="00456E35" w:rsidRDefault="005F196D" w:rsidP="1F0C83B2">
      <w:pPr>
        <w:spacing w:after="0" w:line="240" w:lineRule="auto"/>
        <w:rPr>
          <w:sz w:val="20"/>
          <w:szCs w:val="20"/>
          <w:lang w:val="es-ES"/>
        </w:rPr>
      </w:pPr>
    </w:p>
    <w:p w14:paraId="59CDBE4A" w14:textId="2AF3684D" w:rsidR="00901EE8" w:rsidRPr="00661F89" w:rsidRDefault="00901EE8" w:rsidP="00EC0D19">
      <w:pPr>
        <w:spacing w:after="0" w:line="240" w:lineRule="auto"/>
        <w:rPr>
          <w:rFonts w:cstheme="minorHAnsi"/>
          <w:sz w:val="20"/>
          <w:szCs w:val="20"/>
        </w:rPr>
      </w:pPr>
      <w:r>
        <w:rPr>
          <w:rFonts w:cstheme="minorHAnsi"/>
          <w:sz w:val="20"/>
          <w:szCs w:val="20"/>
          <w:vertAlign w:val="superscript"/>
        </w:rPr>
        <w:t xml:space="preserve">1 </w:t>
      </w:r>
      <w:r w:rsidRPr="00661F89">
        <w:rPr>
          <w:rFonts w:cstheme="minorHAnsi"/>
          <w:sz w:val="20"/>
          <w:szCs w:val="20"/>
        </w:rPr>
        <w:t>National Institute for Health and Care Research Health Protection Research Unit in Emergency Preparedness and Response, King's College London, London</w:t>
      </w:r>
      <w:r>
        <w:rPr>
          <w:rFonts w:cstheme="minorHAnsi"/>
          <w:sz w:val="20"/>
          <w:szCs w:val="20"/>
        </w:rPr>
        <w:t xml:space="preserve"> UK</w:t>
      </w:r>
    </w:p>
    <w:p w14:paraId="1E0F43A8" w14:textId="16D819A7" w:rsidR="00901EE8" w:rsidRDefault="00901EE8" w:rsidP="00EC0D19">
      <w:pPr>
        <w:spacing w:after="0" w:line="240" w:lineRule="auto"/>
        <w:rPr>
          <w:rFonts w:cstheme="minorHAnsi"/>
          <w:sz w:val="20"/>
          <w:szCs w:val="20"/>
        </w:rPr>
      </w:pPr>
      <w:r>
        <w:rPr>
          <w:rFonts w:cstheme="minorHAnsi"/>
          <w:sz w:val="20"/>
          <w:szCs w:val="20"/>
          <w:vertAlign w:val="superscript"/>
        </w:rPr>
        <w:t xml:space="preserve">2 </w:t>
      </w:r>
      <w:r w:rsidRPr="00661F89">
        <w:rPr>
          <w:rFonts w:cstheme="minorHAnsi"/>
          <w:sz w:val="20"/>
          <w:szCs w:val="20"/>
        </w:rPr>
        <w:t xml:space="preserve">School of Environmental Science, University of East Anglia, Norwich </w:t>
      </w:r>
      <w:r>
        <w:rPr>
          <w:rFonts w:cstheme="minorHAnsi"/>
          <w:sz w:val="20"/>
          <w:szCs w:val="20"/>
        </w:rPr>
        <w:t>UK</w:t>
      </w:r>
    </w:p>
    <w:p w14:paraId="7651C65A" w14:textId="012D22C0" w:rsidR="00430E8F" w:rsidRPr="00661F89" w:rsidRDefault="00430E8F" w:rsidP="00EC0D19">
      <w:pPr>
        <w:spacing w:after="0" w:line="240" w:lineRule="auto"/>
        <w:rPr>
          <w:rFonts w:cstheme="minorHAnsi"/>
          <w:sz w:val="20"/>
          <w:szCs w:val="20"/>
        </w:rPr>
      </w:pPr>
      <w:r>
        <w:rPr>
          <w:rFonts w:cstheme="minorHAnsi"/>
          <w:sz w:val="20"/>
          <w:szCs w:val="20"/>
          <w:vertAlign w:val="superscript"/>
        </w:rPr>
        <w:t xml:space="preserve">3 </w:t>
      </w:r>
      <w:bookmarkStart w:id="0" w:name="_Hlk202443104"/>
      <w:r>
        <w:rPr>
          <w:rFonts w:cstheme="minorHAnsi"/>
          <w:sz w:val="20"/>
          <w:szCs w:val="20"/>
        </w:rPr>
        <w:t>Department of Psychiatry</w:t>
      </w:r>
      <w:r w:rsidRPr="00661F89">
        <w:rPr>
          <w:rFonts w:cstheme="minorHAnsi"/>
          <w:sz w:val="20"/>
          <w:szCs w:val="20"/>
        </w:rPr>
        <w:t xml:space="preserve">, </w:t>
      </w:r>
      <w:r>
        <w:rPr>
          <w:rFonts w:cstheme="minorHAnsi"/>
          <w:sz w:val="20"/>
          <w:szCs w:val="20"/>
        </w:rPr>
        <w:t>University of Oxford</w:t>
      </w:r>
      <w:r w:rsidRPr="00661F89">
        <w:rPr>
          <w:rFonts w:cstheme="minorHAnsi"/>
          <w:sz w:val="20"/>
          <w:szCs w:val="20"/>
        </w:rPr>
        <w:t xml:space="preserve">, </w:t>
      </w:r>
      <w:r>
        <w:rPr>
          <w:rFonts w:cstheme="minorHAnsi"/>
          <w:sz w:val="20"/>
          <w:szCs w:val="20"/>
        </w:rPr>
        <w:t>Oxford</w:t>
      </w:r>
      <w:r w:rsidRPr="00661F89">
        <w:rPr>
          <w:rFonts w:cstheme="minorHAnsi"/>
          <w:sz w:val="20"/>
          <w:szCs w:val="20"/>
        </w:rPr>
        <w:t xml:space="preserve"> </w:t>
      </w:r>
      <w:r>
        <w:rPr>
          <w:rFonts w:cstheme="minorHAnsi"/>
          <w:sz w:val="20"/>
          <w:szCs w:val="20"/>
        </w:rPr>
        <w:t>UK</w:t>
      </w:r>
      <w:bookmarkEnd w:id="0"/>
    </w:p>
    <w:p w14:paraId="78AE9E5A" w14:textId="4ADCE254" w:rsidR="00901EE8" w:rsidRPr="00A95A6D" w:rsidRDefault="00430E8F" w:rsidP="00EC0D19">
      <w:pPr>
        <w:spacing w:after="0" w:line="240" w:lineRule="auto"/>
        <w:rPr>
          <w:rFonts w:cstheme="minorHAnsi"/>
          <w:sz w:val="20"/>
          <w:szCs w:val="20"/>
        </w:rPr>
      </w:pPr>
      <w:r>
        <w:rPr>
          <w:rFonts w:cstheme="minorHAnsi"/>
          <w:sz w:val="20"/>
          <w:szCs w:val="20"/>
          <w:vertAlign w:val="superscript"/>
        </w:rPr>
        <w:t>4</w:t>
      </w:r>
      <w:r w:rsidR="00901EE8">
        <w:rPr>
          <w:rFonts w:cstheme="minorHAnsi"/>
          <w:sz w:val="20"/>
          <w:szCs w:val="20"/>
          <w:vertAlign w:val="superscript"/>
        </w:rPr>
        <w:t xml:space="preserve"> </w:t>
      </w:r>
      <w:r w:rsidR="00901EE8" w:rsidRPr="00661F89">
        <w:rPr>
          <w:rFonts w:cstheme="minorHAnsi"/>
          <w:sz w:val="20"/>
          <w:szCs w:val="20"/>
        </w:rPr>
        <w:t xml:space="preserve">Norwich Medical School, </w:t>
      </w:r>
      <w:r w:rsidR="00901EE8" w:rsidRPr="00A95A6D">
        <w:rPr>
          <w:rFonts w:cstheme="minorHAnsi"/>
          <w:sz w:val="20"/>
          <w:szCs w:val="20"/>
        </w:rPr>
        <w:t>University of East Anglia, Norwich UK</w:t>
      </w:r>
    </w:p>
    <w:p w14:paraId="0D07D1C2" w14:textId="30CFA749" w:rsidR="005F196D" w:rsidRPr="00A95A6D" w:rsidRDefault="00430E8F" w:rsidP="00EC0D19">
      <w:pPr>
        <w:spacing w:after="0" w:line="240" w:lineRule="auto"/>
        <w:rPr>
          <w:rFonts w:cstheme="minorHAnsi"/>
          <w:sz w:val="20"/>
          <w:szCs w:val="20"/>
        </w:rPr>
      </w:pPr>
      <w:r>
        <w:rPr>
          <w:rFonts w:cstheme="minorHAnsi"/>
          <w:sz w:val="20"/>
          <w:szCs w:val="20"/>
          <w:vertAlign w:val="superscript"/>
        </w:rPr>
        <w:t>5</w:t>
      </w:r>
      <w:r w:rsidR="0003272A" w:rsidRPr="00A95A6D">
        <w:rPr>
          <w:rFonts w:cstheme="minorHAnsi"/>
          <w:sz w:val="20"/>
          <w:szCs w:val="20"/>
          <w:vertAlign w:val="superscript"/>
        </w:rPr>
        <w:t xml:space="preserve"> </w:t>
      </w:r>
      <w:r w:rsidR="005F196D" w:rsidRPr="00A95A6D">
        <w:rPr>
          <w:rFonts w:cstheme="minorHAnsi"/>
          <w:sz w:val="20"/>
          <w:szCs w:val="20"/>
        </w:rPr>
        <w:t>Real-time Syndromic Surveillance Team, Field Service</w:t>
      </w:r>
      <w:r w:rsidR="00A52CA5" w:rsidRPr="00A95A6D">
        <w:rPr>
          <w:rFonts w:cstheme="minorHAnsi"/>
          <w:sz w:val="20"/>
          <w:szCs w:val="20"/>
        </w:rPr>
        <w:t>s</w:t>
      </w:r>
      <w:r w:rsidR="005F196D" w:rsidRPr="00A95A6D">
        <w:rPr>
          <w:rFonts w:cstheme="minorHAnsi"/>
          <w:sz w:val="20"/>
          <w:szCs w:val="20"/>
        </w:rPr>
        <w:t>, UK Health Security Agency, Birmingham</w:t>
      </w:r>
      <w:r w:rsidR="0003272A" w:rsidRPr="00A95A6D">
        <w:rPr>
          <w:rFonts w:cstheme="minorHAnsi"/>
          <w:sz w:val="20"/>
          <w:szCs w:val="20"/>
        </w:rPr>
        <w:t xml:space="preserve"> UK</w:t>
      </w:r>
    </w:p>
    <w:p w14:paraId="1BDB2E83" w14:textId="338EED6D" w:rsidR="005F196D" w:rsidRPr="00A95A6D" w:rsidRDefault="00430E8F" w:rsidP="00EC0D19">
      <w:pPr>
        <w:spacing w:after="0" w:line="240" w:lineRule="auto"/>
        <w:rPr>
          <w:rFonts w:cstheme="minorHAnsi"/>
          <w:sz w:val="20"/>
          <w:szCs w:val="20"/>
        </w:rPr>
      </w:pPr>
      <w:r>
        <w:rPr>
          <w:rFonts w:cstheme="minorHAnsi"/>
          <w:sz w:val="20"/>
          <w:szCs w:val="20"/>
          <w:vertAlign w:val="superscript"/>
        </w:rPr>
        <w:t>6</w:t>
      </w:r>
      <w:r w:rsidR="0003272A" w:rsidRPr="00A95A6D">
        <w:rPr>
          <w:rFonts w:cstheme="minorHAnsi"/>
          <w:sz w:val="20"/>
          <w:szCs w:val="20"/>
          <w:vertAlign w:val="superscript"/>
        </w:rPr>
        <w:t xml:space="preserve"> </w:t>
      </w:r>
      <w:r w:rsidR="005F196D" w:rsidRPr="00A95A6D">
        <w:rPr>
          <w:rFonts w:cstheme="minorHAnsi"/>
          <w:sz w:val="20"/>
          <w:szCs w:val="20"/>
        </w:rPr>
        <w:t>Nuffield Department of Primary Care Health Sciences, University of Oxford, Oxford</w:t>
      </w:r>
      <w:r w:rsidR="0003272A" w:rsidRPr="00A95A6D">
        <w:rPr>
          <w:rFonts w:cstheme="minorHAnsi"/>
          <w:sz w:val="20"/>
          <w:szCs w:val="20"/>
        </w:rPr>
        <w:t xml:space="preserve"> </w:t>
      </w:r>
      <w:r w:rsidR="005F196D" w:rsidRPr="00A95A6D">
        <w:rPr>
          <w:rFonts w:cstheme="minorHAnsi"/>
          <w:sz w:val="20"/>
          <w:szCs w:val="20"/>
        </w:rPr>
        <w:t>U</w:t>
      </w:r>
      <w:r w:rsidR="0003272A" w:rsidRPr="00A95A6D">
        <w:rPr>
          <w:rFonts w:cstheme="minorHAnsi"/>
          <w:sz w:val="20"/>
          <w:szCs w:val="20"/>
        </w:rPr>
        <w:t>K</w:t>
      </w:r>
    </w:p>
    <w:p w14:paraId="21A96F18" w14:textId="19566B3B" w:rsidR="005F196D" w:rsidRPr="00A95A6D" w:rsidRDefault="00430E8F" w:rsidP="00EC0D19">
      <w:pPr>
        <w:spacing w:after="0" w:line="240" w:lineRule="auto"/>
        <w:rPr>
          <w:rFonts w:cstheme="minorHAnsi"/>
          <w:sz w:val="20"/>
          <w:szCs w:val="20"/>
        </w:rPr>
      </w:pPr>
      <w:r>
        <w:rPr>
          <w:rFonts w:cstheme="minorHAnsi"/>
          <w:sz w:val="20"/>
          <w:szCs w:val="20"/>
          <w:vertAlign w:val="superscript"/>
        </w:rPr>
        <w:t>7</w:t>
      </w:r>
      <w:r w:rsidR="0003272A" w:rsidRPr="00A95A6D">
        <w:rPr>
          <w:rFonts w:cstheme="minorHAnsi"/>
          <w:sz w:val="20"/>
          <w:szCs w:val="20"/>
          <w:vertAlign w:val="superscript"/>
        </w:rPr>
        <w:t xml:space="preserve"> </w:t>
      </w:r>
      <w:r w:rsidR="005F196D" w:rsidRPr="00A95A6D">
        <w:rPr>
          <w:rFonts w:cstheme="minorHAnsi"/>
          <w:sz w:val="20"/>
          <w:szCs w:val="20"/>
        </w:rPr>
        <w:t xml:space="preserve">Royal College of General Practitioners, London </w:t>
      </w:r>
      <w:r w:rsidR="0003272A" w:rsidRPr="00A95A6D">
        <w:rPr>
          <w:rFonts w:cstheme="minorHAnsi"/>
          <w:sz w:val="20"/>
          <w:szCs w:val="20"/>
        </w:rPr>
        <w:t>UK</w:t>
      </w:r>
    </w:p>
    <w:p w14:paraId="3285045A" w14:textId="2AF625B7" w:rsidR="005F196D" w:rsidRPr="00A95A6D" w:rsidRDefault="00430E8F" w:rsidP="00EC0D19">
      <w:pPr>
        <w:spacing w:after="0" w:line="240" w:lineRule="auto"/>
        <w:rPr>
          <w:rFonts w:cstheme="minorHAnsi"/>
          <w:sz w:val="20"/>
          <w:szCs w:val="20"/>
        </w:rPr>
      </w:pPr>
      <w:r>
        <w:rPr>
          <w:rFonts w:cstheme="minorHAnsi"/>
          <w:sz w:val="20"/>
          <w:szCs w:val="20"/>
          <w:vertAlign w:val="superscript"/>
        </w:rPr>
        <w:t>8</w:t>
      </w:r>
      <w:r w:rsidR="0003272A" w:rsidRPr="00A95A6D">
        <w:rPr>
          <w:rFonts w:cstheme="minorHAnsi"/>
          <w:sz w:val="20"/>
          <w:szCs w:val="20"/>
          <w:vertAlign w:val="superscript"/>
        </w:rPr>
        <w:t xml:space="preserve"> </w:t>
      </w:r>
      <w:r w:rsidR="005F196D" w:rsidRPr="00A95A6D">
        <w:rPr>
          <w:rFonts w:cstheme="minorHAnsi"/>
          <w:sz w:val="20"/>
          <w:szCs w:val="20"/>
        </w:rPr>
        <w:t xml:space="preserve">Data for Science and Health, </w:t>
      </w:r>
      <w:proofErr w:type="spellStart"/>
      <w:r w:rsidR="005F196D" w:rsidRPr="00A95A6D">
        <w:rPr>
          <w:rFonts w:cstheme="minorHAnsi"/>
          <w:sz w:val="20"/>
          <w:szCs w:val="20"/>
        </w:rPr>
        <w:t>Wellcome</w:t>
      </w:r>
      <w:proofErr w:type="spellEnd"/>
      <w:r w:rsidR="005F196D" w:rsidRPr="00A95A6D">
        <w:rPr>
          <w:rFonts w:cstheme="minorHAnsi"/>
          <w:sz w:val="20"/>
          <w:szCs w:val="20"/>
        </w:rPr>
        <w:t xml:space="preserve"> Trust, London UK</w:t>
      </w:r>
    </w:p>
    <w:p w14:paraId="5EF9419A" w14:textId="77777777" w:rsidR="005F196D" w:rsidRDefault="005F196D" w:rsidP="00EC0D19">
      <w:pPr>
        <w:spacing w:after="0" w:line="240" w:lineRule="auto"/>
        <w:rPr>
          <w:rFonts w:cstheme="minorHAnsi"/>
        </w:rPr>
      </w:pPr>
    </w:p>
    <w:p w14:paraId="64509B55" w14:textId="77777777" w:rsidR="00AB50FE" w:rsidRDefault="00AB50FE" w:rsidP="00EC0D19">
      <w:pPr>
        <w:spacing w:after="0" w:line="240" w:lineRule="auto"/>
        <w:rPr>
          <w:rFonts w:cstheme="minorHAnsi"/>
        </w:rPr>
      </w:pPr>
    </w:p>
    <w:p w14:paraId="61011245" w14:textId="5DA4326C" w:rsidR="00074EB4" w:rsidRDefault="00074EB4" w:rsidP="00EC0D19">
      <w:pPr>
        <w:spacing w:after="0" w:line="240" w:lineRule="auto"/>
        <w:rPr>
          <w:rFonts w:cstheme="minorHAnsi"/>
        </w:rPr>
      </w:pPr>
      <w:r w:rsidRPr="00A576FC">
        <w:rPr>
          <w:rFonts w:cstheme="minorHAnsi"/>
          <w:b/>
          <w:bCs/>
        </w:rPr>
        <w:t>Corresponding author</w:t>
      </w:r>
      <w:r>
        <w:rPr>
          <w:rFonts w:cstheme="minorHAnsi"/>
        </w:rPr>
        <w:t xml:space="preserve">:  </w:t>
      </w:r>
      <w:r w:rsidR="008C63CA">
        <w:rPr>
          <w:rFonts w:cstheme="minorHAnsi"/>
        </w:rPr>
        <w:t>Campbell Robertson</w:t>
      </w:r>
      <w:r w:rsidR="00B57C21">
        <w:rPr>
          <w:rFonts w:cstheme="minorHAnsi"/>
        </w:rPr>
        <w:t xml:space="preserve">, </w:t>
      </w:r>
      <w:r w:rsidR="008C63CA">
        <w:rPr>
          <w:rFonts w:cstheme="minorHAnsi"/>
        </w:rPr>
        <w:t>c</w:t>
      </w:r>
      <w:r w:rsidR="006A3DF0">
        <w:rPr>
          <w:rFonts w:cstheme="minorHAnsi"/>
        </w:rPr>
        <w:t>ampbell</w:t>
      </w:r>
      <w:r w:rsidR="008C63CA">
        <w:rPr>
          <w:rFonts w:cstheme="minorHAnsi"/>
        </w:rPr>
        <w:t>.rob</w:t>
      </w:r>
      <w:r w:rsidR="006A3DF0">
        <w:rPr>
          <w:rFonts w:cstheme="minorHAnsi"/>
        </w:rPr>
        <w:t>ert</w:t>
      </w:r>
      <w:r w:rsidR="008C63CA">
        <w:rPr>
          <w:rFonts w:cstheme="minorHAnsi"/>
        </w:rPr>
        <w:t>son</w:t>
      </w:r>
      <w:r w:rsidR="006A3DF0">
        <w:rPr>
          <w:rFonts w:cstheme="minorHAnsi"/>
        </w:rPr>
        <w:t>@</w:t>
      </w:r>
      <w:r w:rsidR="00226A9D">
        <w:rPr>
          <w:rFonts w:cstheme="minorHAnsi"/>
        </w:rPr>
        <w:t>psych.ox</w:t>
      </w:r>
      <w:r w:rsidR="006A3DF0">
        <w:rPr>
          <w:rFonts w:cstheme="minorHAnsi"/>
        </w:rPr>
        <w:t>.ac.uk</w:t>
      </w:r>
      <w:r w:rsidR="00226A9D">
        <w:rPr>
          <w:rFonts w:cstheme="minorHAnsi"/>
        </w:rPr>
        <w:t>.</w:t>
      </w:r>
      <w:r w:rsidR="00E07F06">
        <w:rPr>
          <w:rFonts w:cstheme="minorHAnsi"/>
        </w:rPr>
        <w:t xml:space="preserve"> Address</w:t>
      </w:r>
      <w:r w:rsidR="00226A9D">
        <w:rPr>
          <w:rFonts w:cstheme="minorHAnsi"/>
        </w:rPr>
        <w:t xml:space="preserve">: </w:t>
      </w:r>
      <w:r w:rsidR="00226A9D" w:rsidRPr="00226A9D">
        <w:rPr>
          <w:rFonts w:cstheme="minorHAnsi"/>
        </w:rPr>
        <w:t>Department of Psychiatry, University of Oxford, Oxford UK</w:t>
      </w:r>
    </w:p>
    <w:p w14:paraId="260D22E9" w14:textId="77777777" w:rsidR="00074EB4" w:rsidRDefault="00074EB4" w:rsidP="00EC0D19">
      <w:pPr>
        <w:spacing w:after="0" w:line="240" w:lineRule="auto"/>
        <w:rPr>
          <w:rFonts w:cstheme="minorHAnsi"/>
        </w:rPr>
      </w:pPr>
    </w:p>
    <w:p w14:paraId="77212540" w14:textId="77777777" w:rsidR="000B694C" w:rsidRDefault="000B694C" w:rsidP="00EC0D19">
      <w:pPr>
        <w:spacing w:after="0" w:line="240" w:lineRule="auto"/>
        <w:rPr>
          <w:rFonts w:cstheme="minorHAnsi"/>
        </w:rPr>
      </w:pPr>
    </w:p>
    <w:p w14:paraId="48E8616E" w14:textId="77777777" w:rsidR="005F196D" w:rsidRDefault="005F196D" w:rsidP="00EC0D19">
      <w:pPr>
        <w:spacing w:after="0" w:line="240" w:lineRule="auto"/>
        <w:rPr>
          <w:rFonts w:cstheme="minorHAnsi"/>
        </w:rPr>
      </w:pPr>
    </w:p>
    <w:p w14:paraId="7AF0263F" w14:textId="617AB2B4" w:rsidR="005F196D" w:rsidRDefault="005F196D" w:rsidP="00EC0D19">
      <w:pPr>
        <w:spacing w:after="0" w:line="240" w:lineRule="auto"/>
        <w:rPr>
          <w:rFonts w:cstheme="minorHAnsi"/>
        </w:rPr>
      </w:pPr>
    </w:p>
    <w:p w14:paraId="1AA4A88C" w14:textId="77777777" w:rsidR="005F196D" w:rsidRPr="00661F89" w:rsidRDefault="005F196D" w:rsidP="00EC0D19">
      <w:pPr>
        <w:spacing w:after="0" w:line="240" w:lineRule="auto"/>
        <w:rPr>
          <w:rFonts w:cstheme="minorHAnsi"/>
          <w:sz w:val="20"/>
          <w:szCs w:val="20"/>
        </w:rPr>
      </w:pPr>
    </w:p>
    <w:p w14:paraId="39E2D4D5" w14:textId="77777777" w:rsidR="005F196D" w:rsidRPr="00661F89" w:rsidRDefault="005F196D" w:rsidP="00EC0D19">
      <w:pPr>
        <w:spacing w:after="0" w:line="240" w:lineRule="auto"/>
        <w:rPr>
          <w:rFonts w:cstheme="minorHAnsi"/>
          <w:sz w:val="20"/>
          <w:szCs w:val="20"/>
        </w:rPr>
      </w:pPr>
    </w:p>
    <w:p w14:paraId="338F8DE6" w14:textId="77777777" w:rsidR="005F196D" w:rsidRPr="00661F89" w:rsidRDefault="005F196D" w:rsidP="00EC0D19">
      <w:pPr>
        <w:spacing w:after="0" w:line="240" w:lineRule="auto"/>
        <w:rPr>
          <w:rFonts w:cstheme="minorHAnsi"/>
          <w:sz w:val="20"/>
          <w:szCs w:val="20"/>
        </w:rPr>
      </w:pPr>
    </w:p>
    <w:p w14:paraId="72D67461" w14:textId="1D052B20" w:rsidR="00C05743" w:rsidRPr="006D70ED" w:rsidRDefault="00C05743" w:rsidP="00EC0D19">
      <w:pPr>
        <w:spacing w:after="0" w:line="240" w:lineRule="auto"/>
        <w:rPr>
          <w:rFonts w:cstheme="minorHAnsi"/>
        </w:rPr>
      </w:pPr>
      <w:r w:rsidRPr="00F54D17">
        <w:rPr>
          <w:rFonts w:cstheme="minorHAnsi"/>
          <w:color w:val="FF0000"/>
          <w:sz w:val="21"/>
          <w:szCs w:val="21"/>
          <w:shd w:val="clear" w:color="auto" w:fill="FFFFFF"/>
        </w:rPr>
        <w:br w:type="page"/>
      </w:r>
    </w:p>
    <w:p w14:paraId="0E84A911" w14:textId="77777777" w:rsidR="00C05743" w:rsidRPr="003F2BC4" w:rsidRDefault="00C05743" w:rsidP="00EC0D19">
      <w:pPr>
        <w:pStyle w:val="Heading2"/>
        <w:spacing w:before="0" w:line="240" w:lineRule="auto"/>
        <w:rPr>
          <w:rFonts w:asciiTheme="minorHAnsi" w:hAnsiTheme="minorHAnsi" w:cstheme="minorHAnsi"/>
          <w:b/>
          <w:bCs/>
          <w:color w:val="auto"/>
        </w:rPr>
      </w:pPr>
      <w:r w:rsidRPr="003F2BC4">
        <w:rPr>
          <w:rFonts w:asciiTheme="minorHAnsi" w:hAnsiTheme="minorHAnsi" w:cstheme="minorHAnsi"/>
          <w:b/>
          <w:bCs/>
          <w:color w:val="auto"/>
        </w:rPr>
        <w:lastRenderedPageBreak/>
        <w:t>Abstract</w:t>
      </w:r>
    </w:p>
    <w:p w14:paraId="26493A06" w14:textId="77777777" w:rsidR="00C05743" w:rsidRDefault="00C05743" w:rsidP="00EC0D19">
      <w:pPr>
        <w:spacing w:after="0" w:line="240" w:lineRule="auto"/>
        <w:rPr>
          <w:rFonts w:cstheme="minorHAnsi"/>
        </w:rPr>
      </w:pPr>
    </w:p>
    <w:p w14:paraId="238A0343" w14:textId="185CDDD6" w:rsidR="0082029D" w:rsidRPr="0082029D" w:rsidRDefault="00C05743" w:rsidP="0082029D">
      <w:pPr>
        <w:spacing w:after="0" w:line="240" w:lineRule="auto"/>
        <w:rPr>
          <w:rFonts w:cstheme="minorHAnsi"/>
        </w:rPr>
      </w:pPr>
      <w:bookmarkStart w:id="1" w:name="_Hlk176249917"/>
      <w:bookmarkStart w:id="2" w:name="_Hlk176249806"/>
      <w:r w:rsidRPr="00EB7E69">
        <w:rPr>
          <w:rStyle w:val="abstract-sub-heading"/>
          <w:rFonts w:cstheme="minorHAnsi"/>
          <w:b/>
          <w:bCs/>
        </w:rPr>
        <w:t xml:space="preserve">Background:  </w:t>
      </w:r>
      <w:r w:rsidR="008A6654">
        <w:rPr>
          <w:rStyle w:val="abstract-sub-heading"/>
          <w:rFonts w:cstheme="minorHAnsi"/>
        </w:rPr>
        <w:t xml:space="preserve">During </w:t>
      </w:r>
      <w:r w:rsidR="0070495B">
        <w:rPr>
          <w:rStyle w:val="abstract-sub-heading"/>
          <w:rFonts w:cstheme="minorHAnsi"/>
        </w:rPr>
        <w:t>the</w:t>
      </w:r>
      <w:r w:rsidR="003A5347">
        <w:rPr>
          <w:rStyle w:val="abstract-sub-heading"/>
          <w:rFonts w:cstheme="minorHAnsi"/>
        </w:rPr>
        <w:t xml:space="preserve"> </w:t>
      </w:r>
      <w:bookmarkStart w:id="3" w:name="_Hlk203125637"/>
      <w:r w:rsidR="003A5347">
        <w:rPr>
          <w:rStyle w:val="abstract-sub-heading"/>
          <w:rFonts w:cstheme="minorHAnsi"/>
        </w:rPr>
        <w:t>Coronavirus Disease 2019</w:t>
      </w:r>
      <w:r w:rsidR="0070495B">
        <w:rPr>
          <w:rStyle w:val="abstract-sub-heading"/>
          <w:rFonts w:cstheme="minorHAnsi"/>
        </w:rPr>
        <w:t xml:space="preserve"> </w:t>
      </w:r>
      <w:r w:rsidR="003A5347">
        <w:rPr>
          <w:rStyle w:val="abstract-sub-heading"/>
          <w:rFonts w:cstheme="minorHAnsi"/>
        </w:rPr>
        <w:t>(</w:t>
      </w:r>
      <w:r w:rsidR="008A6654">
        <w:rPr>
          <w:rStyle w:val="abstract-sub-heading"/>
          <w:rFonts w:cstheme="minorHAnsi"/>
        </w:rPr>
        <w:t>COVID-19</w:t>
      </w:r>
      <w:r w:rsidR="003A5347">
        <w:rPr>
          <w:rStyle w:val="abstract-sub-heading"/>
          <w:rFonts w:cstheme="minorHAnsi"/>
        </w:rPr>
        <w:t>)</w:t>
      </w:r>
      <w:r w:rsidR="0070495B">
        <w:rPr>
          <w:rStyle w:val="abstract-sub-heading"/>
          <w:rFonts w:cstheme="minorHAnsi"/>
        </w:rPr>
        <w:t xml:space="preserve"> </w:t>
      </w:r>
      <w:bookmarkEnd w:id="3"/>
      <w:r w:rsidR="0070495B">
        <w:rPr>
          <w:rStyle w:val="abstract-sub-heading"/>
          <w:rFonts w:cstheme="minorHAnsi"/>
        </w:rPr>
        <w:t>pandemic</w:t>
      </w:r>
      <w:r w:rsidR="00547673">
        <w:rPr>
          <w:rStyle w:val="abstract-sub-heading"/>
          <w:rFonts w:cstheme="minorHAnsi"/>
        </w:rPr>
        <w:t>,</w:t>
      </w:r>
      <w:r w:rsidR="008A6654">
        <w:rPr>
          <w:rStyle w:val="abstract-sub-heading"/>
          <w:rFonts w:cstheme="minorHAnsi"/>
        </w:rPr>
        <w:t xml:space="preserve"> </w:t>
      </w:r>
      <w:r w:rsidR="00AC3177">
        <w:rPr>
          <w:rStyle w:val="abstract-sub-heading"/>
          <w:rFonts w:cstheme="minorHAnsi"/>
        </w:rPr>
        <w:t>the World Health Organisation</w:t>
      </w:r>
      <w:r w:rsidR="00226A9D">
        <w:rPr>
          <w:rStyle w:val="abstract-sub-heading"/>
          <w:rFonts w:cstheme="minorHAnsi"/>
        </w:rPr>
        <w:t xml:space="preserve"> </w:t>
      </w:r>
      <w:r w:rsidR="008A6654">
        <w:rPr>
          <w:rStyle w:val="abstract-sub-heading"/>
          <w:rFonts w:cstheme="minorHAnsi"/>
        </w:rPr>
        <w:t>reported a 25% increase in anxiety and depression</w:t>
      </w:r>
      <w:r w:rsidR="00565492">
        <w:rPr>
          <w:rStyle w:val="abstract-sub-heading"/>
          <w:rFonts w:cstheme="minorHAnsi"/>
        </w:rPr>
        <w:t>,</w:t>
      </w:r>
      <w:r w:rsidR="008A6654">
        <w:rPr>
          <w:rStyle w:val="abstract-sub-heading"/>
          <w:rFonts w:cstheme="minorHAnsi"/>
        </w:rPr>
        <w:t xml:space="preserve"> and mul</w:t>
      </w:r>
      <w:r w:rsidR="00565492">
        <w:rPr>
          <w:rStyle w:val="abstract-sub-heading"/>
          <w:rFonts w:cstheme="minorHAnsi"/>
        </w:rPr>
        <w:t xml:space="preserve">tiple studies indicated that </w:t>
      </w:r>
      <w:r w:rsidR="00B13EF2" w:rsidRPr="00EB7E69">
        <w:rPr>
          <w:rFonts w:cstheme="minorHAnsi"/>
        </w:rPr>
        <w:t xml:space="preserve">COVID-19 experiences might increase </w:t>
      </w:r>
      <w:r w:rsidR="00B36E3D">
        <w:rPr>
          <w:rFonts w:cstheme="minorHAnsi"/>
        </w:rPr>
        <w:t>the</w:t>
      </w:r>
      <w:r w:rsidR="00B13EF2" w:rsidRPr="00EB7E69">
        <w:rPr>
          <w:rFonts w:cstheme="minorHAnsi"/>
        </w:rPr>
        <w:t xml:space="preserve"> prevalence of mental illness </w:t>
      </w:r>
      <w:r w:rsidR="0021160E" w:rsidRPr="00EB7E69">
        <w:rPr>
          <w:rFonts w:cstheme="minorHAnsi"/>
        </w:rPr>
        <w:t xml:space="preserve">with </w:t>
      </w:r>
      <w:r w:rsidR="00547673">
        <w:rPr>
          <w:rFonts w:cstheme="minorHAnsi"/>
        </w:rPr>
        <w:t xml:space="preserve">subsequent </w:t>
      </w:r>
      <w:r w:rsidR="0021160E" w:rsidRPr="00EB7E69">
        <w:rPr>
          <w:rFonts w:cstheme="minorHAnsi"/>
        </w:rPr>
        <w:t xml:space="preserve">high demands on </w:t>
      </w:r>
      <w:r w:rsidR="004B3674">
        <w:rPr>
          <w:rFonts w:cstheme="minorHAnsi"/>
        </w:rPr>
        <w:t>m</w:t>
      </w:r>
      <w:r w:rsidR="00C35D1D">
        <w:rPr>
          <w:rFonts w:cstheme="minorHAnsi"/>
        </w:rPr>
        <w:t xml:space="preserve">ental </w:t>
      </w:r>
      <w:r w:rsidR="004B3674">
        <w:rPr>
          <w:rFonts w:cstheme="minorHAnsi"/>
        </w:rPr>
        <w:t>h</w:t>
      </w:r>
      <w:r w:rsidR="00C35D1D">
        <w:rPr>
          <w:rFonts w:cstheme="minorHAnsi"/>
        </w:rPr>
        <w:t>ealth (MH)</w:t>
      </w:r>
      <w:r w:rsidR="00D71EFB" w:rsidRPr="00EB7E69">
        <w:rPr>
          <w:rFonts w:cstheme="minorHAnsi"/>
        </w:rPr>
        <w:t xml:space="preserve"> services</w:t>
      </w:r>
      <w:r w:rsidR="00B13EF2" w:rsidRPr="00EB7E69">
        <w:rPr>
          <w:rFonts w:cstheme="minorHAnsi"/>
        </w:rPr>
        <w:t>.</w:t>
      </w:r>
      <w:r w:rsidR="0082029D" w:rsidRPr="0082029D">
        <w:rPr>
          <w:rFonts w:cstheme="minorHAnsi"/>
        </w:rPr>
        <w:t xml:space="preserve"> However, few studies have focussed upon MH across the entire </w:t>
      </w:r>
      <w:r w:rsidR="0082029D">
        <w:rPr>
          <w:rFonts w:cstheme="minorHAnsi"/>
        </w:rPr>
        <w:t xml:space="preserve">period of </w:t>
      </w:r>
      <w:r w:rsidR="0082029D" w:rsidRPr="0082029D">
        <w:rPr>
          <w:rFonts w:cstheme="minorHAnsi"/>
        </w:rPr>
        <w:t>pandemic</w:t>
      </w:r>
      <w:r w:rsidR="0082029D">
        <w:rPr>
          <w:rFonts w:cstheme="minorHAnsi"/>
        </w:rPr>
        <w:t xml:space="preserve"> restrictions within England</w:t>
      </w:r>
      <w:r w:rsidR="0082029D" w:rsidRPr="0082029D">
        <w:rPr>
          <w:rFonts w:cstheme="minorHAnsi"/>
        </w:rPr>
        <w:t xml:space="preserve"> or considered implications for pandemic preparedness.   </w:t>
      </w:r>
    </w:p>
    <w:p w14:paraId="6BC6EB69" w14:textId="66FB4C25" w:rsidR="00045C5F" w:rsidRPr="0082029D" w:rsidRDefault="00B13EF2" w:rsidP="0082029D">
      <w:pPr>
        <w:spacing w:after="0" w:line="240" w:lineRule="auto"/>
        <w:rPr>
          <w:rStyle w:val="abstract-sub-heading"/>
          <w:rFonts w:cstheme="minorHAnsi"/>
        </w:rPr>
      </w:pPr>
      <w:r w:rsidRPr="00EB7E69">
        <w:rPr>
          <w:rFonts w:cstheme="minorHAnsi"/>
        </w:rPr>
        <w:t xml:space="preserve">   </w:t>
      </w:r>
    </w:p>
    <w:p w14:paraId="789A4858" w14:textId="48EFEFC2" w:rsidR="00502B6C" w:rsidRPr="00EB7E69" w:rsidRDefault="00C05743" w:rsidP="00EC0D19">
      <w:pPr>
        <w:pStyle w:val="NormalWeb"/>
        <w:shd w:val="clear" w:color="auto" w:fill="FFFFFF"/>
        <w:spacing w:before="0" w:beforeAutospacing="0" w:after="0" w:afterAutospacing="0"/>
        <w:rPr>
          <w:rFonts w:asciiTheme="minorHAnsi" w:hAnsiTheme="minorHAnsi" w:cstheme="minorHAnsi"/>
          <w:sz w:val="22"/>
          <w:szCs w:val="22"/>
        </w:rPr>
      </w:pPr>
      <w:r w:rsidRPr="00EB7E69">
        <w:rPr>
          <w:rStyle w:val="abstract-sub-heading"/>
          <w:rFonts w:asciiTheme="minorHAnsi" w:hAnsiTheme="minorHAnsi" w:cstheme="minorHAnsi"/>
          <w:b/>
          <w:bCs/>
          <w:sz w:val="22"/>
          <w:szCs w:val="22"/>
        </w:rPr>
        <w:t>Methods:</w:t>
      </w:r>
      <w:r w:rsidR="00502B6C" w:rsidRPr="00EB7E69">
        <w:rPr>
          <w:rStyle w:val="abstract-sub-heading"/>
          <w:rFonts w:asciiTheme="minorHAnsi" w:hAnsiTheme="minorHAnsi" w:cstheme="minorHAnsi"/>
          <w:b/>
          <w:bCs/>
          <w:sz w:val="22"/>
          <w:szCs w:val="22"/>
        </w:rPr>
        <w:t xml:space="preserve">  </w:t>
      </w:r>
      <w:r w:rsidR="00D054D4" w:rsidRPr="00D054D4">
        <w:rPr>
          <w:rStyle w:val="abstract-sub-heading"/>
          <w:rFonts w:asciiTheme="minorHAnsi" w:hAnsiTheme="minorHAnsi" w:cstheme="minorHAnsi"/>
          <w:sz w:val="22"/>
          <w:szCs w:val="22"/>
        </w:rPr>
        <w:t>We conducted a</w:t>
      </w:r>
      <w:r w:rsidR="002F03C7">
        <w:rPr>
          <w:rStyle w:val="abstract-sub-heading"/>
          <w:rFonts w:asciiTheme="minorHAnsi" w:hAnsiTheme="minorHAnsi" w:cstheme="minorHAnsi"/>
          <w:sz w:val="22"/>
          <w:szCs w:val="22"/>
        </w:rPr>
        <w:t xml:space="preserve">n interrupted time-series analysis </w:t>
      </w:r>
      <w:r w:rsidR="00D054D4" w:rsidRPr="00D054D4">
        <w:rPr>
          <w:rStyle w:val="abstract-sub-heading"/>
          <w:rFonts w:asciiTheme="minorHAnsi" w:hAnsiTheme="minorHAnsi" w:cstheme="minorHAnsi"/>
          <w:sz w:val="22"/>
          <w:szCs w:val="22"/>
        </w:rPr>
        <w:t xml:space="preserve">of </w:t>
      </w:r>
      <w:r w:rsidR="008216A4">
        <w:rPr>
          <w:rStyle w:val="abstract-sub-heading"/>
          <w:rFonts w:asciiTheme="minorHAnsi" w:hAnsiTheme="minorHAnsi" w:cstheme="minorHAnsi"/>
          <w:sz w:val="22"/>
          <w:szCs w:val="22"/>
        </w:rPr>
        <w:t>MH</w:t>
      </w:r>
      <w:r w:rsidR="00D054D4" w:rsidRPr="00D054D4">
        <w:rPr>
          <w:rStyle w:val="abstract-sub-heading"/>
          <w:rFonts w:asciiTheme="minorHAnsi" w:hAnsiTheme="minorHAnsi" w:cstheme="minorHAnsi"/>
          <w:sz w:val="22"/>
          <w:szCs w:val="22"/>
        </w:rPr>
        <w:t xml:space="preserve"> service utili</w:t>
      </w:r>
      <w:r w:rsidR="00D054D4">
        <w:rPr>
          <w:rStyle w:val="abstract-sub-heading"/>
          <w:rFonts w:asciiTheme="minorHAnsi" w:hAnsiTheme="minorHAnsi" w:cstheme="minorHAnsi"/>
          <w:sz w:val="22"/>
          <w:szCs w:val="22"/>
        </w:rPr>
        <w:t>s</w:t>
      </w:r>
      <w:r w:rsidR="00D054D4" w:rsidRPr="00D054D4">
        <w:rPr>
          <w:rStyle w:val="abstract-sub-heading"/>
          <w:rFonts w:asciiTheme="minorHAnsi" w:hAnsiTheme="minorHAnsi" w:cstheme="minorHAnsi"/>
          <w:sz w:val="22"/>
          <w:szCs w:val="22"/>
        </w:rPr>
        <w:t>ation across England's National Health Service, including primary care consultations, emergency department attendances, and telephone advice line contacts.</w:t>
      </w:r>
      <w:r w:rsidR="003A5347">
        <w:rPr>
          <w:rStyle w:val="abstract-sub-heading"/>
          <w:rFonts w:asciiTheme="minorHAnsi" w:hAnsiTheme="minorHAnsi" w:cstheme="minorHAnsi"/>
          <w:sz w:val="22"/>
          <w:szCs w:val="22"/>
        </w:rPr>
        <w:t xml:space="preserve"> The s</w:t>
      </w:r>
      <w:r w:rsidR="00256AFA">
        <w:rPr>
          <w:rFonts w:asciiTheme="minorHAnsi" w:hAnsiTheme="minorHAnsi" w:cstheme="minorHAnsi"/>
          <w:sz w:val="22"/>
          <w:szCs w:val="22"/>
        </w:rPr>
        <w:t xml:space="preserve">tudy period was </w:t>
      </w:r>
      <w:r w:rsidR="0082029D">
        <w:rPr>
          <w:rFonts w:asciiTheme="minorHAnsi" w:hAnsiTheme="minorHAnsi" w:cstheme="minorHAnsi"/>
          <w:sz w:val="22"/>
          <w:szCs w:val="22"/>
        </w:rPr>
        <w:t>January 1</w:t>
      </w:r>
      <w:r w:rsidR="0082029D" w:rsidRPr="0082029D">
        <w:rPr>
          <w:rFonts w:asciiTheme="minorHAnsi" w:hAnsiTheme="minorHAnsi" w:cstheme="minorHAnsi"/>
          <w:sz w:val="22"/>
          <w:szCs w:val="22"/>
          <w:vertAlign w:val="superscript"/>
        </w:rPr>
        <w:t>st</w:t>
      </w:r>
      <w:r w:rsidR="0082029D">
        <w:rPr>
          <w:rFonts w:asciiTheme="minorHAnsi" w:hAnsiTheme="minorHAnsi" w:cstheme="minorHAnsi"/>
          <w:sz w:val="22"/>
          <w:szCs w:val="22"/>
        </w:rPr>
        <w:t xml:space="preserve"> </w:t>
      </w:r>
      <w:r w:rsidRPr="00EB7E69">
        <w:rPr>
          <w:rFonts w:asciiTheme="minorHAnsi" w:hAnsiTheme="minorHAnsi" w:cstheme="minorHAnsi"/>
          <w:sz w:val="22"/>
          <w:szCs w:val="22"/>
        </w:rPr>
        <w:t xml:space="preserve">2019 to </w:t>
      </w:r>
      <w:r w:rsidR="0082029D">
        <w:rPr>
          <w:rFonts w:asciiTheme="minorHAnsi" w:hAnsiTheme="minorHAnsi" w:cstheme="minorHAnsi"/>
          <w:sz w:val="22"/>
          <w:szCs w:val="22"/>
        </w:rPr>
        <w:t>April 20</w:t>
      </w:r>
      <w:r w:rsidR="0082029D" w:rsidRPr="0082029D">
        <w:rPr>
          <w:rFonts w:asciiTheme="minorHAnsi" w:hAnsiTheme="minorHAnsi" w:cstheme="minorHAnsi"/>
          <w:sz w:val="22"/>
          <w:szCs w:val="22"/>
          <w:vertAlign w:val="superscript"/>
        </w:rPr>
        <w:t>th</w:t>
      </w:r>
      <w:r w:rsidR="0082029D">
        <w:rPr>
          <w:rFonts w:asciiTheme="minorHAnsi" w:hAnsiTheme="minorHAnsi" w:cstheme="minorHAnsi"/>
          <w:sz w:val="22"/>
          <w:szCs w:val="22"/>
        </w:rPr>
        <w:t xml:space="preserve"> </w:t>
      </w:r>
      <w:r w:rsidRPr="00EB7E69">
        <w:rPr>
          <w:rFonts w:asciiTheme="minorHAnsi" w:hAnsiTheme="minorHAnsi" w:cstheme="minorHAnsi"/>
          <w:sz w:val="22"/>
          <w:szCs w:val="22"/>
        </w:rPr>
        <w:t>202</w:t>
      </w:r>
      <w:r w:rsidR="00F10560" w:rsidRPr="00EB7E69">
        <w:rPr>
          <w:rFonts w:asciiTheme="minorHAnsi" w:hAnsiTheme="minorHAnsi" w:cstheme="minorHAnsi"/>
          <w:sz w:val="22"/>
          <w:szCs w:val="22"/>
        </w:rPr>
        <w:t>2</w:t>
      </w:r>
      <w:r w:rsidR="00A576FC" w:rsidRPr="00EB7E69">
        <w:rPr>
          <w:rFonts w:asciiTheme="minorHAnsi" w:hAnsiTheme="minorHAnsi" w:cstheme="minorHAnsi"/>
          <w:sz w:val="22"/>
          <w:szCs w:val="22"/>
        </w:rPr>
        <w:t xml:space="preserve">. </w:t>
      </w:r>
      <w:r w:rsidR="00AE7680">
        <w:rPr>
          <w:rFonts w:asciiTheme="minorHAnsi" w:hAnsiTheme="minorHAnsi" w:cstheme="minorHAnsi"/>
          <w:sz w:val="22"/>
          <w:szCs w:val="22"/>
        </w:rPr>
        <w:t>Using data from before and after</w:t>
      </w:r>
      <w:r w:rsidR="00D07402">
        <w:rPr>
          <w:rFonts w:asciiTheme="minorHAnsi" w:hAnsiTheme="minorHAnsi" w:cstheme="minorHAnsi"/>
          <w:sz w:val="22"/>
          <w:szCs w:val="22"/>
        </w:rPr>
        <w:t xml:space="preserve"> </w:t>
      </w:r>
      <w:r w:rsidR="00AE7680">
        <w:rPr>
          <w:rFonts w:asciiTheme="minorHAnsi" w:hAnsiTheme="minorHAnsi" w:cstheme="minorHAnsi"/>
          <w:sz w:val="22"/>
          <w:szCs w:val="22"/>
        </w:rPr>
        <w:t>pandemic</w:t>
      </w:r>
      <w:r w:rsidR="00D07402">
        <w:rPr>
          <w:rFonts w:asciiTheme="minorHAnsi" w:hAnsiTheme="minorHAnsi" w:cstheme="minorHAnsi"/>
          <w:sz w:val="22"/>
          <w:szCs w:val="22"/>
        </w:rPr>
        <w:t xml:space="preserve"> restrictions</w:t>
      </w:r>
      <w:r w:rsidR="00AE7680">
        <w:rPr>
          <w:rFonts w:asciiTheme="minorHAnsi" w:hAnsiTheme="minorHAnsi" w:cstheme="minorHAnsi"/>
          <w:sz w:val="22"/>
          <w:szCs w:val="22"/>
        </w:rPr>
        <w:t xml:space="preserve">, </w:t>
      </w:r>
      <w:r w:rsidR="00BF3ECD" w:rsidRPr="00EB7E69">
        <w:rPr>
          <w:rFonts w:asciiTheme="minorHAnsi" w:hAnsiTheme="minorHAnsi" w:cstheme="minorHAnsi"/>
          <w:sz w:val="22"/>
          <w:szCs w:val="22"/>
        </w:rPr>
        <w:t xml:space="preserve">negative binomial </w:t>
      </w:r>
      <w:r w:rsidR="006D70ED">
        <w:rPr>
          <w:rFonts w:asciiTheme="minorHAnsi" w:hAnsiTheme="minorHAnsi" w:cstheme="minorHAnsi"/>
          <w:sz w:val="22"/>
          <w:szCs w:val="22"/>
        </w:rPr>
        <w:t xml:space="preserve">regression </w:t>
      </w:r>
      <w:r w:rsidR="00312861" w:rsidRPr="00EB7E69">
        <w:rPr>
          <w:rFonts w:asciiTheme="minorHAnsi" w:hAnsiTheme="minorHAnsi" w:cstheme="minorHAnsi"/>
          <w:sz w:val="22"/>
          <w:szCs w:val="22"/>
        </w:rPr>
        <w:t>models</w:t>
      </w:r>
      <w:r w:rsidR="00FC77C5" w:rsidRPr="00EB7E69">
        <w:rPr>
          <w:rFonts w:asciiTheme="minorHAnsi" w:hAnsiTheme="minorHAnsi" w:cstheme="minorHAnsi"/>
          <w:sz w:val="22"/>
          <w:szCs w:val="22"/>
        </w:rPr>
        <w:t xml:space="preserve"> </w:t>
      </w:r>
      <w:r w:rsidR="005629F2">
        <w:rPr>
          <w:rFonts w:asciiTheme="minorHAnsi" w:hAnsiTheme="minorHAnsi" w:cstheme="minorHAnsi"/>
          <w:sz w:val="22"/>
          <w:szCs w:val="22"/>
        </w:rPr>
        <w:t>generated</w:t>
      </w:r>
      <w:r w:rsidR="00CC7EE6">
        <w:rPr>
          <w:rFonts w:asciiTheme="minorHAnsi" w:hAnsiTheme="minorHAnsi" w:cstheme="minorHAnsi"/>
          <w:sz w:val="22"/>
          <w:szCs w:val="22"/>
        </w:rPr>
        <w:t xml:space="preserve"> expected MH </w:t>
      </w:r>
      <w:r w:rsidR="00BB21EF">
        <w:rPr>
          <w:rFonts w:asciiTheme="minorHAnsi" w:hAnsiTheme="minorHAnsi" w:cstheme="minorHAnsi"/>
          <w:sz w:val="22"/>
          <w:szCs w:val="22"/>
        </w:rPr>
        <w:t xml:space="preserve">utilisation if the pandemic had not </w:t>
      </w:r>
      <w:r w:rsidR="0070495B">
        <w:rPr>
          <w:rFonts w:asciiTheme="minorHAnsi" w:hAnsiTheme="minorHAnsi" w:cstheme="minorHAnsi"/>
          <w:sz w:val="22"/>
          <w:szCs w:val="22"/>
        </w:rPr>
        <w:t>occurred</w:t>
      </w:r>
      <w:r w:rsidR="00CC7EE6">
        <w:rPr>
          <w:rFonts w:asciiTheme="minorHAnsi" w:hAnsiTheme="minorHAnsi" w:cstheme="minorHAnsi"/>
          <w:sz w:val="22"/>
          <w:szCs w:val="22"/>
        </w:rPr>
        <w:t xml:space="preserve">. </w:t>
      </w:r>
      <w:r w:rsidR="0033737B">
        <w:rPr>
          <w:rFonts w:asciiTheme="minorHAnsi" w:hAnsiTheme="minorHAnsi" w:cstheme="minorHAnsi"/>
          <w:sz w:val="22"/>
          <w:szCs w:val="22"/>
        </w:rPr>
        <w:t xml:space="preserve">Expected </w:t>
      </w:r>
      <w:r w:rsidR="00DA45B4">
        <w:rPr>
          <w:rFonts w:asciiTheme="minorHAnsi" w:hAnsiTheme="minorHAnsi" w:cstheme="minorHAnsi"/>
          <w:sz w:val="22"/>
          <w:szCs w:val="22"/>
        </w:rPr>
        <w:t>and o</w:t>
      </w:r>
      <w:r w:rsidR="00CC7EE6">
        <w:rPr>
          <w:rFonts w:asciiTheme="minorHAnsi" w:hAnsiTheme="minorHAnsi" w:cstheme="minorHAnsi"/>
          <w:sz w:val="22"/>
          <w:szCs w:val="22"/>
        </w:rPr>
        <w:t xml:space="preserve">bserved </w:t>
      </w:r>
      <w:r w:rsidR="00502B6C" w:rsidRPr="00EB7E69">
        <w:rPr>
          <w:rFonts w:asciiTheme="minorHAnsi" w:hAnsiTheme="minorHAnsi" w:cstheme="minorHAnsi"/>
          <w:sz w:val="22"/>
          <w:szCs w:val="22"/>
        </w:rPr>
        <w:t>MH</w:t>
      </w:r>
      <w:r w:rsidR="00040E40" w:rsidRPr="00EB7E69">
        <w:rPr>
          <w:rFonts w:asciiTheme="minorHAnsi" w:hAnsiTheme="minorHAnsi" w:cstheme="minorHAnsi"/>
          <w:sz w:val="22"/>
          <w:szCs w:val="22"/>
        </w:rPr>
        <w:t xml:space="preserve"> </w:t>
      </w:r>
      <w:r w:rsidR="00BB21EF">
        <w:rPr>
          <w:rFonts w:asciiTheme="minorHAnsi" w:hAnsiTheme="minorHAnsi" w:cstheme="minorHAnsi"/>
          <w:sz w:val="22"/>
          <w:szCs w:val="22"/>
        </w:rPr>
        <w:t>utilisation</w:t>
      </w:r>
      <w:r w:rsidR="00DA45B4">
        <w:rPr>
          <w:rFonts w:asciiTheme="minorHAnsi" w:hAnsiTheme="minorHAnsi" w:cstheme="minorHAnsi"/>
          <w:sz w:val="22"/>
          <w:szCs w:val="22"/>
        </w:rPr>
        <w:t xml:space="preserve"> were compared</w:t>
      </w:r>
      <w:r w:rsidR="00502B6C" w:rsidRPr="00EB7E69">
        <w:rPr>
          <w:rFonts w:asciiTheme="minorHAnsi" w:hAnsiTheme="minorHAnsi" w:cstheme="minorHAnsi"/>
          <w:sz w:val="22"/>
          <w:szCs w:val="22"/>
        </w:rPr>
        <w:t>.</w:t>
      </w:r>
      <w:r w:rsidR="00155BE7">
        <w:rPr>
          <w:rFonts w:asciiTheme="minorHAnsi" w:hAnsiTheme="minorHAnsi" w:cstheme="minorHAnsi"/>
          <w:sz w:val="22"/>
          <w:szCs w:val="22"/>
        </w:rPr>
        <w:t xml:space="preserve"> MH service indicators were analysed both overall and stratified by age group. </w:t>
      </w:r>
    </w:p>
    <w:p w14:paraId="04967FBF" w14:textId="77777777" w:rsidR="00045C5F" w:rsidRDefault="00045C5F" w:rsidP="00EC0D19">
      <w:pPr>
        <w:pStyle w:val="NormalWeb"/>
        <w:shd w:val="clear" w:color="auto" w:fill="FFFFFF"/>
        <w:spacing w:before="0" w:beforeAutospacing="0" w:after="0" w:afterAutospacing="0"/>
        <w:rPr>
          <w:rStyle w:val="abstract-sub-heading"/>
          <w:rFonts w:asciiTheme="minorHAnsi" w:hAnsiTheme="minorHAnsi" w:cstheme="minorHAnsi"/>
          <w:b/>
          <w:bCs/>
          <w:sz w:val="22"/>
          <w:szCs w:val="22"/>
        </w:rPr>
      </w:pPr>
    </w:p>
    <w:p w14:paraId="43F2EBDF" w14:textId="50D71FF5" w:rsidR="00B61917" w:rsidRDefault="00C05743" w:rsidP="69164DB3">
      <w:pPr>
        <w:pStyle w:val="NormalWeb"/>
        <w:shd w:val="clear" w:color="auto" w:fill="FFFFFF" w:themeFill="background1"/>
        <w:spacing w:before="0" w:beforeAutospacing="0" w:after="0" w:afterAutospacing="0"/>
        <w:rPr>
          <w:rStyle w:val="abstract-sub-heading"/>
          <w:rFonts w:asciiTheme="minorHAnsi" w:hAnsiTheme="minorHAnsi" w:cstheme="minorBidi"/>
          <w:b/>
          <w:bCs/>
          <w:sz w:val="22"/>
          <w:szCs w:val="22"/>
        </w:rPr>
      </w:pPr>
      <w:r w:rsidRPr="69164DB3">
        <w:rPr>
          <w:rStyle w:val="abstract-sub-heading"/>
          <w:rFonts w:asciiTheme="minorHAnsi" w:hAnsiTheme="minorHAnsi" w:cstheme="minorBidi"/>
          <w:b/>
          <w:bCs/>
          <w:sz w:val="22"/>
          <w:szCs w:val="22"/>
        </w:rPr>
        <w:t>Results:</w:t>
      </w:r>
      <w:r w:rsidR="00502B6C" w:rsidRPr="69164DB3">
        <w:rPr>
          <w:rStyle w:val="abstract-sub-heading"/>
          <w:rFonts w:asciiTheme="minorHAnsi" w:hAnsiTheme="minorHAnsi" w:cstheme="minorBidi"/>
          <w:b/>
          <w:bCs/>
          <w:sz w:val="22"/>
          <w:szCs w:val="22"/>
        </w:rPr>
        <w:t xml:space="preserve">  </w:t>
      </w:r>
      <w:r w:rsidR="00B61917" w:rsidRPr="00B61917">
        <w:rPr>
          <w:rStyle w:val="abstract-sub-heading"/>
          <w:rFonts w:asciiTheme="minorHAnsi" w:hAnsiTheme="minorHAnsi" w:cstheme="minorBidi"/>
          <w:sz w:val="22"/>
          <w:szCs w:val="22"/>
        </w:rPr>
        <w:t>Early restrictions saw significant declines</w:t>
      </w:r>
      <w:r w:rsidR="0050253C">
        <w:rPr>
          <w:rStyle w:val="abstract-sub-heading"/>
          <w:rFonts w:asciiTheme="minorHAnsi" w:hAnsiTheme="minorHAnsi" w:cstheme="minorBidi"/>
          <w:sz w:val="22"/>
          <w:szCs w:val="22"/>
        </w:rPr>
        <w:t xml:space="preserve"> in access to MH services</w:t>
      </w:r>
      <w:r w:rsidR="00B61917">
        <w:rPr>
          <w:rStyle w:val="abstract-sub-heading"/>
          <w:rFonts w:asciiTheme="minorHAnsi" w:hAnsiTheme="minorHAnsi" w:cstheme="minorBidi"/>
          <w:sz w:val="22"/>
          <w:szCs w:val="22"/>
        </w:rPr>
        <w:t xml:space="preserve">, </w:t>
      </w:r>
      <w:r w:rsidR="006512E7">
        <w:rPr>
          <w:rStyle w:val="abstract-sub-heading"/>
          <w:rFonts w:asciiTheme="minorHAnsi" w:hAnsiTheme="minorHAnsi" w:cstheme="minorBidi"/>
          <w:sz w:val="22"/>
          <w:szCs w:val="22"/>
        </w:rPr>
        <w:t>telephone</w:t>
      </w:r>
      <w:r w:rsidR="00B61917" w:rsidRPr="00B61917">
        <w:rPr>
          <w:rStyle w:val="abstract-sub-heading"/>
          <w:rFonts w:asciiTheme="minorHAnsi" w:hAnsiTheme="minorHAnsi" w:cstheme="minorBidi"/>
          <w:sz w:val="22"/>
          <w:szCs w:val="22"/>
        </w:rPr>
        <w:t xml:space="preserve"> </w:t>
      </w:r>
      <w:r w:rsidR="00B61917">
        <w:rPr>
          <w:rStyle w:val="abstract-sub-heading"/>
          <w:rFonts w:asciiTheme="minorHAnsi" w:hAnsiTheme="minorHAnsi" w:cstheme="minorBidi"/>
          <w:sz w:val="22"/>
          <w:szCs w:val="22"/>
        </w:rPr>
        <w:t xml:space="preserve">calls for MH </w:t>
      </w:r>
      <w:r w:rsidR="0050253C">
        <w:rPr>
          <w:rStyle w:val="abstract-sub-heading"/>
          <w:rFonts w:asciiTheme="minorHAnsi" w:hAnsiTheme="minorHAnsi" w:cstheme="minorBidi"/>
          <w:sz w:val="22"/>
          <w:szCs w:val="22"/>
        </w:rPr>
        <w:t xml:space="preserve">advice </w:t>
      </w:r>
      <w:r w:rsidR="00B61917">
        <w:rPr>
          <w:rStyle w:val="abstract-sub-heading"/>
          <w:rFonts w:asciiTheme="minorHAnsi" w:hAnsiTheme="minorHAnsi" w:cstheme="minorBidi"/>
          <w:sz w:val="22"/>
          <w:szCs w:val="22"/>
        </w:rPr>
        <w:t xml:space="preserve">reduced by 36.8% (95% CI </w:t>
      </w:r>
      <w:r w:rsidR="005A0612">
        <w:rPr>
          <w:rStyle w:val="abstract-sub-heading"/>
          <w:rFonts w:asciiTheme="minorHAnsi" w:hAnsiTheme="minorHAnsi" w:cstheme="minorBidi"/>
          <w:sz w:val="22"/>
          <w:szCs w:val="22"/>
        </w:rPr>
        <w:t>-</w:t>
      </w:r>
      <w:r w:rsidR="00B61917">
        <w:rPr>
          <w:rStyle w:val="abstract-sub-heading"/>
          <w:rFonts w:asciiTheme="minorHAnsi" w:hAnsiTheme="minorHAnsi" w:cstheme="minorBidi"/>
          <w:sz w:val="22"/>
          <w:szCs w:val="22"/>
        </w:rPr>
        <w:t>42.0</w:t>
      </w:r>
      <w:r w:rsidR="005A0612">
        <w:rPr>
          <w:rStyle w:val="abstract-sub-heading"/>
          <w:rFonts w:asciiTheme="minorHAnsi" w:hAnsiTheme="minorHAnsi" w:cstheme="minorBidi"/>
          <w:sz w:val="22"/>
          <w:szCs w:val="22"/>
        </w:rPr>
        <w:t>, -</w:t>
      </w:r>
      <w:r w:rsidR="00B61917">
        <w:rPr>
          <w:rStyle w:val="abstract-sub-heading"/>
          <w:rFonts w:asciiTheme="minorHAnsi" w:hAnsiTheme="minorHAnsi" w:cstheme="minorBidi"/>
          <w:sz w:val="22"/>
          <w:szCs w:val="22"/>
        </w:rPr>
        <w:t>31.9) and in hours consultations for depression decreased by 64.6% (</w:t>
      </w:r>
      <w:r w:rsidR="0022493D">
        <w:rPr>
          <w:rStyle w:val="abstract-sub-heading"/>
          <w:rFonts w:asciiTheme="minorHAnsi" w:hAnsiTheme="minorHAnsi" w:cstheme="minorBidi"/>
          <w:sz w:val="22"/>
          <w:szCs w:val="22"/>
        </w:rPr>
        <w:t xml:space="preserve">95% CI </w:t>
      </w:r>
      <w:r w:rsidR="005A0612">
        <w:rPr>
          <w:rStyle w:val="abstract-sub-heading"/>
          <w:rFonts w:asciiTheme="minorHAnsi" w:hAnsiTheme="minorHAnsi" w:cstheme="minorBidi"/>
          <w:sz w:val="22"/>
          <w:szCs w:val="22"/>
        </w:rPr>
        <w:t>-</w:t>
      </w:r>
      <w:r w:rsidR="0022493D">
        <w:rPr>
          <w:rStyle w:val="abstract-sub-heading"/>
          <w:rFonts w:asciiTheme="minorHAnsi" w:hAnsiTheme="minorHAnsi" w:cstheme="minorBidi"/>
          <w:sz w:val="22"/>
          <w:szCs w:val="22"/>
        </w:rPr>
        <w:t>77.8</w:t>
      </w:r>
      <w:r w:rsidR="005A0612">
        <w:rPr>
          <w:rStyle w:val="abstract-sub-heading"/>
          <w:rFonts w:asciiTheme="minorHAnsi" w:hAnsiTheme="minorHAnsi" w:cstheme="minorBidi"/>
          <w:sz w:val="22"/>
          <w:szCs w:val="22"/>
        </w:rPr>
        <w:t>, -</w:t>
      </w:r>
      <w:r w:rsidR="0022493D">
        <w:rPr>
          <w:rStyle w:val="abstract-sub-heading"/>
          <w:rFonts w:asciiTheme="minorHAnsi" w:hAnsiTheme="minorHAnsi" w:cstheme="minorBidi"/>
          <w:sz w:val="22"/>
          <w:szCs w:val="22"/>
        </w:rPr>
        <w:t>53.3). Later restrictions revealed an increase in consultations in primary care for anxiety, with an increase of 41.8% (95% CI 38.7</w:t>
      </w:r>
      <w:r w:rsidR="005A0612">
        <w:rPr>
          <w:rStyle w:val="abstract-sub-heading"/>
          <w:rFonts w:asciiTheme="minorHAnsi" w:hAnsiTheme="minorHAnsi" w:cstheme="minorBidi"/>
          <w:sz w:val="22"/>
          <w:szCs w:val="22"/>
        </w:rPr>
        <w:t>,</w:t>
      </w:r>
      <w:r w:rsidR="0022493D">
        <w:rPr>
          <w:rStyle w:val="abstract-sub-heading"/>
          <w:rFonts w:asciiTheme="minorHAnsi" w:hAnsiTheme="minorHAnsi" w:cstheme="minorBidi"/>
          <w:sz w:val="22"/>
          <w:szCs w:val="22"/>
        </w:rPr>
        <w:t xml:space="preserve"> 44.7) in out of hours. By the final period of restrictions, most MH indicators had either returned to expected levels or were significantly above expected presentations. </w:t>
      </w:r>
      <w:r w:rsidR="0022493D" w:rsidRPr="0022493D">
        <w:rPr>
          <w:rFonts w:asciiTheme="minorHAnsi" w:hAnsiTheme="minorHAnsi" w:cstheme="minorBidi"/>
          <w:sz w:val="22"/>
          <w:szCs w:val="22"/>
        </w:rPr>
        <w:t xml:space="preserve">Young people (15-24) exhibited </w:t>
      </w:r>
      <w:r w:rsidR="0022493D">
        <w:rPr>
          <w:rFonts w:asciiTheme="minorHAnsi" w:hAnsiTheme="minorHAnsi" w:cstheme="minorBidi"/>
          <w:sz w:val="22"/>
          <w:szCs w:val="22"/>
        </w:rPr>
        <w:t xml:space="preserve">MH utilisation differences </w:t>
      </w:r>
      <w:r w:rsidR="0022493D" w:rsidRPr="0022493D">
        <w:rPr>
          <w:rFonts w:asciiTheme="minorHAnsi" w:hAnsiTheme="minorHAnsi" w:cstheme="minorBidi"/>
          <w:sz w:val="22"/>
          <w:szCs w:val="22"/>
        </w:rPr>
        <w:t>—sharply reduced anxiety</w:t>
      </w:r>
      <w:r w:rsidR="00577C4D">
        <w:rPr>
          <w:rFonts w:asciiTheme="minorHAnsi" w:hAnsiTheme="minorHAnsi" w:cstheme="minorBidi"/>
          <w:sz w:val="22"/>
          <w:szCs w:val="22"/>
        </w:rPr>
        <w:t xml:space="preserve"> and</w:t>
      </w:r>
      <w:r w:rsidR="0022493D" w:rsidRPr="0022493D">
        <w:rPr>
          <w:rFonts w:asciiTheme="minorHAnsi" w:hAnsiTheme="minorHAnsi" w:cstheme="minorBidi"/>
          <w:sz w:val="22"/>
          <w:szCs w:val="22"/>
        </w:rPr>
        <w:t xml:space="preserve"> MH during initial </w:t>
      </w:r>
      <w:r w:rsidR="00833D2A">
        <w:rPr>
          <w:rFonts w:asciiTheme="minorHAnsi" w:hAnsiTheme="minorHAnsi" w:cstheme="minorBidi"/>
          <w:sz w:val="22"/>
          <w:szCs w:val="22"/>
        </w:rPr>
        <w:t>restrictions</w:t>
      </w:r>
      <w:r w:rsidR="0022493D" w:rsidRPr="0022493D">
        <w:rPr>
          <w:rFonts w:asciiTheme="minorHAnsi" w:hAnsiTheme="minorHAnsi" w:cstheme="minorBidi"/>
          <w:sz w:val="22"/>
          <w:szCs w:val="22"/>
        </w:rPr>
        <w:t xml:space="preserve"> but </w:t>
      </w:r>
      <w:r w:rsidR="009C6D94">
        <w:rPr>
          <w:rFonts w:asciiTheme="minorHAnsi" w:hAnsiTheme="minorHAnsi" w:cstheme="minorBidi"/>
          <w:sz w:val="22"/>
          <w:szCs w:val="22"/>
        </w:rPr>
        <w:t>increasing</w:t>
      </w:r>
      <w:r w:rsidR="0022493D" w:rsidRPr="0022493D">
        <w:rPr>
          <w:rFonts w:asciiTheme="minorHAnsi" w:hAnsiTheme="minorHAnsi" w:cstheme="minorBidi"/>
          <w:sz w:val="22"/>
          <w:szCs w:val="22"/>
        </w:rPr>
        <w:t xml:space="preserve"> anxiety </w:t>
      </w:r>
      <w:r w:rsidR="00833D2A">
        <w:rPr>
          <w:rFonts w:asciiTheme="minorHAnsi" w:hAnsiTheme="minorHAnsi" w:cstheme="minorBidi"/>
          <w:sz w:val="22"/>
          <w:szCs w:val="22"/>
        </w:rPr>
        <w:t xml:space="preserve">in later restrictions within primary care. </w:t>
      </w:r>
    </w:p>
    <w:p w14:paraId="5EB27AD9" w14:textId="77777777" w:rsidR="00B61917" w:rsidRDefault="00B61917" w:rsidP="69164DB3">
      <w:pPr>
        <w:pStyle w:val="NormalWeb"/>
        <w:shd w:val="clear" w:color="auto" w:fill="FFFFFF" w:themeFill="background1"/>
        <w:spacing w:before="0" w:beforeAutospacing="0" w:after="0" w:afterAutospacing="0"/>
        <w:rPr>
          <w:rStyle w:val="abstract-sub-heading"/>
          <w:rFonts w:asciiTheme="minorHAnsi" w:hAnsiTheme="minorHAnsi" w:cstheme="minorBidi"/>
          <w:b/>
          <w:bCs/>
          <w:sz w:val="22"/>
          <w:szCs w:val="22"/>
        </w:rPr>
      </w:pPr>
    </w:p>
    <w:p w14:paraId="64FC2C53" w14:textId="68999273" w:rsidR="00480D81" w:rsidRDefault="00C05743" w:rsidP="3F94A7BC">
      <w:pPr>
        <w:pStyle w:val="NormalWeb"/>
        <w:shd w:val="clear" w:color="auto" w:fill="FFFFFF" w:themeFill="background1"/>
        <w:spacing w:before="0" w:beforeAutospacing="0" w:after="0" w:afterAutospacing="0"/>
        <w:rPr>
          <w:rFonts w:asciiTheme="minorHAnsi" w:hAnsiTheme="minorHAnsi" w:cstheme="minorBidi"/>
          <w:sz w:val="22"/>
          <w:szCs w:val="22"/>
        </w:rPr>
      </w:pPr>
      <w:r w:rsidRPr="3F94A7BC">
        <w:rPr>
          <w:rStyle w:val="abstract-sub-heading"/>
          <w:rFonts w:asciiTheme="minorHAnsi" w:hAnsiTheme="minorHAnsi" w:cstheme="minorBidi"/>
          <w:b/>
          <w:bCs/>
          <w:sz w:val="22"/>
          <w:szCs w:val="22"/>
        </w:rPr>
        <w:t>Conclusions:</w:t>
      </w:r>
      <w:r w:rsidR="00F54D17" w:rsidRPr="3F94A7BC">
        <w:rPr>
          <w:rFonts w:asciiTheme="minorHAnsi" w:hAnsiTheme="minorHAnsi" w:cstheme="minorBidi"/>
          <w:sz w:val="22"/>
          <w:szCs w:val="22"/>
        </w:rPr>
        <w:t xml:space="preserve"> </w:t>
      </w:r>
      <w:r w:rsidR="00793CBD" w:rsidRPr="3F94A7BC">
        <w:rPr>
          <w:rFonts w:asciiTheme="minorHAnsi" w:hAnsiTheme="minorHAnsi" w:cstheme="minorBidi"/>
          <w:sz w:val="22"/>
          <w:szCs w:val="22"/>
        </w:rPr>
        <w:t xml:space="preserve"> </w:t>
      </w:r>
      <w:r w:rsidR="005D2823" w:rsidRPr="3F94A7BC">
        <w:rPr>
          <w:rFonts w:asciiTheme="minorHAnsi" w:hAnsiTheme="minorHAnsi" w:cstheme="minorBidi"/>
          <w:sz w:val="22"/>
          <w:szCs w:val="22"/>
        </w:rPr>
        <w:t>COVID-19</w:t>
      </w:r>
      <w:r w:rsidR="0050253C">
        <w:rPr>
          <w:rFonts w:asciiTheme="minorHAnsi" w:hAnsiTheme="minorHAnsi" w:cstheme="minorBidi"/>
          <w:sz w:val="22"/>
          <w:szCs w:val="22"/>
        </w:rPr>
        <w:t xml:space="preserve"> restrictions</w:t>
      </w:r>
      <w:r w:rsidR="005D2823" w:rsidRPr="3F94A7BC">
        <w:rPr>
          <w:rFonts w:asciiTheme="minorHAnsi" w:hAnsiTheme="minorHAnsi" w:cstheme="minorBidi"/>
          <w:sz w:val="22"/>
          <w:szCs w:val="22"/>
        </w:rPr>
        <w:t xml:space="preserve"> </w:t>
      </w:r>
      <w:r w:rsidR="0050253C">
        <w:rPr>
          <w:rFonts w:asciiTheme="minorHAnsi" w:hAnsiTheme="minorHAnsi" w:cstheme="minorBidi"/>
          <w:sz w:val="22"/>
          <w:szCs w:val="22"/>
        </w:rPr>
        <w:t>were</w:t>
      </w:r>
      <w:r w:rsidR="005D2823" w:rsidRPr="3F94A7BC">
        <w:rPr>
          <w:rFonts w:asciiTheme="minorHAnsi" w:hAnsiTheme="minorHAnsi" w:cstheme="minorBidi"/>
          <w:sz w:val="22"/>
          <w:szCs w:val="22"/>
        </w:rPr>
        <w:t xml:space="preserve"> associated with </w:t>
      </w:r>
      <w:r w:rsidR="00AA16D2">
        <w:rPr>
          <w:rFonts w:asciiTheme="minorHAnsi" w:hAnsiTheme="minorHAnsi" w:cstheme="minorBidi"/>
          <w:sz w:val="22"/>
          <w:szCs w:val="22"/>
        </w:rPr>
        <w:t xml:space="preserve">overall </w:t>
      </w:r>
      <w:r w:rsidR="005D2823" w:rsidRPr="3F94A7BC">
        <w:rPr>
          <w:rFonts w:asciiTheme="minorHAnsi" w:hAnsiTheme="minorHAnsi" w:cstheme="minorBidi"/>
          <w:sz w:val="22"/>
          <w:szCs w:val="22"/>
        </w:rPr>
        <w:t xml:space="preserve">decreases in </w:t>
      </w:r>
      <w:r w:rsidR="00CC6389">
        <w:rPr>
          <w:rFonts w:asciiTheme="minorHAnsi" w:hAnsiTheme="minorHAnsi" w:cstheme="minorBidi"/>
          <w:sz w:val="22"/>
          <w:szCs w:val="22"/>
        </w:rPr>
        <w:t xml:space="preserve">the </w:t>
      </w:r>
      <w:r w:rsidR="006D70ED">
        <w:rPr>
          <w:rFonts w:asciiTheme="minorHAnsi" w:hAnsiTheme="minorHAnsi" w:cstheme="minorBidi"/>
          <w:sz w:val="22"/>
          <w:szCs w:val="22"/>
        </w:rPr>
        <w:t>utilisation</w:t>
      </w:r>
      <w:r w:rsidR="005D2823" w:rsidRPr="3F94A7BC">
        <w:rPr>
          <w:rFonts w:asciiTheme="minorHAnsi" w:hAnsiTheme="minorHAnsi" w:cstheme="minorBidi"/>
          <w:sz w:val="22"/>
          <w:szCs w:val="22"/>
        </w:rPr>
        <w:t xml:space="preserve"> </w:t>
      </w:r>
      <w:r w:rsidR="00CC6389">
        <w:rPr>
          <w:rFonts w:asciiTheme="minorHAnsi" w:hAnsiTheme="minorHAnsi" w:cstheme="minorBidi"/>
          <w:sz w:val="22"/>
          <w:szCs w:val="22"/>
        </w:rPr>
        <w:t>of</w:t>
      </w:r>
      <w:r w:rsidR="00386D2B">
        <w:rPr>
          <w:rFonts w:asciiTheme="minorHAnsi" w:hAnsiTheme="minorHAnsi" w:cstheme="minorBidi"/>
          <w:sz w:val="22"/>
          <w:szCs w:val="22"/>
        </w:rPr>
        <w:t xml:space="preserve"> MH </w:t>
      </w:r>
      <w:r w:rsidR="00E638F0">
        <w:rPr>
          <w:rFonts w:asciiTheme="minorHAnsi" w:hAnsiTheme="minorHAnsi" w:cstheme="minorBidi"/>
          <w:sz w:val="22"/>
          <w:szCs w:val="22"/>
        </w:rPr>
        <w:t>services but increases from in person to remote services were observed</w:t>
      </w:r>
      <w:r w:rsidR="002C3667">
        <w:rPr>
          <w:rFonts w:asciiTheme="minorHAnsi" w:hAnsiTheme="minorHAnsi" w:cstheme="minorBidi"/>
          <w:sz w:val="22"/>
          <w:szCs w:val="22"/>
        </w:rPr>
        <w:t xml:space="preserve">. </w:t>
      </w:r>
      <w:r w:rsidR="00BE247D">
        <w:rPr>
          <w:rFonts w:asciiTheme="minorHAnsi" w:hAnsiTheme="minorHAnsi" w:cstheme="minorBidi"/>
          <w:sz w:val="22"/>
          <w:szCs w:val="22"/>
        </w:rPr>
        <w:t xml:space="preserve">For future pandemic </w:t>
      </w:r>
      <w:r w:rsidR="0046294E">
        <w:rPr>
          <w:rFonts w:asciiTheme="minorHAnsi" w:hAnsiTheme="minorHAnsi" w:cstheme="minorBidi"/>
          <w:sz w:val="22"/>
          <w:szCs w:val="22"/>
        </w:rPr>
        <w:t>preparedness</w:t>
      </w:r>
      <w:r w:rsidR="00D6248A">
        <w:rPr>
          <w:rFonts w:asciiTheme="minorHAnsi" w:hAnsiTheme="minorHAnsi" w:cstheme="minorBidi"/>
          <w:sz w:val="22"/>
          <w:szCs w:val="22"/>
        </w:rPr>
        <w:t>,</w:t>
      </w:r>
      <w:r w:rsidR="000C3415">
        <w:rPr>
          <w:rFonts w:asciiTheme="minorHAnsi" w:hAnsiTheme="minorHAnsi" w:cstheme="minorBidi"/>
          <w:sz w:val="22"/>
          <w:szCs w:val="22"/>
        </w:rPr>
        <w:t xml:space="preserve"> remotely accessible </w:t>
      </w:r>
      <w:r w:rsidR="0005089A">
        <w:rPr>
          <w:rFonts w:asciiTheme="minorHAnsi" w:hAnsiTheme="minorHAnsi" w:cstheme="minorBidi"/>
          <w:sz w:val="22"/>
          <w:szCs w:val="22"/>
        </w:rPr>
        <w:t>MH services</w:t>
      </w:r>
      <w:r w:rsidR="00580C55">
        <w:rPr>
          <w:rFonts w:asciiTheme="minorHAnsi" w:hAnsiTheme="minorHAnsi" w:cstheme="minorBidi"/>
          <w:sz w:val="22"/>
          <w:szCs w:val="22"/>
        </w:rPr>
        <w:t xml:space="preserve"> are importan</w:t>
      </w:r>
      <w:r w:rsidR="00AA16D2">
        <w:rPr>
          <w:rFonts w:asciiTheme="minorHAnsi" w:hAnsiTheme="minorHAnsi" w:cstheme="minorBidi"/>
          <w:sz w:val="22"/>
          <w:szCs w:val="22"/>
        </w:rPr>
        <w:t>t when in-person services are reduced</w:t>
      </w:r>
      <w:r w:rsidR="0046294E">
        <w:rPr>
          <w:rFonts w:asciiTheme="minorHAnsi" w:hAnsiTheme="minorHAnsi" w:cstheme="minorBidi"/>
          <w:sz w:val="22"/>
          <w:szCs w:val="22"/>
        </w:rPr>
        <w:t xml:space="preserve"> and </w:t>
      </w:r>
      <w:r w:rsidR="00E638F0">
        <w:rPr>
          <w:rFonts w:asciiTheme="minorHAnsi" w:hAnsiTheme="minorHAnsi" w:cstheme="minorBidi"/>
          <w:sz w:val="22"/>
          <w:szCs w:val="22"/>
        </w:rPr>
        <w:t>the surveillance sources used in this study</w:t>
      </w:r>
      <w:r w:rsidR="0046294E">
        <w:rPr>
          <w:rFonts w:asciiTheme="minorHAnsi" w:hAnsiTheme="minorHAnsi" w:cstheme="minorBidi"/>
          <w:sz w:val="22"/>
          <w:szCs w:val="22"/>
        </w:rPr>
        <w:t xml:space="preserve"> offers the possibility of real-time decision making</w:t>
      </w:r>
      <w:r w:rsidR="0005089A">
        <w:rPr>
          <w:rFonts w:asciiTheme="minorHAnsi" w:hAnsiTheme="minorHAnsi" w:cstheme="minorBidi"/>
          <w:sz w:val="22"/>
          <w:szCs w:val="22"/>
        </w:rPr>
        <w:t>.</w:t>
      </w:r>
      <w:r w:rsidR="00196805">
        <w:rPr>
          <w:rFonts w:asciiTheme="minorHAnsi" w:hAnsiTheme="minorHAnsi" w:cstheme="minorBidi"/>
          <w:sz w:val="22"/>
          <w:szCs w:val="22"/>
        </w:rPr>
        <w:t xml:space="preserve"> </w:t>
      </w:r>
    </w:p>
    <w:p w14:paraId="398557BD" w14:textId="77777777" w:rsidR="00BB21EF" w:rsidRDefault="00BB21EF" w:rsidP="3F94A7BC">
      <w:pPr>
        <w:pStyle w:val="NormalWeb"/>
        <w:shd w:val="clear" w:color="auto" w:fill="FFFFFF" w:themeFill="background1"/>
        <w:spacing w:before="0" w:beforeAutospacing="0" w:after="0" w:afterAutospacing="0"/>
        <w:rPr>
          <w:rFonts w:asciiTheme="minorHAnsi" w:hAnsiTheme="minorHAnsi" w:cstheme="minorBidi"/>
          <w:sz w:val="22"/>
          <w:szCs w:val="22"/>
        </w:rPr>
      </w:pPr>
    </w:p>
    <w:p w14:paraId="17A38108" w14:textId="4EE3B456" w:rsidR="00BB21EF" w:rsidRPr="00BB21EF" w:rsidRDefault="00BB21EF" w:rsidP="3F94A7BC">
      <w:pPr>
        <w:pStyle w:val="NormalWeb"/>
        <w:shd w:val="clear" w:color="auto" w:fill="FFFFFF" w:themeFill="background1"/>
        <w:spacing w:before="0" w:beforeAutospacing="0" w:after="0" w:afterAutospacing="0"/>
        <w:rPr>
          <w:rFonts w:asciiTheme="minorHAnsi" w:hAnsiTheme="minorHAnsi" w:cstheme="minorBidi"/>
          <w:sz w:val="22"/>
          <w:szCs w:val="22"/>
        </w:rPr>
      </w:pPr>
      <w:r w:rsidRPr="00BB21EF">
        <w:rPr>
          <w:rFonts w:asciiTheme="minorHAnsi" w:hAnsiTheme="minorHAnsi" w:cstheme="minorBidi"/>
          <w:b/>
          <w:bCs/>
          <w:sz w:val="22"/>
          <w:szCs w:val="22"/>
        </w:rPr>
        <w:t>Trial Registration</w:t>
      </w:r>
      <w:r>
        <w:rPr>
          <w:rFonts w:asciiTheme="minorHAnsi" w:hAnsiTheme="minorHAnsi" w:cstheme="minorBidi"/>
          <w:b/>
          <w:bCs/>
          <w:sz w:val="22"/>
          <w:szCs w:val="22"/>
        </w:rPr>
        <w:t xml:space="preserve">: </w:t>
      </w:r>
      <w:r>
        <w:rPr>
          <w:rFonts w:asciiTheme="minorHAnsi" w:hAnsiTheme="minorHAnsi" w:cstheme="minorBidi"/>
          <w:sz w:val="22"/>
          <w:szCs w:val="22"/>
        </w:rPr>
        <w:t xml:space="preserve">The data used in this study are based on patients accessing healthcare services in England and are therefore retrospectively registered. </w:t>
      </w:r>
    </w:p>
    <w:p w14:paraId="2E552490" w14:textId="77777777" w:rsidR="00846C9B" w:rsidRDefault="00846C9B" w:rsidP="3F94A7BC">
      <w:pPr>
        <w:pStyle w:val="NormalWeb"/>
        <w:shd w:val="clear" w:color="auto" w:fill="FFFFFF" w:themeFill="background1"/>
        <w:spacing w:before="0" w:beforeAutospacing="0" w:after="0" w:afterAutospacing="0"/>
        <w:rPr>
          <w:rFonts w:asciiTheme="minorHAnsi" w:hAnsiTheme="minorHAnsi" w:cstheme="minorBidi"/>
          <w:sz w:val="22"/>
          <w:szCs w:val="22"/>
        </w:rPr>
      </w:pPr>
    </w:p>
    <w:bookmarkEnd w:id="1"/>
    <w:p w14:paraId="4431736D" w14:textId="77777777" w:rsidR="005D2823" w:rsidRDefault="005D2823" w:rsidP="00EC0D19">
      <w:pPr>
        <w:pStyle w:val="NormalWeb"/>
        <w:shd w:val="clear" w:color="auto" w:fill="FFFFFF"/>
        <w:spacing w:before="0" w:beforeAutospacing="0" w:after="0" w:afterAutospacing="0"/>
        <w:rPr>
          <w:rFonts w:asciiTheme="minorHAnsi" w:hAnsiTheme="minorHAnsi" w:cstheme="minorHAnsi"/>
          <w:sz w:val="21"/>
          <w:szCs w:val="21"/>
        </w:rPr>
      </w:pPr>
    </w:p>
    <w:p w14:paraId="4B112E03" w14:textId="77777777" w:rsidR="002C46AE" w:rsidRDefault="002C46AE" w:rsidP="00EC0D19">
      <w:pPr>
        <w:spacing w:after="0" w:line="240" w:lineRule="auto"/>
        <w:rPr>
          <w:rFonts w:cstheme="minorHAnsi"/>
          <w:color w:val="FF0000"/>
        </w:rPr>
      </w:pPr>
    </w:p>
    <w:p w14:paraId="664AF9F1" w14:textId="3945C359" w:rsidR="007C1942" w:rsidRPr="007C1942" w:rsidRDefault="007C1942" w:rsidP="00EC0D19">
      <w:pPr>
        <w:spacing w:after="0" w:line="240" w:lineRule="auto"/>
        <w:rPr>
          <w:rFonts w:cstheme="minorHAnsi"/>
          <w:b/>
          <w:bCs/>
        </w:rPr>
      </w:pPr>
      <w:r w:rsidRPr="007C1942">
        <w:rPr>
          <w:rFonts w:cstheme="minorHAnsi"/>
          <w:b/>
          <w:bCs/>
        </w:rPr>
        <w:t>Keywords:</w:t>
      </w:r>
    </w:p>
    <w:p w14:paraId="4DEF6396" w14:textId="22764521" w:rsidR="007C1942" w:rsidRPr="007C1942" w:rsidRDefault="00BE247D" w:rsidP="00EC0D19">
      <w:pPr>
        <w:spacing w:after="0" w:line="240" w:lineRule="auto"/>
        <w:rPr>
          <w:rFonts w:cstheme="minorHAnsi"/>
        </w:rPr>
      </w:pPr>
      <w:r>
        <w:rPr>
          <w:rFonts w:cstheme="minorHAnsi"/>
        </w:rPr>
        <w:t xml:space="preserve">Pandemic preparedness; </w:t>
      </w:r>
      <w:r w:rsidR="006D70ED">
        <w:rPr>
          <w:rFonts w:cstheme="minorHAnsi"/>
        </w:rPr>
        <w:t>d</w:t>
      </w:r>
      <w:r w:rsidR="007C1942" w:rsidRPr="007C1942">
        <w:rPr>
          <w:rFonts w:cstheme="minorHAnsi"/>
        </w:rPr>
        <w:t xml:space="preserve">epression; </w:t>
      </w:r>
      <w:r w:rsidR="004B3674">
        <w:rPr>
          <w:rFonts w:cstheme="minorHAnsi"/>
        </w:rPr>
        <w:t>a</w:t>
      </w:r>
      <w:r w:rsidR="007C1942" w:rsidRPr="007C1942">
        <w:rPr>
          <w:rFonts w:cstheme="minorHAnsi"/>
        </w:rPr>
        <w:t xml:space="preserve">nxiety; </w:t>
      </w:r>
      <w:r w:rsidR="007B1BF0">
        <w:rPr>
          <w:rFonts w:cstheme="minorHAnsi"/>
        </w:rPr>
        <w:t xml:space="preserve">mental health; </w:t>
      </w:r>
      <w:r w:rsidR="00430E8F">
        <w:rPr>
          <w:rFonts w:cstheme="minorHAnsi"/>
        </w:rPr>
        <w:t>COVID-19</w:t>
      </w:r>
      <w:r w:rsidR="007C1942" w:rsidRPr="007C1942">
        <w:rPr>
          <w:rFonts w:cstheme="minorHAnsi"/>
        </w:rPr>
        <w:t>;</w:t>
      </w:r>
      <w:r w:rsidR="00321725">
        <w:rPr>
          <w:rFonts w:cstheme="minorHAnsi"/>
        </w:rPr>
        <w:t xml:space="preserve"> primary care</w:t>
      </w:r>
      <w:r w:rsidR="00430E8F">
        <w:rPr>
          <w:rFonts w:cstheme="minorHAnsi"/>
        </w:rPr>
        <w:t>; utilisation</w:t>
      </w:r>
      <w:r w:rsidR="006D70ED">
        <w:rPr>
          <w:rFonts w:cstheme="minorHAnsi"/>
        </w:rPr>
        <w:t xml:space="preserve">; </w:t>
      </w:r>
      <w:r w:rsidR="005A5448">
        <w:rPr>
          <w:rFonts w:cstheme="minorHAnsi"/>
        </w:rPr>
        <w:t>psychiatric epidemiology</w:t>
      </w:r>
      <w:r w:rsidR="006D70ED">
        <w:rPr>
          <w:rFonts w:cstheme="minorHAnsi"/>
        </w:rPr>
        <w:t>; syndromic surveillance</w:t>
      </w:r>
      <w:r w:rsidR="005404DF">
        <w:rPr>
          <w:rFonts w:cstheme="minorHAnsi"/>
        </w:rPr>
        <w:t>; ITSA</w:t>
      </w:r>
    </w:p>
    <w:bookmarkEnd w:id="2"/>
    <w:p w14:paraId="5BEDDD0B" w14:textId="77777777" w:rsidR="002C46AE" w:rsidRDefault="002C46AE" w:rsidP="00EC0D19">
      <w:pPr>
        <w:spacing w:after="0" w:line="240" w:lineRule="auto"/>
        <w:rPr>
          <w:rFonts w:cstheme="minorHAnsi"/>
          <w:color w:val="FF0000"/>
        </w:rPr>
      </w:pPr>
    </w:p>
    <w:p w14:paraId="4C666BB2" w14:textId="218ACD9F" w:rsidR="00B72FA2" w:rsidRDefault="00B72FA2" w:rsidP="00EC0D19">
      <w:pPr>
        <w:spacing w:after="0" w:line="240" w:lineRule="auto"/>
        <w:rPr>
          <w:rFonts w:cstheme="minorHAnsi"/>
          <w:color w:val="FF0000"/>
        </w:rPr>
      </w:pPr>
      <w:r>
        <w:rPr>
          <w:rFonts w:cstheme="minorHAnsi"/>
          <w:color w:val="FF0000"/>
        </w:rPr>
        <w:br w:type="page"/>
      </w:r>
    </w:p>
    <w:p w14:paraId="6C3A3349" w14:textId="77777777" w:rsidR="007C1942" w:rsidRPr="004423DB" w:rsidRDefault="007C1942" w:rsidP="00EC0D19">
      <w:pPr>
        <w:pStyle w:val="Heading2"/>
        <w:spacing w:before="0" w:line="240" w:lineRule="auto"/>
        <w:rPr>
          <w:b/>
          <w:bCs/>
          <w:color w:val="auto"/>
        </w:rPr>
      </w:pPr>
      <w:r w:rsidRPr="004423DB">
        <w:rPr>
          <w:b/>
          <w:bCs/>
          <w:color w:val="auto"/>
        </w:rPr>
        <w:lastRenderedPageBreak/>
        <w:t>Introduction</w:t>
      </w:r>
    </w:p>
    <w:p w14:paraId="5023106E" w14:textId="77777777" w:rsidR="007C1942" w:rsidRDefault="007C1942" w:rsidP="00EC0D19">
      <w:pPr>
        <w:spacing w:after="0" w:line="240" w:lineRule="auto"/>
        <w:rPr>
          <w:rFonts w:cstheme="minorHAnsi"/>
          <w:color w:val="FF0000"/>
        </w:rPr>
      </w:pPr>
    </w:p>
    <w:p w14:paraId="00ED174F" w14:textId="231358DF" w:rsid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 xml:space="preserve">Mental health (MH) disorders are a leading cause of global disease¹⁻³. During the </w:t>
      </w:r>
      <w:r w:rsidR="003A5347" w:rsidRPr="003A5347">
        <w:rPr>
          <w:rFonts w:asciiTheme="minorHAnsi" w:eastAsiaTheme="minorHAnsi" w:hAnsiTheme="minorHAnsi" w:cstheme="minorBidi"/>
          <w:kern w:val="2"/>
          <w:sz w:val="22"/>
          <w:szCs w:val="22"/>
          <w:lang w:eastAsia="en-US"/>
        </w:rPr>
        <w:t xml:space="preserve">Coronavirus Disease 2019 (COVID-19) </w:t>
      </w:r>
      <w:r w:rsidRPr="00D70228">
        <w:rPr>
          <w:rFonts w:asciiTheme="minorHAnsi" w:eastAsiaTheme="minorHAnsi" w:hAnsiTheme="minorHAnsi" w:cstheme="minorBidi"/>
          <w:kern w:val="2"/>
          <w:sz w:val="22"/>
          <w:szCs w:val="22"/>
          <w:lang w:eastAsia="en-US"/>
        </w:rPr>
        <w:t xml:space="preserve">pandemic, the World Health Organization (WHO) reported a 25% increase in anxiety and depression⁴ </w:t>
      </w:r>
      <w:r w:rsidR="003A5347">
        <w:rPr>
          <w:rFonts w:asciiTheme="minorHAnsi" w:eastAsiaTheme="minorHAnsi" w:hAnsiTheme="minorHAnsi" w:cstheme="minorBidi"/>
          <w:kern w:val="2"/>
          <w:sz w:val="22"/>
          <w:szCs w:val="22"/>
          <w:lang w:eastAsia="en-US"/>
        </w:rPr>
        <w:t xml:space="preserve">- </w:t>
      </w:r>
      <w:r w:rsidRPr="00D70228">
        <w:rPr>
          <w:rFonts w:asciiTheme="minorHAnsi" w:eastAsiaTheme="minorHAnsi" w:hAnsiTheme="minorHAnsi" w:cstheme="minorBidi"/>
          <w:kern w:val="2"/>
          <w:sz w:val="22"/>
          <w:szCs w:val="22"/>
          <w:lang w:eastAsia="en-US"/>
        </w:rPr>
        <w:t>reinforced by multiple studies predicting that COVID-19 might lead to increases in prevalence or severity of mental illness⁵⁻⁷.</w:t>
      </w:r>
      <w:r w:rsidR="005B4F1C">
        <w:rPr>
          <w:rFonts w:asciiTheme="minorHAnsi" w:eastAsiaTheme="minorHAnsi" w:hAnsiTheme="minorHAnsi" w:cstheme="minorBidi"/>
          <w:kern w:val="2"/>
          <w:sz w:val="22"/>
          <w:szCs w:val="22"/>
          <w:lang w:eastAsia="en-US"/>
        </w:rPr>
        <w:t xml:space="preserve"> </w:t>
      </w:r>
      <w:r w:rsidRPr="00D70228">
        <w:rPr>
          <w:rFonts w:asciiTheme="minorHAnsi" w:eastAsiaTheme="minorHAnsi" w:hAnsiTheme="minorHAnsi" w:cstheme="minorBidi"/>
          <w:kern w:val="2"/>
          <w:sz w:val="22"/>
          <w:szCs w:val="22"/>
          <w:lang w:eastAsia="en-US"/>
        </w:rPr>
        <w:t>However, most literature on MH morbidity published during COVID-19 was based on self-reported surveys, which are prone to subjective bias and only investigated outcomes at a single time point. Given the dynamic nature of COVID-19, it is crucial to understand how the pandemic affected MH services using less subjective data</w:t>
      </w:r>
      <w:r w:rsidR="006A4395">
        <w:rPr>
          <w:rFonts w:asciiTheme="minorHAnsi" w:eastAsiaTheme="minorHAnsi" w:hAnsiTheme="minorHAnsi" w:cstheme="minorBidi"/>
          <w:kern w:val="2"/>
          <w:sz w:val="22"/>
          <w:szCs w:val="22"/>
          <w:lang w:eastAsia="en-US"/>
        </w:rPr>
        <w:t>, that is collected consistently over a long period</w:t>
      </w:r>
      <w:r w:rsidRPr="00D70228">
        <w:rPr>
          <w:rFonts w:asciiTheme="minorHAnsi" w:eastAsiaTheme="minorHAnsi" w:hAnsiTheme="minorHAnsi" w:cstheme="minorBidi"/>
          <w:kern w:val="2"/>
          <w:sz w:val="22"/>
          <w:szCs w:val="22"/>
          <w:lang w:eastAsia="en-US"/>
        </w:rPr>
        <w:t>.</w:t>
      </w:r>
    </w:p>
    <w:p w14:paraId="299AE8BB" w14:textId="0A9DB66B"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Expectations that COVID-19 would be detrimental to MH were common and reasonable</w:t>
      </w:r>
      <w:r w:rsidR="00617B7D" w:rsidRPr="00617B7D">
        <w:rPr>
          <w:rFonts w:asciiTheme="minorHAnsi" w:eastAsiaTheme="minorHAnsi" w:hAnsiTheme="minorHAnsi" w:cstheme="minorBidi"/>
          <w:kern w:val="2"/>
          <w:sz w:val="22"/>
          <w:szCs w:val="22"/>
          <w:vertAlign w:val="superscript"/>
          <w:lang w:eastAsia="en-US"/>
        </w:rPr>
        <w:t>5-7</w:t>
      </w:r>
      <w:r w:rsidRPr="00D70228">
        <w:rPr>
          <w:rFonts w:asciiTheme="minorHAnsi" w:eastAsiaTheme="minorHAnsi" w:hAnsiTheme="minorHAnsi" w:cstheme="minorBidi"/>
          <w:kern w:val="2"/>
          <w:sz w:val="22"/>
          <w:szCs w:val="22"/>
          <w:lang w:eastAsia="en-US"/>
        </w:rPr>
        <w:t>. Non-pharmaceutical interventions such as lockdown measures and social distancing disrupted everyday life, potentially negatively affecting MH</w:t>
      </w:r>
      <w:r w:rsidR="00617B7D" w:rsidRPr="00617B7D">
        <w:rPr>
          <w:rFonts w:asciiTheme="minorHAnsi" w:eastAsiaTheme="minorHAnsi" w:hAnsiTheme="minorHAnsi" w:cstheme="minorBidi"/>
          <w:kern w:val="2"/>
          <w:sz w:val="22"/>
          <w:szCs w:val="22"/>
          <w:vertAlign w:val="superscript"/>
          <w:lang w:eastAsia="en-US"/>
        </w:rPr>
        <w:t>8</w:t>
      </w:r>
      <w:r w:rsidRPr="00D70228">
        <w:rPr>
          <w:rFonts w:asciiTheme="minorHAnsi" w:eastAsiaTheme="minorHAnsi" w:hAnsiTheme="minorHAnsi" w:cstheme="minorBidi"/>
          <w:kern w:val="2"/>
          <w:sz w:val="22"/>
          <w:szCs w:val="22"/>
          <w:lang w:eastAsia="en-US"/>
        </w:rPr>
        <w:t>. Social isolation and physical quarantine were linked to damaging psychological impacts</w:t>
      </w:r>
      <w:r w:rsidR="00617B7D" w:rsidRPr="00617B7D">
        <w:rPr>
          <w:rFonts w:asciiTheme="minorHAnsi" w:eastAsiaTheme="minorHAnsi" w:hAnsiTheme="minorHAnsi" w:cstheme="minorBidi"/>
          <w:kern w:val="2"/>
          <w:sz w:val="22"/>
          <w:szCs w:val="22"/>
          <w:vertAlign w:val="superscript"/>
          <w:lang w:eastAsia="en-US"/>
        </w:rPr>
        <w:t>9</w:t>
      </w:r>
      <w:r w:rsidRPr="00D70228">
        <w:rPr>
          <w:rFonts w:asciiTheme="minorHAnsi" w:eastAsiaTheme="minorHAnsi" w:hAnsiTheme="minorHAnsi" w:cstheme="minorBidi"/>
          <w:kern w:val="2"/>
          <w:sz w:val="22"/>
          <w:szCs w:val="22"/>
          <w:lang w:eastAsia="en-US"/>
        </w:rPr>
        <w:t>. For many there was uncertainty about how much COVID-19 mortality or morbidity would personally affect them, while daily news reports kept people aware of the disturbing facts of rising COVID-19 cases, deaths and indicators of economic recession</w:t>
      </w:r>
      <w:r w:rsidR="00C369CB">
        <w:rPr>
          <w:rFonts w:asciiTheme="minorHAnsi" w:eastAsiaTheme="minorHAnsi" w:hAnsiTheme="minorHAnsi" w:cstheme="minorBidi"/>
          <w:kern w:val="2"/>
          <w:sz w:val="22"/>
          <w:szCs w:val="22"/>
          <w:vertAlign w:val="superscript"/>
          <w:lang w:eastAsia="en-US"/>
        </w:rPr>
        <w:t>10-13</w:t>
      </w:r>
      <w:r w:rsidRPr="00D70228">
        <w:rPr>
          <w:rFonts w:asciiTheme="minorHAnsi" w:eastAsiaTheme="minorHAnsi" w:hAnsiTheme="minorHAnsi" w:cstheme="minorBidi"/>
          <w:kern w:val="2"/>
          <w:sz w:val="22"/>
          <w:szCs w:val="22"/>
          <w:lang w:eastAsia="en-US"/>
        </w:rPr>
        <w:t>.</w:t>
      </w:r>
    </w:p>
    <w:p w14:paraId="295EF01B" w14:textId="715C46AB"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However, findings about the impact of COVID-19 on MH are inconsistent. Early cross-sectional studies suggested high mental illness burdens. Xiong et al.</w:t>
      </w:r>
      <w:r w:rsidR="00C369CB">
        <w:rPr>
          <w:rFonts w:asciiTheme="minorHAnsi" w:eastAsiaTheme="minorHAnsi" w:hAnsiTheme="minorHAnsi" w:cstheme="minorBidi"/>
          <w:kern w:val="2"/>
          <w:sz w:val="22"/>
          <w:szCs w:val="22"/>
          <w:vertAlign w:val="superscript"/>
          <w:lang w:eastAsia="en-US"/>
        </w:rPr>
        <w:t>13</w:t>
      </w:r>
      <w:r w:rsidRPr="00D70228">
        <w:rPr>
          <w:rFonts w:asciiTheme="minorHAnsi" w:eastAsiaTheme="minorHAnsi" w:hAnsiTheme="minorHAnsi" w:cstheme="minorBidi"/>
          <w:kern w:val="2"/>
          <w:sz w:val="22"/>
          <w:szCs w:val="22"/>
          <w:lang w:eastAsia="en-US"/>
        </w:rPr>
        <w:t xml:space="preserve"> conducted a systematic review of 19 cross-sectional studies from 8 countries on the impact of COVID-19, finding that COVID-19 was associated with high levels of psychological distress. In a systematic review and meta-analysis of UK studies, </w:t>
      </w:r>
      <w:proofErr w:type="spellStart"/>
      <w:r w:rsidRPr="00D70228">
        <w:rPr>
          <w:rFonts w:asciiTheme="minorHAnsi" w:eastAsiaTheme="minorHAnsi" w:hAnsiTheme="minorHAnsi" w:cstheme="minorBidi"/>
          <w:kern w:val="2"/>
          <w:sz w:val="22"/>
          <w:szCs w:val="22"/>
          <w:lang w:eastAsia="en-US"/>
        </w:rPr>
        <w:t>Dettmann</w:t>
      </w:r>
      <w:proofErr w:type="spellEnd"/>
      <w:r w:rsidRPr="00D70228">
        <w:rPr>
          <w:rFonts w:asciiTheme="minorHAnsi" w:eastAsiaTheme="minorHAnsi" w:hAnsiTheme="minorHAnsi" w:cstheme="minorBidi"/>
          <w:kern w:val="2"/>
          <w:sz w:val="22"/>
          <w:szCs w:val="22"/>
          <w:lang w:eastAsia="en-US"/>
        </w:rPr>
        <w:t xml:space="preserve"> et al.</w:t>
      </w:r>
      <w:r w:rsidR="00C369CB">
        <w:rPr>
          <w:rFonts w:asciiTheme="minorHAnsi" w:eastAsiaTheme="minorHAnsi" w:hAnsiTheme="minorHAnsi" w:cstheme="minorBidi"/>
          <w:kern w:val="2"/>
          <w:sz w:val="22"/>
          <w:szCs w:val="22"/>
          <w:vertAlign w:val="superscript"/>
          <w:lang w:eastAsia="en-US"/>
        </w:rPr>
        <w:t>14</w:t>
      </w:r>
      <w:r w:rsidRPr="00D70228">
        <w:rPr>
          <w:rFonts w:asciiTheme="minorHAnsi" w:eastAsiaTheme="minorHAnsi" w:hAnsiTheme="minorHAnsi" w:cstheme="minorBidi"/>
          <w:kern w:val="2"/>
          <w:sz w:val="22"/>
          <w:szCs w:val="22"/>
          <w:lang w:eastAsia="en-US"/>
        </w:rPr>
        <w:t xml:space="preserve"> found that the prevalence of anxiety during the first lockdown (March-May 2020) was 31% (95% CI 26%-35%) compared with a prevalence of 4.65% pre-pandemic. That study also found that prevalence of depression was high at 32% (95% CI 29 – 35%) compared to 4.12% pre-pandemic. </w:t>
      </w:r>
      <w:r w:rsidR="0050253C">
        <w:rPr>
          <w:rFonts w:asciiTheme="minorHAnsi" w:eastAsiaTheme="minorHAnsi" w:hAnsiTheme="minorHAnsi" w:cstheme="minorBidi"/>
          <w:kern w:val="2"/>
          <w:sz w:val="22"/>
          <w:szCs w:val="22"/>
          <w:lang w:eastAsia="en-US"/>
        </w:rPr>
        <w:t xml:space="preserve">However, later </w:t>
      </w:r>
      <w:r w:rsidRPr="00D70228">
        <w:rPr>
          <w:rFonts w:asciiTheme="minorHAnsi" w:eastAsiaTheme="minorHAnsi" w:hAnsiTheme="minorHAnsi" w:cstheme="minorBidi"/>
          <w:kern w:val="2"/>
          <w:sz w:val="22"/>
          <w:szCs w:val="22"/>
          <w:lang w:eastAsia="en-US"/>
        </w:rPr>
        <w:t xml:space="preserve">systematic reviews </w:t>
      </w:r>
      <w:r w:rsidR="0050253C">
        <w:rPr>
          <w:rFonts w:asciiTheme="minorHAnsi" w:eastAsiaTheme="minorHAnsi" w:hAnsiTheme="minorHAnsi" w:cstheme="minorBidi"/>
          <w:kern w:val="2"/>
          <w:sz w:val="22"/>
          <w:szCs w:val="22"/>
          <w:lang w:eastAsia="en-US"/>
        </w:rPr>
        <w:t>reported</w:t>
      </w:r>
      <w:r w:rsidRPr="00D70228">
        <w:rPr>
          <w:rFonts w:asciiTheme="minorHAnsi" w:eastAsiaTheme="minorHAnsi" w:hAnsiTheme="minorHAnsi" w:cstheme="minorBidi"/>
          <w:kern w:val="2"/>
          <w:sz w:val="22"/>
          <w:szCs w:val="22"/>
          <w:lang w:eastAsia="en-US"/>
        </w:rPr>
        <w:t xml:space="preserve"> mixed impacts on the prevalence of MH conditions during COVID-19</w:t>
      </w:r>
      <w:r w:rsidR="00C369CB">
        <w:rPr>
          <w:rFonts w:asciiTheme="minorHAnsi" w:eastAsiaTheme="minorHAnsi" w:hAnsiTheme="minorHAnsi" w:cstheme="minorBidi"/>
          <w:kern w:val="2"/>
          <w:sz w:val="22"/>
          <w:szCs w:val="22"/>
          <w:vertAlign w:val="superscript"/>
          <w:lang w:eastAsia="en-US"/>
        </w:rPr>
        <w:t>15-16</w:t>
      </w:r>
      <w:r w:rsidRPr="00D70228">
        <w:rPr>
          <w:rFonts w:asciiTheme="minorHAnsi" w:eastAsiaTheme="minorHAnsi" w:hAnsiTheme="minorHAnsi" w:cstheme="minorBidi"/>
          <w:kern w:val="2"/>
          <w:sz w:val="22"/>
          <w:szCs w:val="22"/>
          <w:lang w:eastAsia="en-US"/>
        </w:rPr>
        <w:t>.</w:t>
      </w:r>
    </w:p>
    <w:p w14:paraId="108386B6" w14:textId="488BD1BF"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 xml:space="preserve">Limitations and possible biases affect many MH studies undertaken during </w:t>
      </w:r>
      <w:r w:rsidR="002E521B">
        <w:rPr>
          <w:rFonts w:asciiTheme="minorHAnsi" w:eastAsiaTheme="minorHAnsi" w:hAnsiTheme="minorHAnsi" w:cstheme="minorBidi"/>
          <w:kern w:val="2"/>
          <w:sz w:val="22"/>
          <w:szCs w:val="22"/>
          <w:lang w:eastAsia="en-US"/>
        </w:rPr>
        <w:t xml:space="preserve">the </w:t>
      </w:r>
      <w:r w:rsidRPr="00D70228">
        <w:rPr>
          <w:rFonts w:asciiTheme="minorHAnsi" w:eastAsiaTheme="minorHAnsi" w:hAnsiTheme="minorHAnsi" w:cstheme="minorBidi"/>
          <w:kern w:val="2"/>
          <w:sz w:val="22"/>
          <w:szCs w:val="22"/>
          <w:lang w:eastAsia="en-US"/>
        </w:rPr>
        <w:t>COVID-19</w:t>
      </w:r>
      <w:r w:rsidR="002E521B">
        <w:rPr>
          <w:rFonts w:asciiTheme="minorHAnsi" w:eastAsiaTheme="minorHAnsi" w:hAnsiTheme="minorHAnsi" w:cstheme="minorBidi"/>
          <w:kern w:val="2"/>
          <w:sz w:val="22"/>
          <w:szCs w:val="22"/>
          <w:lang w:eastAsia="en-US"/>
        </w:rPr>
        <w:t xml:space="preserve"> pandemic</w:t>
      </w:r>
      <w:r w:rsidRPr="00D70228">
        <w:rPr>
          <w:rFonts w:asciiTheme="minorHAnsi" w:eastAsiaTheme="minorHAnsi" w:hAnsiTheme="minorHAnsi" w:cstheme="minorBidi"/>
          <w:kern w:val="2"/>
          <w:sz w:val="22"/>
          <w:szCs w:val="22"/>
          <w:lang w:eastAsia="en-US"/>
        </w:rPr>
        <w:t xml:space="preserve">. Inherent to cross-sectional design is a single time point. Even some </w:t>
      </w:r>
      <w:r w:rsidR="00CF718A">
        <w:rPr>
          <w:rFonts w:asciiTheme="minorHAnsi" w:eastAsiaTheme="minorHAnsi" w:hAnsiTheme="minorHAnsi" w:cstheme="minorBidi"/>
          <w:kern w:val="2"/>
          <w:sz w:val="22"/>
          <w:szCs w:val="22"/>
          <w:lang w:eastAsia="en-US"/>
        </w:rPr>
        <w:t>longitudinal</w:t>
      </w:r>
      <w:r w:rsidRPr="00D70228">
        <w:rPr>
          <w:rFonts w:asciiTheme="minorHAnsi" w:eastAsiaTheme="minorHAnsi" w:hAnsiTheme="minorHAnsi" w:cstheme="minorBidi"/>
          <w:kern w:val="2"/>
          <w:sz w:val="22"/>
          <w:szCs w:val="22"/>
          <w:lang w:eastAsia="en-US"/>
        </w:rPr>
        <w:t xml:space="preserve"> studies may have only looked at MH a few times during the pandemic missing the dynamic nature of COVID-19. Cross-sectional and many </w:t>
      </w:r>
      <w:r w:rsidR="00CF718A">
        <w:rPr>
          <w:rFonts w:asciiTheme="minorHAnsi" w:eastAsiaTheme="minorHAnsi" w:hAnsiTheme="minorHAnsi" w:cstheme="minorBidi"/>
          <w:kern w:val="2"/>
          <w:sz w:val="22"/>
          <w:szCs w:val="22"/>
          <w:lang w:eastAsia="en-US"/>
        </w:rPr>
        <w:t>longitudinal</w:t>
      </w:r>
      <w:r w:rsidRPr="00D70228">
        <w:rPr>
          <w:rFonts w:asciiTheme="minorHAnsi" w:eastAsiaTheme="minorHAnsi" w:hAnsiTheme="minorHAnsi" w:cstheme="minorBidi"/>
          <w:kern w:val="2"/>
          <w:sz w:val="22"/>
          <w:szCs w:val="22"/>
          <w:lang w:eastAsia="en-US"/>
        </w:rPr>
        <w:t xml:space="preserve"> studies are typically reliant on samples of convenience and can suffer from selection bias. Hence, using the most convenient recruitment methods, there is high likelihood of oversampling of persons with a health condition, leading to over-estimates of incidence and/or prevalence.</w:t>
      </w:r>
    </w:p>
    <w:p w14:paraId="729206BC" w14:textId="1CA6A101"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lastRenderedPageBreak/>
        <w:t>Ongoing patient utilisation for MH services</w:t>
      </w:r>
      <w:r w:rsidR="006A4395">
        <w:rPr>
          <w:rFonts w:asciiTheme="minorHAnsi" w:eastAsiaTheme="minorHAnsi" w:hAnsiTheme="minorHAnsi" w:cstheme="minorBidi"/>
          <w:kern w:val="2"/>
          <w:sz w:val="22"/>
          <w:szCs w:val="22"/>
          <w:lang w:eastAsia="en-US"/>
        </w:rPr>
        <w:t xml:space="preserve"> is a novel method that</w:t>
      </w:r>
      <w:r w:rsidRPr="00D70228">
        <w:rPr>
          <w:rFonts w:asciiTheme="minorHAnsi" w:eastAsiaTheme="minorHAnsi" w:hAnsiTheme="minorHAnsi" w:cstheme="minorBidi"/>
          <w:kern w:val="2"/>
          <w:sz w:val="22"/>
          <w:szCs w:val="22"/>
          <w:lang w:eastAsia="en-US"/>
        </w:rPr>
        <w:t xml:space="preserve"> can be used to indicate mental illness morbidity and provide trends</w:t>
      </w:r>
      <w:r w:rsidR="006A4395">
        <w:rPr>
          <w:rFonts w:asciiTheme="minorHAnsi" w:eastAsiaTheme="minorHAnsi" w:hAnsiTheme="minorHAnsi" w:cstheme="minorBidi"/>
          <w:kern w:val="2"/>
          <w:sz w:val="22"/>
          <w:szCs w:val="22"/>
          <w:lang w:eastAsia="en-US"/>
        </w:rPr>
        <w:t xml:space="preserve"> over time</w:t>
      </w:r>
      <w:r w:rsidRPr="00D70228">
        <w:rPr>
          <w:rFonts w:asciiTheme="minorHAnsi" w:eastAsiaTheme="minorHAnsi" w:hAnsiTheme="minorHAnsi" w:cstheme="minorBidi"/>
          <w:kern w:val="2"/>
          <w:sz w:val="22"/>
          <w:szCs w:val="22"/>
          <w:lang w:eastAsia="en-US"/>
        </w:rPr>
        <w:t>.</w:t>
      </w:r>
      <w:r w:rsidR="006A4395">
        <w:rPr>
          <w:rFonts w:asciiTheme="minorHAnsi" w:eastAsiaTheme="minorHAnsi" w:hAnsiTheme="minorHAnsi" w:cstheme="minorBidi"/>
          <w:kern w:val="2"/>
          <w:sz w:val="22"/>
          <w:szCs w:val="22"/>
          <w:lang w:eastAsia="en-US"/>
        </w:rPr>
        <w:t xml:space="preserve"> Specific to COVID-19,</w:t>
      </w:r>
      <w:r w:rsidRPr="00D70228">
        <w:rPr>
          <w:rFonts w:asciiTheme="minorHAnsi" w:eastAsiaTheme="minorHAnsi" w:hAnsiTheme="minorHAnsi" w:cstheme="minorBidi"/>
          <w:kern w:val="2"/>
          <w:sz w:val="22"/>
          <w:szCs w:val="22"/>
          <w:lang w:eastAsia="en-US"/>
        </w:rPr>
        <w:t xml:space="preserve"> Smith et al.¹</w:t>
      </w:r>
      <w:r w:rsidR="005274B6" w:rsidRPr="005274B6">
        <w:rPr>
          <w:rFonts w:asciiTheme="minorHAnsi" w:eastAsiaTheme="minorHAnsi" w:hAnsiTheme="minorHAnsi" w:cstheme="minorBidi"/>
          <w:kern w:val="2"/>
          <w:sz w:val="22"/>
          <w:szCs w:val="22"/>
          <w:vertAlign w:val="superscript"/>
          <w:lang w:eastAsia="en-US"/>
        </w:rPr>
        <w:t>7</w:t>
      </w:r>
      <w:r w:rsidRPr="00D70228">
        <w:rPr>
          <w:rFonts w:asciiTheme="minorHAnsi" w:eastAsiaTheme="minorHAnsi" w:hAnsiTheme="minorHAnsi" w:cstheme="minorBidi"/>
          <w:kern w:val="2"/>
          <w:sz w:val="22"/>
          <w:szCs w:val="22"/>
          <w:lang w:eastAsia="en-US"/>
        </w:rPr>
        <w:t xml:space="preserve"> produced an observational study of daily MH presentations across multiple healthcare settings during the first 9 months of COVID-19 in England. They found a significant decrease in MH presentations across four types of healthcare services from March to September 2020. Carr et al.¹</w:t>
      </w:r>
      <w:r w:rsidR="005274B6" w:rsidRPr="005274B6">
        <w:rPr>
          <w:rFonts w:asciiTheme="minorHAnsi" w:eastAsiaTheme="minorHAnsi" w:hAnsiTheme="minorHAnsi" w:cstheme="minorBidi"/>
          <w:kern w:val="2"/>
          <w:sz w:val="22"/>
          <w:szCs w:val="22"/>
          <w:vertAlign w:val="superscript"/>
          <w:lang w:eastAsia="en-US"/>
        </w:rPr>
        <w:t>8</w:t>
      </w:r>
      <w:r w:rsidRPr="00D70228">
        <w:rPr>
          <w:rFonts w:asciiTheme="minorHAnsi" w:eastAsiaTheme="minorHAnsi" w:hAnsiTheme="minorHAnsi" w:cstheme="minorBidi"/>
          <w:kern w:val="2"/>
          <w:sz w:val="22"/>
          <w:szCs w:val="22"/>
          <w:lang w:eastAsia="en-US"/>
        </w:rPr>
        <w:t xml:space="preserve"> used primary care data from the UK Clinical Practice Research Datalink (CPRD) to estimate MH morbidity from January to September 2020. They found that first-presentation incidence of common MH conditions and prescriptions were 36% to 48% lower in </w:t>
      </w:r>
      <w:r w:rsidR="005B4F1C" w:rsidRPr="00D70228">
        <w:rPr>
          <w:rFonts w:asciiTheme="minorHAnsi" w:eastAsiaTheme="minorHAnsi" w:hAnsiTheme="minorHAnsi" w:cstheme="minorBidi"/>
          <w:kern w:val="2"/>
          <w:sz w:val="22"/>
          <w:szCs w:val="22"/>
          <w:lang w:eastAsia="en-US"/>
        </w:rPr>
        <w:t>April 2020 but</w:t>
      </w:r>
      <w:r w:rsidRPr="00D70228">
        <w:rPr>
          <w:rFonts w:asciiTheme="minorHAnsi" w:eastAsiaTheme="minorHAnsi" w:hAnsiTheme="minorHAnsi" w:cstheme="minorBidi"/>
          <w:kern w:val="2"/>
          <w:sz w:val="22"/>
          <w:szCs w:val="22"/>
          <w:lang w:eastAsia="en-US"/>
        </w:rPr>
        <w:t xml:space="preserve"> had returned to expected incidence by September 2020. Mansfield et al.</w:t>
      </w:r>
      <w:r w:rsidR="005274B6" w:rsidRPr="005274B6">
        <w:rPr>
          <w:rFonts w:asciiTheme="minorHAnsi" w:eastAsiaTheme="minorHAnsi" w:hAnsiTheme="minorHAnsi" w:cstheme="minorBidi"/>
          <w:kern w:val="2"/>
          <w:sz w:val="22"/>
          <w:szCs w:val="22"/>
          <w:vertAlign w:val="superscript"/>
          <w:lang w:eastAsia="en-US"/>
        </w:rPr>
        <w:t>19</w:t>
      </w:r>
      <w:r w:rsidRPr="00D70228">
        <w:rPr>
          <w:rFonts w:asciiTheme="minorHAnsi" w:eastAsiaTheme="minorHAnsi" w:hAnsiTheme="minorHAnsi" w:cstheme="minorBidi"/>
          <w:kern w:val="2"/>
          <w:sz w:val="22"/>
          <w:szCs w:val="22"/>
          <w:lang w:eastAsia="en-US"/>
        </w:rPr>
        <w:t xml:space="preserve"> also used patient records from the CPRD to monitor weekly contact rates for MH conditions between 2017 and 2020. Contact rates for multiple conditions stayed low and </w:t>
      </w:r>
      <w:r w:rsidR="00083985">
        <w:rPr>
          <w:rFonts w:asciiTheme="minorHAnsi" w:eastAsiaTheme="minorHAnsi" w:hAnsiTheme="minorHAnsi" w:cstheme="minorBidi"/>
          <w:kern w:val="2"/>
          <w:sz w:val="22"/>
          <w:szCs w:val="22"/>
          <w:lang w:eastAsia="en-US"/>
        </w:rPr>
        <w:t>had not returned</w:t>
      </w:r>
      <w:r w:rsidRPr="00D70228">
        <w:rPr>
          <w:rFonts w:asciiTheme="minorHAnsi" w:eastAsiaTheme="minorHAnsi" w:hAnsiTheme="minorHAnsi" w:cstheme="minorBidi"/>
          <w:kern w:val="2"/>
          <w:sz w:val="22"/>
          <w:szCs w:val="22"/>
          <w:lang w:eastAsia="en-US"/>
        </w:rPr>
        <w:t xml:space="preserve"> to expected levels by July 2020. These decreases in utilisation for MH services were noted in other primary care studies within England through to autumn 2020</w:t>
      </w:r>
      <w:r w:rsidR="005274B6" w:rsidRPr="005274B6">
        <w:rPr>
          <w:rFonts w:asciiTheme="minorHAnsi" w:eastAsiaTheme="minorHAnsi" w:hAnsiTheme="minorHAnsi" w:cstheme="minorBidi"/>
          <w:kern w:val="2"/>
          <w:sz w:val="22"/>
          <w:szCs w:val="22"/>
          <w:vertAlign w:val="superscript"/>
          <w:lang w:eastAsia="en-US"/>
        </w:rPr>
        <w:t>20,21</w:t>
      </w:r>
      <w:r w:rsidRPr="00D70228">
        <w:rPr>
          <w:rFonts w:asciiTheme="minorHAnsi" w:eastAsiaTheme="minorHAnsi" w:hAnsiTheme="minorHAnsi" w:cstheme="minorBidi"/>
          <w:kern w:val="2"/>
          <w:sz w:val="22"/>
          <w:szCs w:val="22"/>
          <w:lang w:eastAsia="en-US"/>
        </w:rPr>
        <w:t xml:space="preserve">. However, none of these studies looked across the whole </w:t>
      </w:r>
      <w:r w:rsidR="0050253C">
        <w:rPr>
          <w:rFonts w:asciiTheme="minorHAnsi" w:eastAsiaTheme="minorHAnsi" w:hAnsiTheme="minorHAnsi" w:cstheme="minorBidi"/>
          <w:kern w:val="2"/>
          <w:sz w:val="22"/>
          <w:szCs w:val="22"/>
          <w:lang w:eastAsia="en-US"/>
        </w:rPr>
        <w:t>period of COVID-19 restrictions</w:t>
      </w:r>
      <w:r w:rsidRPr="00D70228">
        <w:rPr>
          <w:rFonts w:asciiTheme="minorHAnsi" w:eastAsiaTheme="minorHAnsi" w:hAnsiTheme="minorHAnsi" w:cstheme="minorBidi"/>
          <w:kern w:val="2"/>
          <w:sz w:val="22"/>
          <w:szCs w:val="22"/>
          <w:lang w:eastAsia="en-US"/>
        </w:rPr>
        <w:t xml:space="preserve"> and few looked at multiple sources of patient utilisation </w:t>
      </w:r>
      <w:r w:rsidR="0050253C">
        <w:rPr>
          <w:rFonts w:asciiTheme="minorHAnsi" w:eastAsiaTheme="minorHAnsi" w:hAnsiTheme="minorHAnsi" w:cstheme="minorBidi"/>
          <w:kern w:val="2"/>
          <w:sz w:val="22"/>
          <w:szCs w:val="22"/>
          <w:lang w:eastAsia="en-US"/>
        </w:rPr>
        <w:t xml:space="preserve">data </w:t>
      </w:r>
      <w:r w:rsidRPr="00D70228">
        <w:rPr>
          <w:rFonts w:asciiTheme="minorHAnsi" w:eastAsiaTheme="minorHAnsi" w:hAnsiTheme="minorHAnsi" w:cstheme="minorBidi"/>
          <w:kern w:val="2"/>
          <w:sz w:val="22"/>
          <w:szCs w:val="22"/>
          <w:lang w:eastAsia="en-US"/>
        </w:rPr>
        <w:t>for MH services.</w:t>
      </w:r>
    </w:p>
    <w:p w14:paraId="02BEA78C" w14:textId="64FDD9E4"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Here we create a comprehensive overview of the impact of COVID-19 restrictions upon multiple MH services in the National Health Service (NHS) in England. Daily data from four different services through which the public may access MH services were acquired. Data were obtained for a long period pre and post pandemic</w:t>
      </w:r>
      <w:r w:rsidR="005B4F1C">
        <w:rPr>
          <w:rFonts w:asciiTheme="minorHAnsi" w:eastAsiaTheme="minorHAnsi" w:hAnsiTheme="minorHAnsi" w:cstheme="minorBidi"/>
          <w:kern w:val="2"/>
          <w:sz w:val="22"/>
          <w:szCs w:val="22"/>
          <w:lang w:eastAsia="en-US"/>
        </w:rPr>
        <w:t xml:space="preserve"> restrictions. </w:t>
      </w:r>
      <w:r w:rsidRPr="00D70228">
        <w:rPr>
          <w:rFonts w:asciiTheme="minorHAnsi" w:eastAsiaTheme="minorHAnsi" w:hAnsiTheme="minorHAnsi" w:cstheme="minorBidi"/>
          <w:kern w:val="2"/>
          <w:sz w:val="22"/>
          <w:szCs w:val="22"/>
          <w:lang w:eastAsia="en-US"/>
        </w:rPr>
        <w:t xml:space="preserve">We analysed several different MH </w:t>
      </w:r>
      <w:r w:rsidR="005B4F1C">
        <w:rPr>
          <w:rFonts w:asciiTheme="minorHAnsi" w:eastAsiaTheme="minorHAnsi" w:hAnsiTheme="minorHAnsi" w:cstheme="minorBidi"/>
          <w:kern w:val="2"/>
          <w:sz w:val="22"/>
          <w:szCs w:val="22"/>
          <w:lang w:eastAsia="en-US"/>
        </w:rPr>
        <w:t>presentations</w:t>
      </w:r>
      <w:r w:rsidRPr="00D70228">
        <w:rPr>
          <w:rFonts w:asciiTheme="minorHAnsi" w:eastAsiaTheme="minorHAnsi" w:hAnsiTheme="minorHAnsi" w:cstheme="minorBidi"/>
          <w:kern w:val="2"/>
          <w:sz w:val="22"/>
          <w:szCs w:val="22"/>
          <w:lang w:eastAsia="en-US"/>
        </w:rPr>
        <w:t xml:space="preserve"> subdivided by age group.</w:t>
      </w:r>
      <w:r w:rsidR="005B4F1C">
        <w:t xml:space="preserve"> </w:t>
      </w:r>
      <w:r w:rsidR="005B4F1C" w:rsidRPr="005B4F1C">
        <w:rPr>
          <w:rFonts w:asciiTheme="minorHAnsi" w:hAnsiTheme="minorHAnsi" w:cstheme="minorHAnsi"/>
          <w:sz w:val="22"/>
          <w:szCs w:val="22"/>
        </w:rPr>
        <w:t xml:space="preserve">Additionally, </w:t>
      </w:r>
      <w:r w:rsidR="005B4F1C">
        <w:rPr>
          <w:rFonts w:asciiTheme="minorHAnsi" w:hAnsiTheme="minorHAnsi" w:cstheme="minorHAnsi"/>
          <w:sz w:val="22"/>
          <w:szCs w:val="22"/>
        </w:rPr>
        <w:t xml:space="preserve">the </w:t>
      </w:r>
      <w:r w:rsidR="005B4F1C">
        <w:rPr>
          <w:rFonts w:asciiTheme="minorHAnsi" w:eastAsiaTheme="minorHAnsi" w:hAnsiTheme="minorHAnsi" w:cstheme="minorHAnsi"/>
          <w:kern w:val="2"/>
          <w:sz w:val="22"/>
          <w:szCs w:val="22"/>
          <w:lang w:eastAsia="en-US"/>
        </w:rPr>
        <w:t>u</w:t>
      </w:r>
      <w:r w:rsidR="005B4F1C" w:rsidRPr="005B4F1C">
        <w:rPr>
          <w:rFonts w:asciiTheme="minorHAnsi" w:eastAsiaTheme="minorHAnsi" w:hAnsiTheme="minorHAnsi" w:cstheme="minorHAnsi"/>
          <w:kern w:val="2"/>
          <w:sz w:val="22"/>
          <w:szCs w:val="22"/>
          <w:lang w:eastAsia="en-US"/>
        </w:rPr>
        <w:t>tility of MH service data for event analysis and future pandemic preparedness is considered.</w:t>
      </w:r>
    </w:p>
    <w:p w14:paraId="71BDADFE" w14:textId="14C8D566" w:rsidR="00D70228" w:rsidRPr="004423DB" w:rsidRDefault="00D70228" w:rsidP="004423DB">
      <w:pPr>
        <w:pStyle w:val="Heading2"/>
        <w:rPr>
          <w:b/>
          <w:bCs/>
          <w:color w:val="auto"/>
        </w:rPr>
      </w:pPr>
      <w:r w:rsidRPr="004423DB">
        <w:rPr>
          <w:b/>
          <w:bCs/>
          <w:color w:val="auto"/>
        </w:rPr>
        <w:t>Methods</w:t>
      </w:r>
    </w:p>
    <w:p w14:paraId="134CE6F1" w14:textId="59DD63F1"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We applied an interrupted time series design to explore changes in MH utilisation during COVID-19 restrictions using syndromic surveillance systems (SSS) previously described</w:t>
      </w:r>
      <w:r w:rsidR="005274B6" w:rsidRPr="005274B6">
        <w:rPr>
          <w:rFonts w:asciiTheme="minorHAnsi" w:eastAsiaTheme="minorHAnsi" w:hAnsiTheme="minorHAnsi" w:cstheme="minorBidi"/>
          <w:kern w:val="2"/>
          <w:sz w:val="22"/>
          <w:szCs w:val="22"/>
          <w:vertAlign w:val="superscript"/>
          <w:lang w:eastAsia="en-US"/>
        </w:rPr>
        <w:t>17</w:t>
      </w:r>
      <w:r w:rsidRPr="00D70228">
        <w:rPr>
          <w:rFonts w:asciiTheme="minorHAnsi" w:eastAsiaTheme="minorHAnsi" w:hAnsiTheme="minorHAnsi" w:cstheme="minorBidi"/>
          <w:kern w:val="2"/>
          <w:sz w:val="22"/>
          <w:szCs w:val="22"/>
          <w:lang w:eastAsia="en-US"/>
        </w:rPr>
        <w:t xml:space="preserve"> and </w:t>
      </w:r>
      <w:r w:rsidR="0050253C">
        <w:rPr>
          <w:rFonts w:asciiTheme="minorHAnsi" w:eastAsiaTheme="minorHAnsi" w:hAnsiTheme="minorHAnsi" w:cstheme="minorBidi"/>
          <w:kern w:val="2"/>
          <w:sz w:val="22"/>
          <w:szCs w:val="22"/>
          <w:lang w:eastAsia="en-US"/>
        </w:rPr>
        <w:t>e</w:t>
      </w:r>
      <w:r w:rsidRPr="00D70228">
        <w:rPr>
          <w:rFonts w:asciiTheme="minorHAnsi" w:eastAsiaTheme="minorHAnsi" w:hAnsiTheme="minorHAnsi" w:cstheme="minorBidi"/>
          <w:kern w:val="2"/>
          <w:sz w:val="22"/>
          <w:szCs w:val="22"/>
          <w:lang w:eastAsia="en-US"/>
        </w:rPr>
        <w:t xml:space="preserve">lectronic </w:t>
      </w:r>
      <w:r w:rsidR="0050253C">
        <w:rPr>
          <w:rFonts w:asciiTheme="minorHAnsi" w:eastAsiaTheme="minorHAnsi" w:hAnsiTheme="minorHAnsi" w:cstheme="minorBidi"/>
          <w:kern w:val="2"/>
          <w:sz w:val="22"/>
          <w:szCs w:val="22"/>
          <w:lang w:eastAsia="en-US"/>
        </w:rPr>
        <w:t>h</w:t>
      </w:r>
      <w:r w:rsidRPr="00D70228">
        <w:rPr>
          <w:rFonts w:asciiTheme="minorHAnsi" w:eastAsiaTheme="minorHAnsi" w:hAnsiTheme="minorHAnsi" w:cstheme="minorBidi"/>
          <w:kern w:val="2"/>
          <w:sz w:val="22"/>
          <w:szCs w:val="22"/>
          <w:lang w:eastAsia="en-US"/>
        </w:rPr>
        <w:t xml:space="preserve">ealthcare </w:t>
      </w:r>
      <w:r w:rsidR="0050253C">
        <w:rPr>
          <w:rFonts w:asciiTheme="minorHAnsi" w:eastAsiaTheme="minorHAnsi" w:hAnsiTheme="minorHAnsi" w:cstheme="minorBidi"/>
          <w:kern w:val="2"/>
          <w:sz w:val="22"/>
          <w:szCs w:val="22"/>
          <w:lang w:eastAsia="en-US"/>
        </w:rPr>
        <w:t>r</w:t>
      </w:r>
      <w:r w:rsidRPr="00D70228">
        <w:rPr>
          <w:rFonts w:asciiTheme="minorHAnsi" w:eastAsiaTheme="minorHAnsi" w:hAnsiTheme="minorHAnsi" w:cstheme="minorBidi"/>
          <w:kern w:val="2"/>
          <w:sz w:val="22"/>
          <w:szCs w:val="22"/>
          <w:lang w:eastAsia="en-US"/>
        </w:rPr>
        <w:t>ecords (EHRs). Daily data w</w:t>
      </w:r>
      <w:r w:rsidR="0050253C">
        <w:rPr>
          <w:rFonts w:asciiTheme="minorHAnsi" w:eastAsiaTheme="minorHAnsi" w:hAnsiTheme="minorHAnsi" w:cstheme="minorBidi"/>
          <w:kern w:val="2"/>
          <w:sz w:val="22"/>
          <w:szCs w:val="22"/>
          <w:lang w:eastAsia="en-US"/>
        </w:rPr>
        <w:t>ere</w:t>
      </w:r>
      <w:r w:rsidRPr="00D70228">
        <w:rPr>
          <w:rFonts w:asciiTheme="minorHAnsi" w:eastAsiaTheme="minorHAnsi" w:hAnsiTheme="minorHAnsi" w:cstheme="minorBidi"/>
          <w:kern w:val="2"/>
          <w:sz w:val="22"/>
          <w:szCs w:val="22"/>
          <w:lang w:eastAsia="en-US"/>
        </w:rPr>
        <w:t xml:space="preserve"> obtained </w:t>
      </w:r>
      <w:r w:rsidR="00540F4B">
        <w:rPr>
          <w:rFonts w:asciiTheme="minorHAnsi" w:eastAsiaTheme="minorHAnsi" w:hAnsiTheme="minorHAnsi" w:cstheme="minorBidi"/>
          <w:kern w:val="2"/>
          <w:sz w:val="22"/>
          <w:szCs w:val="22"/>
          <w:lang w:eastAsia="en-US"/>
        </w:rPr>
        <w:t>January 1</w:t>
      </w:r>
      <w:r w:rsidR="00540F4B" w:rsidRPr="00540F4B">
        <w:rPr>
          <w:rFonts w:asciiTheme="minorHAnsi" w:eastAsiaTheme="minorHAnsi" w:hAnsiTheme="minorHAnsi" w:cstheme="minorBidi"/>
          <w:kern w:val="2"/>
          <w:sz w:val="22"/>
          <w:szCs w:val="22"/>
          <w:vertAlign w:val="superscript"/>
          <w:lang w:eastAsia="en-US"/>
        </w:rPr>
        <w:t>st</w:t>
      </w:r>
      <w:r w:rsidR="00540F4B">
        <w:rPr>
          <w:rFonts w:asciiTheme="minorHAnsi" w:eastAsiaTheme="minorHAnsi" w:hAnsiTheme="minorHAnsi" w:cstheme="minorBidi"/>
          <w:kern w:val="2"/>
          <w:sz w:val="22"/>
          <w:szCs w:val="22"/>
          <w:lang w:eastAsia="en-US"/>
        </w:rPr>
        <w:t xml:space="preserve"> </w:t>
      </w:r>
      <w:r w:rsidRPr="00D70228">
        <w:rPr>
          <w:rFonts w:asciiTheme="minorHAnsi" w:eastAsiaTheme="minorHAnsi" w:hAnsiTheme="minorHAnsi" w:cstheme="minorBidi"/>
          <w:kern w:val="2"/>
          <w:sz w:val="22"/>
          <w:szCs w:val="22"/>
          <w:lang w:eastAsia="en-US"/>
        </w:rPr>
        <w:t xml:space="preserve">2019 to </w:t>
      </w:r>
      <w:r w:rsidR="00540F4B">
        <w:rPr>
          <w:rFonts w:asciiTheme="minorHAnsi" w:eastAsiaTheme="minorHAnsi" w:hAnsiTheme="minorHAnsi" w:cstheme="minorBidi"/>
          <w:kern w:val="2"/>
          <w:sz w:val="22"/>
          <w:szCs w:val="22"/>
          <w:lang w:eastAsia="en-US"/>
        </w:rPr>
        <w:t>April 20</w:t>
      </w:r>
      <w:r w:rsidR="00540F4B" w:rsidRPr="00540F4B">
        <w:rPr>
          <w:rFonts w:asciiTheme="minorHAnsi" w:eastAsiaTheme="minorHAnsi" w:hAnsiTheme="minorHAnsi" w:cstheme="minorBidi"/>
          <w:kern w:val="2"/>
          <w:sz w:val="22"/>
          <w:szCs w:val="22"/>
          <w:vertAlign w:val="superscript"/>
          <w:lang w:eastAsia="en-US"/>
        </w:rPr>
        <w:t>th</w:t>
      </w:r>
      <w:r w:rsidR="00540F4B">
        <w:rPr>
          <w:rFonts w:asciiTheme="minorHAnsi" w:eastAsiaTheme="minorHAnsi" w:hAnsiTheme="minorHAnsi" w:cstheme="minorBidi"/>
          <w:kern w:val="2"/>
          <w:sz w:val="22"/>
          <w:szCs w:val="22"/>
          <w:lang w:eastAsia="en-US"/>
        </w:rPr>
        <w:t xml:space="preserve"> 2022. A</w:t>
      </w:r>
      <w:r w:rsidRPr="00D70228">
        <w:rPr>
          <w:rFonts w:asciiTheme="minorHAnsi" w:eastAsiaTheme="minorHAnsi" w:hAnsiTheme="minorHAnsi" w:cstheme="minorBidi"/>
          <w:kern w:val="2"/>
          <w:sz w:val="22"/>
          <w:szCs w:val="22"/>
          <w:lang w:eastAsia="en-US"/>
        </w:rPr>
        <w:t>nalysis was stratified by 4 specific health services.</w:t>
      </w:r>
    </w:p>
    <w:p w14:paraId="432953C4" w14:textId="77777777" w:rsidR="00D70228" w:rsidRPr="004423DB" w:rsidRDefault="00D70228" w:rsidP="00D70228">
      <w:pPr>
        <w:pStyle w:val="abstract-paragraph"/>
        <w:spacing w:after="0" w:line="360" w:lineRule="auto"/>
        <w:rPr>
          <w:rFonts w:asciiTheme="minorHAnsi" w:eastAsiaTheme="minorHAnsi" w:hAnsiTheme="minorHAnsi" w:cstheme="minorBidi"/>
          <w:b/>
          <w:bCs/>
          <w:kern w:val="2"/>
          <w:sz w:val="22"/>
          <w:szCs w:val="22"/>
          <w:lang w:eastAsia="en-US"/>
        </w:rPr>
      </w:pPr>
      <w:r w:rsidRPr="004423DB">
        <w:rPr>
          <w:rFonts w:asciiTheme="minorHAnsi" w:eastAsiaTheme="minorHAnsi" w:hAnsiTheme="minorHAnsi" w:cstheme="minorBidi"/>
          <w:b/>
          <w:bCs/>
          <w:kern w:val="2"/>
          <w:sz w:val="22"/>
          <w:szCs w:val="22"/>
          <w:lang w:eastAsia="en-US"/>
        </w:rPr>
        <w:t>Data sources and MH conditions</w:t>
      </w:r>
    </w:p>
    <w:p w14:paraId="237F5900" w14:textId="5330CCA9"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 xml:space="preserve">Data on </w:t>
      </w:r>
      <w:r w:rsidR="00056FE4">
        <w:rPr>
          <w:rFonts w:asciiTheme="minorHAnsi" w:eastAsiaTheme="minorHAnsi" w:hAnsiTheme="minorHAnsi" w:cstheme="minorBidi"/>
          <w:kern w:val="2"/>
          <w:sz w:val="22"/>
          <w:szCs w:val="22"/>
          <w:lang w:eastAsia="en-US"/>
        </w:rPr>
        <w:t>MH service utilisation</w:t>
      </w:r>
      <w:r w:rsidRPr="00D70228">
        <w:rPr>
          <w:rFonts w:asciiTheme="minorHAnsi" w:eastAsiaTheme="minorHAnsi" w:hAnsiTheme="minorHAnsi" w:cstheme="minorBidi"/>
          <w:kern w:val="2"/>
          <w:sz w:val="22"/>
          <w:szCs w:val="22"/>
          <w:lang w:eastAsia="en-US"/>
        </w:rPr>
        <w:t xml:space="preserve"> were accessed through routinely monitored SSS. These were anonymised surveillance data for: NHS healthcare advice triaged calls (NHS111); general practitioner (GP) out-of-hours (GPOOH) consultations; and emergency department attendances (EDSSS). Each dataset comprised requests for care or advice rather than describing treatment or treatment outcomes. We also collected the total </w:t>
      </w:r>
      <w:r w:rsidR="00056FE4">
        <w:rPr>
          <w:rFonts w:asciiTheme="minorHAnsi" w:eastAsiaTheme="minorHAnsi" w:hAnsiTheme="minorHAnsi" w:cstheme="minorBidi"/>
          <w:kern w:val="2"/>
          <w:sz w:val="22"/>
          <w:szCs w:val="22"/>
          <w:lang w:eastAsia="en-US"/>
        </w:rPr>
        <w:t>utilisation</w:t>
      </w:r>
      <w:r w:rsidRPr="00D70228">
        <w:rPr>
          <w:rFonts w:asciiTheme="minorHAnsi" w:eastAsiaTheme="minorHAnsi" w:hAnsiTheme="minorHAnsi" w:cstheme="minorBidi"/>
          <w:kern w:val="2"/>
          <w:sz w:val="22"/>
          <w:szCs w:val="22"/>
          <w:lang w:eastAsia="en-US"/>
        </w:rPr>
        <w:t xml:space="preserve"> of these systems to </w:t>
      </w:r>
      <w:r w:rsidR="00056FE4">
        <w:rPr>
          <w:rFonts w:asciiTheme="minorHAnsi" w:eastAsiaTheme="minorHAnsi" w:hAnsiTheme="minorHAnsi" w:cstheme="minorBidi"/>
          <w:kern w:val="2"/>
          <w:sz w:val="22"/>
          <w:szCs w:val="22"/>
          <w:lang w:eastAsia="en-US"/>
        </w:rPr>
        <w:t xml:space="preserve">explore any change in the </w:t>
      </w:r>
      <w:r w:rsidR="00056FE4">
        <w:rPr>
          <w:rFonts w:asciiTheme="minorHAnsi" w:eastAsiaTheme="minorHAnsi" w:hAnsiTheme="minorHAnsi" w:cstheme="minorBidi"/>
          <w:kern w:val="2"/>
          <w:sz w:val="22"/>
          <w:szCs w:val="22"/>
          <w:lang w:eastAsia="en-US"/>
        </w:rPr>
        <w:lastRenderedPageBreak/>
        <w:t>capacity (supply)</w:t>
      </w:r>
      <w:r w:rsidRPr="00D70228">
        <w:rPr>
          <w:rFonts w:asciiTheme="minorHAnsi" w:eastAsiaTheme="minorHAnsi" w:hAnsiTheme="minorHAnsi" w:cstheme="minorBidi"/>
          <w:kern w:val="2"/>
          <w:sz w:val="22"/>
          <w:szCs w:val="22"/>
          <w:lang w:eastAsia="en-US"/>
        </w:rPr>
        <w:t>. Analysis from another service; ambulance dispatch calls (NASS) can also be viewed in the supplementary material (</w:t>
      </w:r>
      <w:r w:rsidR="0082531A">
        <w:rPr>
          <w:rFonts w:asciiTheme="minorHAnsi" w:eastAsiaTheme="minorHAnsi" w:hAnsiTheme="minorHAnsi" w:cstheme="minorBidi"/>
          <w:kern w:val="2"/>
          <w:sz w:val="22"/>
          <w:szCs w:val="22"/>
          <w:lang w:eastAsia="en-US"/>
        </w:rPr>
        <w:t xml:space="preserve">Table S5 &amp; </w:t>
      </w:r>
      <w:r w:rsidRPr="00D70228">
        <w:rPr>
          <w:rFonts w:asciiTheme="minorHAnsi" w:eastAsiaTheme="minorHAnsi" w:hAnsiTheme="minorHAnsi" w:cstheme="minorBidi"/>
          <w:kern w:val="2"/>
          <w:sz w:val="22"/>
          <w:szCs w:val="22"/>
          <w:lang w:eastAsia="en-US"/>
        </w:rPr>
        <w:t>Figure S2) but is not included in the main text</w:t>
      </w:r>
      <w:r w:rsidR="00056FE4">
        <w:rPr>
          <w:rFonts w:asciiTheme="minorHAnsi" w:eastAsiaTheme="minorHAnsi" w:hAnsiTheme="minorHAnsi" w:cstheme="minorBidi"/>
          <w:kern w:val="2"/>
          <w:sz w:val="22"/>
          <w:szCs w:val="22"/>
          <w:lang w:eastAsia="en-US"/>
        </w:rPr>
        <w:t xml:space="preserve"> due to limited MH activity</w:t>
      </w:r>
      <w:r w:rsidRPr="00D70228">
        <w:rPr>
          <w:rFonts w:asciiTheme="minorHAnsi" w:eastAsiaTheme="minorHAnsi" w:hAnsiTheme="minorHAnsi" w:cstheme="minorBidi"/>
          <w:kern w:val="2"/>
          <w:sz w:val="22"/>
          <w:szCs w:val="22"/>
          <w:lang w:eastAsia="en-US"/>
        </w:rPr>
        <w:t>.</w:t>
      </w:r>
    </w:p>
    <w:p w14:paraId="201932CA" w14:textId="79CE0018" w:rsidR="00D70228" w:rsidRPr="00D70228" w:rsidRDefault="00D70228" w:rsidP="00D70228">
      <w:pPr>
        <w:pStyle w:val="abstract-paragraph"/>
        <w:spacing w:after="0" w:line="360" w:lineRule="auto"/>
        <w:rPr>
          <w:rFonts w:asciiTheme="minorHAnsi" w:eastAsiaTheme="minorHAnsi" w:hAnsiTheme="minorHAnsi" w:cstheme="minorBidi"/>
          <w:kern w:val="2"/>
          <w:sz w:val="22"/>
          <w:szCs w:val="22"/>
          <w:lang w:eastAsia="en-US"/>
        </w:rPr>
      </w:pPr>
      <w:r w:rsidRPr="00D70228">
        <w:rPr>
          <w:rFonts w:asciiTheme="minorHAnsi" w:eastAsiaTheme="minorHAnsi" w:hAnsiTheme="minorHAnsi" w:cstheme="minorBidi"/>
          <w:kern w:val="2"/>
          <w:sz w:val="22"/>
          <w:szCs w:val="22"/>
          <w:lang w:eastAsia="en-US"/>
        </w:rPr>
        <w:t>EHRs for GP consultations during ‘in-hours’ (working days and hours) services (GPIH) were available from Oxford-Royal College of General Practitioners (RCGP) Clinical Informatics Digital Hub (ORCHID), a trusted research environment that holds the Oxford-RCGP Research and Surveillance Centre (RSC) sentinel network</w:t>
      </w:r>
      <w:r w:rsidR="009D1775" w:rsidRPr="009D1775">
        <w:rPr>
          <w:rFonts w:asciiTheme="minorHAnsi" w:eastAsiaTheme="minorHAnsi" w:hAnsiTheme="minorHAnsi" w:cstheme="minorBidi"/>
          <w:kern w:val="2"/>
          <w:sz w:val="22"/>
          <w:szCs w:val="22"/>
          <w:vertAlign w:val="superscript"/>
          <w:lang w:eastAsia="en-US"/>
        </w:rPr>
        <w:t>22</w:t>
      </w:r>
      <w:r w:rsidRPr="00D70228">
        <w:rPr>
          <w:rFonts w:asciiTheme="minorHAnsi" w:eastAsiaTheme="minorHAnsi" w:hAnsiTheme="minorHAnsi" w:cstheme="minorBidi"/>
          <w:kern w:val="2"/>
          <w:sz w:val="22"/>
          <w:szCs w:val="22"/>
          <w:lang w:eastAsia="en-US"/>
        </w:rPr>
        <w:t xml:space="preserve">. </w:t>
      </w:r>
      <w:r w:rsidR="00E41521">
        <w:rPr>
          <w:rFonts w:asciiTheme="minorHAnsi" w:eastAsiaTheme="minorHAnsi" w:hAnsiTheme="minorHAnsi" w:cstheme="minorBidi"/>
          <w:kern w:val="2"/>
          <w:sz w:val="22"/>
          <w:szCs w:val="22"/>
          <w:lang w:eastAsia="en-US"/>
        </w:rPr>
        <w:t>GPIH data are</w:t>
      </w:r>
      <w:r w:rsidRPr="00D70228">
        <w:rPr>
          <w:rFonts w:asciiTheme="minorHAnsi" w:eastAsiaTheme="minorHAnsi" w:hAnsiTheme="minorHAnsi" w:cstheme="minorBidi"/>
          <w:kern w:val="2"/>
          <w:sz w:val="22"/>
          <w:szCs w:val="22"/>
          <w:lang w:eastAsia="en-US"/>
        </w:rPr>
        <w:t xml:space="preserve"> an extract of EHR data from a </w:t>
      </w:r>
      <w:r w:rsidR="00E41521">
        <w:rPr>
          <w:rFonts w:asciiTheme="minorHAnsi" w:eastAsiaTheme="minorHAnsi" w:hAnsiTheme="minorHAnsi" w:cstheme="minorBidi"/>
          <w:kern w:val="2"/>
          <w:sz w:val="22"/>
          <w:szCs w:val="22"/>
          <w:lang w:eastAsia="en-US"/>
        </w:rPr>
        <w:t>sentinel</w:t>
      </w:r>
      <w:r w:rsidRPr="00D70228">
        <w:rPr>
          <w:rFonts w:asciiTheme="minorHAnsi" w:eastAsiaTheme="minorHAnsi" w:hAnsiTheme="minorHAnsi" w:cstheme="minorBidi"/>
          <w:kern w:val="2"/>
          <w:sz w:val="22"/>
          <w:szCs w:val="22"/>
          <w:lang w:eastAsia="en-US"/>
        </w:rPr>
        <w:t xml:space="preserve"> network of over 2,000 primary care practices in England</w:t>
      </w:r>
      <w:r w:rsidR="009D1775" w:rsidRPr="009D1775">
        <w:rPr>
          <w:rFonts w:asciiTheme="minorHAnsi" w:eastAsiaTheme="minorHAnsi" w:hAnsiTheme="minorHAnsi" w:cstheme="minorBidi"/>
          <w:kern w:val="2"/>
          <w:sz w:val="22"/>
          <w:szCs w:val="22"/>
          <w:vertAlign w:val="superscript"/>
          <w:lang w:eastAsia="en-US"/>
        </w:rPr>
        <w:t>2</w:t>
      </w:r>
      <w:r w:rsidR="005274B6" w:rsidRPr="009D1775">
        <w:rPr>
          <w:rFonts w:asciiTheme="minorHAnsi" w:eastAsiaTheme="minorHAnsi" w:hAnsiTheme="minorHAnsi" w:cstheme="minorBidi"/>
          <w:kern w:val="2"/>
          <w:sz w:val="22"/>
          <w:szCs w:val="22"/>
          <w:vertAlign w:val="superscript"/>
          <w:lang w:eastAsia="en-US"/>
        </w:rPr>
        <w:t>3</w:t>
      </w:r>
      <w:r w:rsidR="00E41521" w:rsidRPr="00E41521">
        <w:rPr>
          <w:rFonts w:asciiTheme="minorHAnsi" w:eastAsiaTheme="minorHAnsi" w:hAnsiTheme="minorHAnsi" w:cstheme="minorBidi"/>
          <w:kern w:val="2"/>
          <w:sz w:val="22"/>
          <w:szCs w:val="22"/>
          <w:vertAlign w:val="superscript"/>
          <w:lang w:eastAsia="en-US"/>
        </w:rPr>
        <w:t>,24</w:t>
      </w:r>
      <w:r w:rsidRPr="00D70228">
        <w:rPr>
          <w:rFonts w:asciiTheme="minorHAnsi" w:eastAsiaTheme="minorHAnsi" w:hAnsiTheme="minorHAnsi" w:cstheme="minorBidi"/>
          <w:kern w:val="2"/>
          <w:sz w:val="22"/>
          <w:szCs w:val="22"/>
          <w:lang w:eastAsia="en-US"/>
        </w:rPr>
        <w:t xml:space="preserve">. The GPIH data describe activity for patients who were registered as of January </w:t>
      </w:r>
      <w:r w:rsidR="00056FE4">
        <w:rPr>
          <w:rFonts w:asciiTheme="minorHAnsi" w:eastAsiaTheme="minorHAnsi" w:hAnsiTheme="minorHAnsi" w:cstheme="minorBidi"/>
          <w:kern w:val="2"/>
          <w:sz w:val="22"/>
          <w:szCs w:val="22"/>
          <w:lang w:eastAsia="en-US"/>
        </w:rPr>
        <w:t>1</w:t>
      </w:r>
      <w:r w:rsidR="00056FE4" w:rsidRPr="00056FE4">
        <w:rPr>
          <w:rFonts w:asciiTheme="minorHAnsi" w:eastAsiaTheme="minorHAnsi" w:hAnsiTheme="minorHAnsi" w:cstheme="minorBidi"/>
          <w:kern w:val="2"/>
          <w:sz w:val="22"/>
          <w:szCs w:val="22"/>
          <w:vertAlign w:val="superscript"/>
          <w:lang w:eastAsia="en-US"/>
        </w:rPr>
        <w:t>st</w:t>
      </w:r>
      <w:r w:rsidR="00056FE4">
        <w:rPr>
          <w:rFonts w:asciiTheme="minorHAnsi" w:eastAsiaTheme="minorHAnsi" w:hAnsiTheme="minorHAnsi" w:cstheme="minorBidi"/>
          <w:kern w:val="2"/>
          <w:sz w:val="22"/>
          <w:szCs w:val="22"/>
          <w:lang w:eastAsia="en-US"/>
        </w:rPr>
        <w:t xml:space="preserve"> </w:t>
      </w:r>
      <w:r w:rsidRPr="00D70228">
        <w:rPr>
          <w:rFonts w:asciiTheme="minorHAnsi" w:eastAsiaTheme="minorHAnsi" w:hAnsiTheme="minorHAnsi" w:cstheme="minorBidi"/>
          <w:kern w:val="2"/>
          <w:sz w:val="22"/>
          <w:szCs w:val="22"/>
          <w:lang w:eastAsia="en-US"/>
        </w:rPr>
        <w:t xml:space="preserve">2019 and the prescription data exclude newly registered patients or new start medication courses started after this date. GPIH data are recorded in SNOMED clinical terms and a list of codes used for this study is included in supplementary files. Total consultations for the GPIH system </w:t>
      </w:r>
      <w:r w:rsidR="00E41521">
        <w:rPr>
          <w:rFonts w:asciiTheme="minorHAnsi" w:eastAsiaTheme="minorHAnsi" w:hAnsiTheme="minorHAnsi" w:cstheme="minorBidi"/>
          <w:kern w:val="2"/>
          <w:sz w:val="22"/>
          <w:szCs w:val="22"/>
          <w:lang w:eastAsia="en-US"/>
        </w:rPr>
        <w:t>were</w:t>
      </w:r>
      <w:r w:rsidRPr="00D70228">
        <w:rPr>
          <w:rFonts w:asciiTheme="minorHAnsi" w:eastAsiaTheme="minorHAnsi" w:hAnsiTheme="minorHAnsi" w:cstheme="minorBidi"/>
          <w:kern w:val="2"/>
          <w:sz w:val="22"/>
          <w:szCs w:val="22"/>
          <w:lang w:eastAsia="en-US"/>
        </w:rPr>
        <w:t xml:space="preserve"> unavailable.</w:t>
      </w:r>
    </w:p>
    <w:p w14:paraId="4788C6BA" w14:textId="75395B28" w:rsidR="00B96102" w:rsidRPr="00072399" w:rsidRDefault="00D70228" w:rsidP="00D70228">
      <w:pPr>
        <w:pStyle w:val="abstract-paragraph"/>
        <w:spacing w:before="0" w:beforeAutospacing="0" w:after="0" w:afterAutospacing="0" w:line="360" w:lineRule="auto"/>
        <w:rPr>
          <w:rFonts w:asciiTheme="minorHAnsi" w:hAnsiTheme="minorHAnsi" w:cstheme="minorHAnsi"/>
          <w:sz w:val="22"/>
          <w:szCs w:val="22"/>
        </w:rPr>
      </w:pPr>
      <w:r w:rsidRPr="00D70228">
        <w:rPr>
          <w:rFonts w:asciiTheme="minorHAnsi" w:eastAsiaTheme="minorHAnsi" w:hAnsiTheme="minorHAnsi" w:cstheme="minorBidi"/>
          <w:kern w:val="2"/>
          <w:sz w:val="22"/>
          <w:szCs w:val="22"/>
          <w:lang w:eastAsia="en-US"/>
        </w:rPr>
        <w:t xml:space="preserve">From these four datasets, MH indicators were extracted (Table 1; details in Tables S1-S3). </w:t>
      </w:r>
      <w:r w:rsidR="000B5EA6">
        <w:rPr>
          <w:rFonts w:asciiTheme="minorHAnsi" w:eastAsiaTheme="minorHAnsi" w:hAnsiTheme="minorHAnsi" w:cstheme="minorBidi"/>
          <w:kern w:val="2"/>
          <w:sz w:val="22"/>
          <w:szCs w:val="22"/>
          <w:lang w:eastAsia="en-US"/>
        </w:rPr>
        <w:t xml:space="preserve">In this main article, we </w:t>
      </w:r>
      <w:r w:rsidR="000025D4">
        <w:rPr>
          <w:rFonts w:asciiTheme="minorHAnsi" w:eastAsiaTheme="minorHAnsi" w:hAnsiTheme="minorHAnsi" w:cstheme="minorBidi"/>
          <w:kern w:val="2"/>
          <w:sz w:val="22"/>
          <w:szCs w:val="22"/>
          <w:lang w:eastAsia="en-US"/>
        </w:rPr>
        <w:t>refer to presentations related to general MH and common MH conditions (Anxiety and Depression). Analysis for other MH conditions and indicators (Prescriptions, Self-harm, Sleep Difficulties, Alcohol Intoxication and Overdoses) can be viewed in the supplementary material</w:t>
      </w:r>
      <w:r w:rsidR="00487E29">
        <w:rPr>
          <w:rFonts w:asciiTheme="minorHAnsi" w:eastAsiaTheme="minorHAnsi" w:hAnsiTheme="minorHAnsi" w:cstheme="minorBidi"/>
          <w:kern w:val="2"/>
          <w:sz w:val="22"/>
          <w:szCs w:val="22"/>
          <w:lang w:eastAsia="en-US"/>
        </w:rPr>
        <w:t xml:space="preserve"> (Table S4)</w:t>
      </w:r>
      <w:r w:rsidR="000025D4">
        <w:rPr>
          <w:rFonts w:asciiTheme="minorHAnsi" w:eastAsiaTheme="minorHAnsi" w:hAnsiTheme="minorHAnsi" w:cstheme="minorBidi"/>
          <w:kern w:val="2"/>
          <w:sz w:val="22"/>
          <w:szCs w:val="22"/>
          <w:lang w:eastAsia="en-US"/>
        </w:rPr>
        <w:t xml:space="preserve">. </w:t>
      </w:r>
      <w:r w:rsidRPr="00D70228">
        <w:rPr>
          <w:rFonts w:asciiTheme="minorHAnsi" w:eastAsiaTheme="minorHAnsi" w:hAnsiTheme="minorHAnsi" w:cstheme="minorBidi"/>
          <w:kern w:val="2"/>
          <w:sz w:val="22"/>
          <w:szCs w:val="22"/>
          <w:lang w:eastAsia="en-US"/>
        </w:rPr>
        <w:t xml:space="preserve">For simplicity, we refer to presentations, calls, </w:t>
      </w:r>
      <w:r w:rsidR="000B5EA6">
        <w:rPr>
          <w:rFonts w:asciiTheme="minorHAnsi" w:eastAsiaTheme="minorHAnsi" w:hAnsiTheme="minorHAnsi" w:cstheme="minorBidi"/>
          <w:kern w:val="2"/>
          <w:sz w:val="22"/>
          <w:szCs w:val="22"/>
          <w:lang w:eastAsia="en-US"/>
        </w:rPr>
        <w:t xml:space="preserve">attendances, </w:t>
      </w:r>
      <w:r w:rsidRPr="00D70228">
        <w:rPr>
          <w:rFonts w:asciiTheme="minorHAnsi" w:eastAsiaTheme="minorHAnsi" w:hAnsiTheme="minorHAnsi" w:cstheme="minorBidi"/>
          <w:kern w:val="2"/>
          <w:sz w:val="22"/>
          <w:szCs w:val="22"/>
          <w:lang w:eastAsia="en-US"/>
        </w:rPr>
        <w:t xml:space="preserve">and </w:t>
      </w:r>
      <w:r w:rsidR="000B5EA6">
        <w:rPr>
          <w:rFonts w:asciiTheme="minorHAnsi" w:eastAsiaTheme="minorHAnsi" w:hAnsiTheme="minorHAnsi" w:cstheme="minorBidi"/>
          <w:kern w:val="2"/>
          <w:sz w:val="22"/>
          <w:szCs w:val="22"/>
          <w:lang w:eastAsia="en-US"/>
        </w:rPr>
        <w:t>consultations</w:t>
      </w:r>
      <w:r w:rsidRPr="00D70228">
        <w:rPr>
          <w:rFonts w:asciiTheme="minorHAnsi" w:eastAsiaTheme="minorHAnsi" w:hAnsiTheme="minorHAnsi" w:cstheme="minorBidi"/>
          <w:kern w:val="2"/>
          <w:sz w:val="22"/>
          <w:szCs w:val="22"/>
          <w:lang w:eastAsia="en-US"/>
        </w:rPr>
        <w:t xml:space="preserve"> collectively as ‘</w:t>
      </w:r>
      <w:proofErr w:type="gramStart"/>
      <w:r w:rsidRPr="00D70228">
        <w:rPr>
          <w:rFonts w:asciiTheme="minorHAnsi" w:eastAsiaTheme="minorHAnsi" w:hAnsiTheme="minorHAnsi" w:cstheme="minorBidi"/>
          <w:kern w:val="2"/>
          <w:sz w:val="22"/>
          <w:szCs w:val="22"/>
          <w:lang w:eastAsia="en-US"/>
        </w:rPr>
        <w:t>indicators’</w:t>
      </w:r>
      <w:proofErr w:type="gramEnd"/>
      <w:r w:rsidRPr="00D70228">
        <w:rPr>
          <w:rFonts w:asciiTheme="minorHAnsi" w:eastAsiaTheme="minorHAnsi" w:hAnsiTheme="minorHAnsi" w:cstheme="minorBidi"/>
          <w:kern w:val="2"/>
          <w:sz w:val="22"/>
          <w:szCs w:val="22"/>
          <w:lang w:eastAsia="en-US"/>
        </w:rPr>
        <w:t>.</w:t>
      </w:r>
    </w:p>
    <w:p w14:paraId="1B621A51" w14:textId="5E502E2C" w:rsidR="00D806CC" w:rsidRDefault="00D806CC" w:rsidP="001C0679">
      <w:pPr>
        <w:rPr>
          <w:sz w:val="24"/>
          <w:szCs w:val="24"/>
        </w:rPr>
      </w:pPr>
      <w:r>
        <w:rPr>
          <w:sz w:val="24"/>
          <w:szCs w:val="24"/>
        </w:rPr>
        <w:br w:type="page"/>
      </w:r>
    </w:p>
    <w:p w14:paraId="6C62D72D" w14:textId="1026AE1A" w:rsidR="00E63A68" w:rsidRDefault="00E63A68" w:rsidP="00EC0D19">
      <w:pPr>
        <w:spacing w:after="0" w:line="240" w:lineRule="auto"/>
      </w:pPr>
      <w:r w:rsidRPr="00E63A68">
        <w:rPr>
          <w:b/>
          <w:bCs/>
          <w:sz w:val="24"/>
          <w:szCs w:val="24"/>
        </w:rPr>
        <w:lastRenderedPageBreak/>
        <w:t>Table 1</w:t>
      </w:r>
      <w:r w:rsidRPr="00E63A68">
        <w:rPr>
          <w:sz w:val="24"/>
          <w:szCs w:val="24"/>
        </w:rPr>
        <w:t xml:space="preserve">.  Indicators for mental health category </w:t>
      </w:r>
      <w:r w:rsidR="00040E40">
        <w:rPr>
          <w:sz w:val="24"/>
          <w:szCs w:val="24"/>
        </w:rPr>
        <w:t>indicator counts</w:t>
      </w:r>
      <w:r w:rsidRPr="00E63A68">
        <w:rPr>
          <w:sz w:val="24"/>
          <w:szCs w:val="24"/>
        </w:rPr>
        <w:t xml:space="preserve"> </w:t>
      </w:r>
      <w:r w:rsidR="00040E40">
        <w:rPr>
          <w:sz w:val="24"/>
          <w:szCs w:val="24"/>
        </w:rPr>
        <w:t>in</w:t>
      </w:r>
      <w:r w:rsidRPr="00E63A68">
        <w:rPr>
          <w:sz w:val="24"/>
          <w:szCs w:val="24"/>
        </w:rPr>
        <w:t xml:space="preserve"> respective services</w:t>
      </w:r>
    </w:p>
    <w:p w14:paraId="6AC41212" w14:textId="77777777" w:rsidR="00AC7F5A" w:rsidRDefault="00AC7F5A" w:rsidP="00EC0D19">
      <w:pPr>
        <w:spacing w:after="0" w:line="240" w:lineRule="auto"/>
      </w:pPr>
    </w:p>
    <w:p w14:paraId="048995C0" w14:textId="77777777" w:rsidR="00AC7F5A" w:rsidRDefault="00AC7F5A" w:rsidP="00EC0D19">
      <w:pPr>
        <w:spacing w:after="0" w:line="240" w:lineRule="auto"/>
      </w:pPr>
    </w:p>
    <w:tbl>
      <w:tblPr>
        <w:tblW w:w="7441" w:type="dxa"/>
        <w:tblLook w:val="04A0" w:firstRow="1" w:lastRow="0" w:firstColumn="1" w:lastColumn="0" w:noHBand="0" w:noVBand="1"/>
      </w:tblPr>
      <w:tblGrid>
        <w:gridCol w:w="1080"/>
        <w:gridCol w:w="2640"/>
        <w:gridCol w:w="2020"/>
        <w:gridCol w:w="1701"/>
      </w:tblGrid>
      <w:tr w:rsidR="009C1ABC" w:rsidRPr="00AC7F5A" w14:paraId="68648D09" w14:textId="77777777" w:rsidTr="009C1ABC">
        <w:trPr>
          <w:trHeight w:val="600"/>
        </w:trPr>
        <w:tc>
          <w:tcPr>
            <w:tcW w:w="1080" w:type="dxa"/>
            <w:tcBorders>
              <w:top w:val="single" w:sz="4" w:space="0" w:color="auto"/>
              <w:bottom w:val="single" w:sz="4" w:space="0" w:color="auto"/>
            </w:tcBorders>
            <w:shd w:val="clear" w:color="auto" w:fill="E8E8E8"/>
            <w:vAlign w:val="center"/>
            <w:hideMark/>
          </w:tcPr>
          <w:p w14:paraId="228A782A" w14:textId="77777777"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sidRPr="00F522BE">
              <w:rPr>
                <w:rFonts w:eastAsia="Times New Roman" w:cstheme="minorHAnsi"/>
                <w:b/>
                <w:bCs/>
                <w:color w:val="000000"/>
                <w:kern w:val="0"/>
                <w:sz w:val="24"/>
                <w:szCs w:val="24"/>
                <w:lang w:eastAsia="en-GB"/>
                <w14:ligatures w14:val="none"/>
              </w:rPr>
              <w:t>System</w:t>
            </w:r>
          </w:p>
        </w:tc>
        <w:tc>
          <w:tcPr>
            <w:tcW w:w="2640" w:type="dxa"/>
            <w:tcBorders>
              <w:top w:val="single" w:sz="4" w:space="0" w:color="auto"/>
              <w:bottom w:val="single" w:sz="4" w:space="0" w:color="auto"/>
            </w:tcBorders>
            <w:shd w:val="clear" w:color="auto" w:fill="E8E8E8"/>
            <w:vAlign w:val="center"/>
            <w:hideMark/>
          </w:tcPr>
          <w:p w14:paraId="3530B5FB" w14:textId="77777777"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sidRPr="00F522BE">
              <w:rPr>
                <w:rFonts w:eastAsia="Times New Roman" w:cstheme="minorHAnsi"/>
                <w:b/>
                <w:bCs/>
                <w:color w:val="000000"/>
                <w:kern w:val="0"/>
                <w:sz w:val="24"/>
                <w:szCs w:val="24"/>
                <w:lang w:eastAsia="en-GB"/>
                <w14:ligatures w14:val="none"/>
              </w:rPr>
              <w:t>Indicator</w:t>
            </w:r>
          </w:p>
        </w:tc>
        <w:tc>
          <w:tcPr>
            <w:tcW w:w="2020" w:type="dxa"/>
            <w:tcBorders>
              <w:top w:val="single" w:sz="4" w:space="0" w:color="auto"/>
              <w:bottom w:val="single" w:sz="4" w:space="0" w:color="auto"/>
            </w:tcBorders>
            <w:shd w:val="clear" w:color="auto" w:fill="E8E8E8"/>
            <w:vAlign w:val="center"/>
            <w:hideMark/>
          </w:tcPr>
          <w:p w14:paraId="28C2260B" w14:textId="23D6C8FC" w:rsidR="009C1ABC" w:rsidRPr="00F522BE" w:rsidRDefault="009C1ABC" w:rsidP="3F94A7BC">
            <w:pPr>
              <w:spacing w:after="0" w:line="240" w:lineRule="auto"/>
              <w:jc w:val="center"/>
              <w:rPr>
                <w:rFonts w:eastAsia="Times New Roman"/>
                <w:b/>
                <w:bCs/>
                <w:color w:val="000000"/>
                <w:kern w:val="0"/>
                <w:sz w:val="24"/>
                <w:szCs w:val="24"/>
                <w:lang w:eastAsia="en-GB"/>
                <w14:ligatures w14:val="none"/>
              </w:rPr>
            </w:pPr>
            <w:r w:rsidRPr="3F94A7BC">
              <w:rPr>
                <w:rFonts w:eastAsia="Times New Roman"/>
                <w:b/>
                <w:bCs/>
                <w:color w:val="000000"/>
                <w:kern w:val="0"/>
                <w:sz w:val="24"/>
                <w:szCs w:val="24"/>
                <w:lang w:eastAsia="en-GB"/>
                <w14:ligatures w14:val="none"/>
              </w:rPr>
              <w:t xml:space="preserve">Mean Daily </w:t>
            </w:r>
            <w:r w:rsidR="006E786B">
              <w:rPr>
                <w:rFonts w:eastAsia="Times New Roman"/>
                <w:b/>
                <w:bCs/>
                <w:color w:val="000000"/>
                <w:kern w:val="0"/>
                <w:sz w:val="24"/>
                <w:szCs w:val="24"/>
                <w:lang w:eastAsia="en-GB"/>
                <w14:ligatures w14:val="none"/>
              </w:rPr>
              <w:t>Indicators</w:t>
            </w:r>
          </w:p>
        </w:tc>
        <w:tc>
          <w:tcPr>
            <w:tcW w:w="1701" w:type="dxa"/>
            <w:tcBorders>
              <w:top w:val="single" w:sz="4" w:space="0" w:color="auto"/>
              <w:bottom w:val="single" w:sz="4" w:space="0" w:color="auto"/>
            </w:tcBorders>
            <w:shd w:val="clear" w:color="auto" w:fill="E8E8E8"/>
            <w:vAlign w:val="center"/>
            <w:hideMark/>
          </w:tcPr>
          <w:p w14:paraId="658DB61A" w14:textId="77777777"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sidRPr="00F522BE">
              <w:rPr>
                <w:rFonts w:eastAsia="Times New Roman" w:cstheme="minorHAnsi"/>
                <w:b/>
                <w:bCs/>
                <w:color w:val="000000"/>
                <w:kern w:val="0"/>
                <w:sz w:val="24"/>
                <w:szCs w:val="24"/>
                <w:lang w:eastAsia="en-GB"/>
                <w14:ligatures w14:val="none"/>
              </w:rPr>
              <w:t>Stratified</w:t>
            </w:r>
          </w:p>
          <w:p w14:paraId="3B23D30E" w14:textId="1FC86314"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sidRPr="00F522BE">
              <w:rPr>
                <w:rFonts w:eastAsia="Times New Roman" w:cstheme="minorHAnsi"/>
                <w:b/>
                <w:bCs/>
                <w:color w:val="000000"/>
                <w:kern w:val="0"/>
                <w:sz w:val="24"/>
                <w:szCs w:val="24"/>
                <w:lang w:eastAsia="en-GB"/>
                <w14:ligatures w14:val="none"/>
              </w:rPr>
              <w:t xml:space="preserve"> by Age (Y/N)</w:t>
            </w:r>
          </w:p>
        </w:tc>
      </w:tr>
      <w:tr w:rsidR="009C1ABC" w:rsidRPr="00AC7F5A" w14:paraId="7C95E9B7" w14:textId="77777777" w:rsidTr="009C1ABC">
        <w:trPr>
          <w:trHeight w:val="285"/>
        </w:trPr>
        <w:tc>
          <w:tcPr>
            <w:tcW w:w="1080" w:type="dxa"/>
            <w:tcBorders>
              <w:top w:val="single" w:sz="4" w:space="0" w:color="auto"/>
              <w:bottom w:val="single" w:sz="4" w:space="0" w:color="auto"/>
            </w:tcBorders>
            <w:vAlign w:val="center"/>
            <w:hideMark/>
          </w:tcPr>
          <w:p w14:paraId="74838103" w14:textId="3337CA27"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Pr>
                <w:rFonts w:eastAsia="Times New Roman" w:cstheme="minorHAnsi"/>
                <w:b/>
                <w:bCs/>
                <w:color w:val="000000"/>
                <w:kern w:val="0"/>
                <w:sz w:val="24"/>
                <w:szCs w:val="24"/>
                <w:lang w:eastAsia="en-GB"/>
                <w14:ligatures w14:val="none"/>
              </w:rPr>
              <w:t>NHS111</w:t>
            </w:r>
          </w:p>
        </w:tc>
        <w:tc>
          <w:tcPr>
            <w:tcW w:w="2640" w:type="dxa"/>
            <w:tcBorders>
              <w:top w:val="single" w:sz="4" w:space="0" w:color="auto"/>
            </w:tcBorders>
            <w:vAlign w:val="center"/>
            <w:hideMark/>
          </w:tcPr>
          <w:p w14:paraId="47E7B4E0" w14:textId="182BBE75" w:rsidR="009C1ABC"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Total Calls</w:t>
            </w:r>
          </w:p>
          <w:p w14:paraId="73F93BC2" w14:textId="74C1BFCB"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Mental Health Problems</w:t>
            </w:r>
          </w:p>
        </w:tc>
        <w:tc>
          <w:tcPr>
            <w:tcW w:w="2020" w:type="dxa"/>
            <w:tcBorders>
              <w:top w:val="single" w:sz="4" w:space="0" w:color="auto"/>
            </w:tcBorders>
            <w:vAlign w:val="center"/>
            <w:hideMark/>
          </w:tcPr>
          <w:p w14:paraId="7A90C036" w14:textId="53C007AD"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43022</w:t>
            </w:r>
          </w:p>
          <w:p w14:paraId="3B76826E" w14:textId="613648B9"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539</w:t>
            </w:r>
          </w:p>
        </w:tc>
        <w:tc>
          <w:tcPr>
            <w:tcW w:w="1701" w:type="dxa"/>
            <w:tcBorders>
              <w:top w:val="single" w:sz="4" w:space="0" w:color="auto"/>
            </w:tcBorders>
            <w:vAlign w:val="center"/>
            <w:hideMark/>
          </w:tcPr>
          <w:p w14:paraId="7C072249" w14:textId="38BB361E"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w:t>
            </w:r>
          </w:p>
          <w:p w14:paraId="2E793FEB" w14:textId="08F3621A" w:rsidR="009C1ABC" w:rsidRPr="005833BC" w:rsidRDefault="009C1ABC" w:rsidP="00EC0D19">
            <w:pPr>
              <w:spacing w:after="0" w:line="240" w:lineRule="auto"/>
              <w:jc w:val="center"/>
              <w:rPr>
                <w:rFonts w:eastAsia="Times New Roman" w:cstheme="minorHAnsi"/>
                <w:color w:val="000000"/>
                <w:kern w:val="0"/>
                <w:sz w:val="24"/>
                <w:szCs w:val="24"/>
                <w:lang w:eastAsia="en-GB"/>
                <w14:ligatures w14:val="none"/>
              </w:rPr>
            </w:pPr>
            <w:r w:rsidRPr="005833BC">
              <w:rPr>
                <w:rFonts w:eastAsia="Times New Roman" w:cstheme="minorHAnsi"/>
                <w:color w:val="000000"/>
                <w:kern w:val="0"/>
                <w:sz w:val="24"/>
                <w:szCs w:val="24"/>
                <w:lang w:eastAsia="en-GB"/>
                <w14:ligatures w14:val="none"/>
              </w:rPr>
              <w:t>Y</w:t>
            </w:r>
          </w:p>
        </w:tc>
      </w:tr>
      <w:tr w:rsidR="009C1ABC" w:rsidRPr="00AC7F5A" w14:paraId="4436629C" w14:textId="77777777" w:rsidTr="009C1ABC">
        <w:trPr>
          <w:trHeight w:val="285"/>
        </w:trPr>
        <w:tc>
          <w:tcPr>
            <w:tcW w:w="1080" w:type="dxa"/>
            <w:vMerge w:val="restart"/>
            <w:tcBorders>
              <w:top w:val="single" w:sz="4" w:space="0" w:color="auto"/>
              <w:bottom w:val="single" w:sz="4" w:space="0" w:color="auto"/>
            </w:tcBorders>
            <w:vAlign w:val="center"/>
            <w:hideMark/>
          </w:tcPr>
          <w:p w14:paraId="6D91D270" w14:textId="7C6BA030"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sidRPr="00F522BE">
              <w:rPr>
                <w:rFonts w:eastAsia="Times New Roman" w:cstheme="minorHAnsi"/>
                <w:b/>
                <w:bCs/>
                <w:color w:val="000000"/>
                <w:kern w:val="0"/>
                <w:sz w:val="24"/>
                <w:szCs w:val="24"/>
                <w:lang w:eastAsia="en-GB"/>
                <w14:ligatures w14:val="none"/>
              </w:rPr>
              <w:t>GPOOH</w:t>
            </w:r>
          </w:p>
        </w:tc>
        <w:tc>
          <w:tcPr>
            <w:tcW w:w="2640" w:type="dxa"/>
            <w:tcBorders>
              <w:top w:val="single" w:sz="4" w:space="0" w:color="auto"/>
            </w:tcBorders>
            <w:vAlign w:val="center"/>
            <w:hideMark/>
          </w:tcPr>
          <w:p w14:paraId="13840B5B" w14:textId="7F428587"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Total Consultations</w:t>
            </w:r>
          </w:p>
          <w:p w14:paraId="0E4306C1" w14:textId="1A6AEFF3"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All Mental Health</w:t>
            </w:r>
          </w:p>
        </w:tc>
        <w:tc>
          <w:tcPr>
            <w:tcW w:w="2020" w:type="dxa"/>
            <w:tcBorders>
              <w:top w:val="single" w:sz="4" w:space="0" w:color="auto"/>
            </w:tcBorders>
            <w:vAlign w:val="center"/>
            <w:hideMark/>
          </w:tcPr>
          <w:p w14:paraId="282DB503" w14:textId="539725AF"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25900</w:t>
            </w:r>
          </w:p>
          <w:p w14:paraId="3C66DB87" w14:textId="360991DE"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118</w:t>
            </w:r>
          </w:p>
        </w:tc>
        <w:tc>
          <w:tcPr>
            <w:tcW w:w="1701" w:type="dxa"/>
            <w:tcBorders>
              <w:top w:val="single" w:sz="4" w:space="0" w:color="auto"/>
            </w:tcBorders>
            <w:vAlign w:val="center"/>
            <w:hideMark/>
          </w:tcPr>
          <w:p w14:paraId="1B4283F9" w14:textId="61CD977C"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w:t>
            </w:r>
          </w:p>
          <w:p w14:paraId="41B47D44" w14:textId="688D9964" w:rsidR="009C1ABC" w:rsidRPr="005833BC" w:rsidRDefault="009C1ABC" w:rsidP="00EC0D19">
            <w:pPr>
              <w:spacing w:after="0" w:line="240" w:lineRule="auto"/>
              <w:jc w:val="center"/>
              <w:rPr>
                <w:rFonts w:eastAsia="Times New Roman" w:cstheme="minorHAnsi"/>
                <w:color w:val="000000"/>
                <w:kern w:val="0"/>
                <w:sz w:val="24"/>
                <w:szCs w:val="24"/>
                <w:lang w:eastAsia="en-GB"/>
                <w14:ligatures w14:val="none"/>
              </w:rPr>
            </w:pPr>
            <w:r w:rsidRPr="005833BC">
              <w:rPr>
                <w:rFonts w:eastAsia="Times New Roman" w:cstheme="minorHAnsi"/>
                <w:color w:val="000000"/>
                <w:kern w:val="0"/>
                <w:sz w:val="24"/>
                <w:szCs w:val="24"/>
                <w:lang w:eastAsia="en-GB"/>
                <w14:ligatures w14:val="none"/>
              </w:rPr>
              <w:t>Y</w:t>
            </w:r>
          </w:p>
        </w:tc>
      </w:tr>
      <w:tr w:rsidR="009C1ABC" w:rsidRPr="00AC7F5A" w14:paraId="0B59BB8F" w14:textId="77777777" w:rsidTr="009C1ABC">
        <w:trPr>
          <w:trHeight w:val="285"/>
        </w:trPr>
        <w:tc>
          <w:tcPr>
            <w:tcW w:w="1080" w:type="dxa"/>
            <w:vMerge/>
            <w:vAlign w:val="center"/>
            <w:hideMark/>
          </w:tcPr>
          <w:p w14:paraId="7571CA65" w14:textId="77777777" w:rsidR="009C1ABC" w:rsidRPr="00F522BE" w:rsidRDefault="009C1ABC" w:rsidP="00EC0D19">
            <w:pPr>
              <w:spacing w:after="0" w:line="240" w:lineRule="auto"/>
              <w:rPr>
                <w:rFonts w:eastAsia="Times New Roman" w:cstheme="minorHAnsi"/>
                <w:b/>
                <w:bCs/>
                <w:color w:val="000000"/>
                <w:kern w:val="0"/>
                <w:sz w:val="24"/>
                <w:szCs w:val="24"/>
                <w:lang w:eastAsia="en-GB"/>
                <w14:ligatures w14:val="none"/>
              </w:rPr>
            </w:pPr>
          </w:p>
        </w:tc>
        <w:tc>
          <w:tcPr>
            <w:tcW w:w="2640" w:type="dxa"/>
            <w:vAlign w:val="center"/>
            <w:hideMark/>
          </w:tcPr>
          <w:p w14:paraId="296E68B9" w14:textId="77777777" w:rsidR="009C1ABC" w:rsidRPr="00207528" w:rsidRDefault="009C1ABC" w:rsidP="00EC0D19">
            <w:pPr>
              <w:spacing w:after="0" w:line="240" w:lineRule="auto"/>
              <w:jc w:val="center"/>
              <w:rPr>
                <w:rFonts w:eastAsia="Times New Roman" w:cstheme="minorHAnsi"/>
                <w:kern w:val="0"/>
                <w:sz w:val="24"/>
                <w:szCs w:val="24"/>
                <w:lang w:eastAsia="en-GB"/>
                <w14:ligatures w14:val="none"/>
              </w:rPr>
            </w:pPr>
            <w:r w:rsidRPr="00207528">
              <w:rPr>
                <w:rFonts w:eastAsia="Times New Roman" w:cstheme="minorHAnsi"/>
                <w:kern w:val="0"/>
                <w:sz w:val="24"/>
                <w:szCs w:val="24"/>
                <w:lang w:eastAsia="en-GB"/>
                <w14:ligatures w14:val="none"/>
              </w:rPr>
              <w:t>Anxiety</w:t>
            </w:r>
          </w:p>
        </w:tc>
        <w:tc>
          <w:tcPr>
            <w:tcW w:w="2020" w:type="dxa"/>
            <w:vAlign w:val="center"/>
            <w:hideMark/>
          </w:tcPr>
          <w:p w14:paraId="0BB44791" w14:textId="77777777" w:rsidR="009C1ABC" w:rsidRPr="00207528" w:rsidRDefault="009C1ABC" w:rsidP="00EC0D19">
            <w:pPr>
              <w:spacing w:after="0" w:line="240" w:lineRule="auto"/>
              <w:jc w:val="center"/>
              <w:rPr>
                <w:rFonts w:eastAsia="Times New Roman" w:cstheme="minorHAnsi"/>
                <w:kern w:val="0"/>
                <w:sz w:val="24"/>
                <w:szCs w:val="24"/>
                <w:lang w:eastAsia="en-GB"/>
                <w14:ligatures w14:val="none"/>
              </w:rPr>
            </w:pPr>
            <w:r w:rsidRPr="00207528">
              <w:rPr>
                <w:rFonts w:eastAsia="Times New Roman" w:cstheme="minorHAnsi"/>
                <w:kern w:val="0"/>
                <w:sz w:val="24"/>
                <w:szCs w:val="24"/>
                <w:lang w:eastAsia="en-GB"/>
                <w14:ligatures w14:val="none"/>
              </w:rPr>
              <w:t>64</w:t>
            </w:r>
          </w:p>
        </w:tc>
        <w:tc>
          <w:tcPr>
            <w:tcW w:w="1701" w:type="dxa"/>
            <w:vAlign w:val="center"/>
            <w:hideMark/>
          </w:tcPr>
          <w:p w14:paraId="3936EE1E" w14:textId="2F02E56C" w:rsidR="009C1ABC" w:rsidRPr="005833BC" w:rsidRDefault="009C1ABC" w:rsidP="00EC0D19">
            <w:pPr>
              <w:spacing w:after="0" w:line="240" w:lineRule="auto"/>
              <w:jc w:val="center"/>
              <w:rPr>
                <w:rFonts w:eastAsia="Times New Roman" w:cstheme="minorHAnsi"/>
                <w:kern w:val="0"/>
                <w:sz w:val="24"/>
                <w:szCs w:val="24"/>
                <w:lang w:eastAsia="en-GB"/>
                <w14:ligatures w14:val="none"/>
              </w:rPr>
            </w:pPr>
            <w:r w:rsidRPr="005833BC">
              <w:rPr>
                <w:rFonts w:eastAsia="Times New Roman" w:cstheme="minorHAnsi"/>
                <w:kern w:val="0"/>
                <w:sz w:val="24"/>
                <w:szCs w:val="24"/>
                <w:lang w:eastAsia="en-GB"/>
                <w14:ligatures w14:val="none"/>
              </w:rPr>
              <w:t>N</w:t>
            </w:r>
          </w:p>
        </w:tc>
      </w:tr>
      <w:tr w:rsidR="009C1ABC" w:rsidRPr="00AC7F5A" w14:paraId="2244656B" w14:textId="77777777" w:rsidTr="009C1ABC">
        <w:trPr>
          <w:trHeight w:val="285"/>
        </w:trPr>
        <w:tc>
          <w:tcPr>
            <w:tcW w:w="1080" w:type="dxa"/>
            <w:vMerge/>
            <w:vAlign w:val="center"/>
            <w:hideMark/>
          </w:tcPr>
          <w:p w14:paraId="3DC754EA" w14:textId="77777777" w:rsidR="009C1ABC" w:rsidRPr="00F522BE" w:rsidRDefault="009C1ABC" w:rsidP="00EC0D19">
            <w:pPr>
              <w:spacing w:after="0" w:line="240" w:lineRule="auto"/>
              <w:rPr>
                <w:rFonts w:eastAsia="Times New Roman" w:cstheme="minorHAnsi"/>
                <w:b/>
                <w:bCs/>
                <w:color w:val="000000"/>
                <w:kern w:val="0"/>
                <w:sz w:val="24"/>
                <w:szCs w:val="24"/>
                <w:lang w:eastAsia="en-GB"/>
                <w14:ligatures w14:val="none"/>
              </w:rPr>
            </w:pPr>
          </w:p>
        </w:tc>
        <w:tc>
          <w:tcPr>
            <w:tcW w:w="2640" w:type="dxa"/>
            <w:vAlign w:val="center"/>
            <w:hideMark/>
          </w:tcPr>
          <w:p w14:paraId="23116F26" w14:textId="77777777" w:rsidR="009C1ABC" w:rsidRPr="00207528" w:rsidRDefault="009C1ABC" w:rsidP="00EC0D19">
            <w:pPr>
              <w:spacing w:after="0" w:line="240" w:lineRule="auto"/>
              <w:jc w:val="center"/>
              <w:rPr>
                <w:rFonts w:eastAsia="Times New Roman" w:cstheme="minorHAnsi"/>
                <w:kern w:val="0"/>
                <w:sz w:val="24"/>
                <w:szCs w:val="24"/>
                <w:lang w:eastAsia="en-GB"/>
                <w14:ligatures w14:val="none"/>
              </w:rPr>
            </w:pPr>
            <w:r w:rsidRPr="00207528">
              <w:rPr>
                <w:rFonts w:eastAsia="Times New Roman" w:cstheme="minorHAnsi"/>
                <w:kern w:val="0"/>
                <w:sz w:val="24"/>
                <w:szCs w:val="24"/>
                <w:lang w:eastAsia="en-GB"/>
                <w14:ligatures w14:val="none"/>
              </w:rPr>
              <w:t>Depression</w:t>
            </w:r>
          </w:p>
        </w:tc>
        <w:tc>
          <w:tcPr>
            <w:tcW w:w="2020" w:type="dxa"/>
            <w:vAlign w:val="center"/>
            <w:hideMark/>
          </w:tcPr>
          <w:p w14:paraId="6EE1CBFC" w14:textId="77777777" w:rsidR="009C1ABC" w:rsidRPr="00207528" w:rsidRDefault="009C1ABC" w:rsidP="00EC0D19">
            <w:pPr>
              <w:spacing w:after="0" w:line="240" w:lineRule="auto"/>
              <w:jc w:val="center"/>
              <w:rPr>
                <w:rFonts w:eastAsia="Times New Roman" w:cstheme="minorHAnsi"/>
                <w:kern w:val="0"/>
                <w:sz w:val="24"/>
                <w:szCs w:val="24"/>
                <w:lang w:eastAsia="en-GB"/>
                <w14:ligatures w14:val="none"/>
              </w:rPr>
            </w:pPr>
            <w:r w:rsidRPr="00207528">
              <w:rPr>
                <w:rFonts w:eastAsia="Times New Roman" w:cstheme="minorHAnsi"/>
                <w:kern w:val="0"/>
                <w:sz w:val="24"/>
                <w:szCs w:val="24"/>
                <w:lang w:eastAsia="en-GB"/>
                <w14:ligatures w14:val="none"/>
              </w:rPr>
              <w:t>20</w:t>
            </w:r>
          </w:p>
        </w:tc>
        <w:tc>
          <w:tcPr>
            <w:tcW w:w="1701" w:type="dxa"/>
            <w:vAlign w:val="center"/>
            <w:hideMark/>
          </w:tcPr>
          <w:p w14:paraId="7F4F5A33" w14:textId="77777777" w:rsidR="009C1ABC" w:rsidRPr="005833BC" w:rsidRDefault="009C1ABC" w:rsidP="00EC0D19">
            <w:pPr>
              <w:spacing w:after="0" w:line="240" w:lineRule="auto"/>
              <w:jc w:val="center"/>
              <w:rPr>
                <w:rFonts w:eastAsia="Times New Roman" w:cstheme="minorHAnsi"/>
                <w:kern w:val="0"/>
                <w:sz w:val="24"/>
                <w:szCs w:val="24"/>
                <w:lang w:eastAsia="en-GB"/>
                <w14:ligatures w14:val="none"/>
              </w:rPr>
            </w:pPr>
            <w:r w:rsidRPr="005833BC">
              <w:rPr>
                <w:rFonts w:eastAsia="Times New Roman" w:cstheme="minorHAnsi"/>
                <w:kern w:val="0"/>
                <w:sz w:val="24"/>
                <w:szCs w:val="24"/>
                <w:lang w:eastAsia="en-GB"/>
                <w14:ligatures w14:val="none"/>
              </w:rPr>
              <w:t>N</w:t>
            </w:r>
          </w:p>
        </w:tc>
      </w:tr>
      <w:tr w:rsidR="009C1ABC" w:rsidRPr="00AC7F5A" w14:paraId="2ABAF95F" w14:textId="77777777" w:rsidTr="009C1ABC">
        <w:trPr>
          <w:trHeight w:val="285"/>
        </w:trPr>
        <w:tc>
          <w:tcPr>
            <w:tcW w:w="1080" w:type="dxa"/>
            <w:tcBorders>
              <w:top w:val="single" w:sz="4" w:space="0" w:color="auto"/>
              <w:bottom w:val="single" w:sz="4" w:space="0" w:color="auto"/>
            </w:tcBorders>
            <w:vAlign w:val="center"/>
            <w:hideMark/>
          </w:tcPr>
          <w:p w14:paraId="58DC4A26" w14:textId="5BBA6418"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sidRPr="00F522BE">
              <w:rPr>
                <w:rFonts w:eastAsia="Times New Roman" w:cstheme="minorHAnsi"/>
                <w:b/>
                <w:bCs/>
                <w:color w:val="000000"/>
                <w:kern w:val="0"/>
                <w:sz w:val="24"/>
                <w:szCs w:val="24"/>
                <w:lang w:eastAsia="en-GB"/>
                <w14:ligatures w14:val="none"/>
              </w:rPr>
              <w:t>EDSSS</w:t>
            </w:r>
          </w:p>
        </w:tc>
        <w:tc>
          <w:tcPr>
            <w:tcW w:w="2640" w:type="dxa"/>
            <w:tcBorders>
              <w:top w:val="single" w:sz="4" w:space="0" w:color="auto"/>
            </w:tcBorders>
            <w:vAlign w:val="center"/>
            <w:hideMark/>
          </w:tcPr>
          <w:p w14:paraId="5E4F9E8E" w14:textId="5DADC43B"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Total Attendances</w:t>
            </w:r>
          </w:p>
          <w:p w14:paraId="16158061" w14:textId="27395A72"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All Mental Health</w:t>
            </w:r>
          </w:p>
        </w:tc>
        <w:tc>
          <w:tcPr>
            <w:tcW w:w="2020" w:type="dxa"/>
            <w:tcBorders>
              <w:top w:val="single" w:sz="4" w:space="0" w:color="auto"/>
            </w:tcBorders>
            <w:vAlign w:val="center"/>
            <w:hideMark/>
          </w:tcPr>
          <w:p w14:paraId="40585DF6" w14:textId="1BBD31F7"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22385</w:t>
            </w:r>
          </w:p>
          <w:p w14:paraId="51EAC448" w14:textId="6E4DF90D"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441</w:t>
            </w:r>
          </w:p>
        </w:tc>
        <w:tc>
          <w:tcPr>
            <w:tcW w:w="1701" w:type="dxa"/>
            <w:tcBorders>
              <w:top w:val="single" w:sz="4" w:space="0" w:color="auto"/>
            </w:tcBorders>
            <w:vAlign w:val="center"/>
            <w:hideMark/>
          </w:tcPr>
          <w:p w14:paraId="650608E2" w14:textId="338FBC90" w:rsidR="00C7183E" w:rsidRDefault="00C7183E"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w:t>
            </w:r>
          </w:p>
          <w:p w14:paraId="3F2287A7" w14:textId="44329EE1" w:rsidR="009C1ABC" w:rsidRPr="005833BC" w:rsidRDefault="009C1ABC" w:rsidP="00EC0D19">
            <w:pPr>
              <w:spacing w:after="0" w:line="240" w:lineRule="auto"/>
              <w:jc w:val="center"/>
              <w:rPr>
                <w:rFonts w:eastAsia="Times New Roman" w:cstheme="minorHAnsi"/>
                <w:color w:val="000000"/>
                <w:kern w:val="0"/>
                <w:sz w:val="24"/>
                <w:szCs w:val="24"/>
                <w:lang w:eastAsia="en-GB"/>
                <w14:ligatures w14:val="none"/>
              </w:rPr>
            </w:pPr>
            <w:r w:rsidRPr="005833BC">
              <w:rPr>
                <w:rFonts w:eastAsia="Times New Roman" w:cstheme="minorHAnsi"/>
                <w:color w:val="000000"/>
                <w:kern w:val="0"/>
                <w:sz w:val="24"/>
                <w:szCs w:val="24"/>
                <w:lang w:eastAsia="en-GB"/>
                <w14:ligatures w14:val="none"/>
              </w:rPr>
              <w:t>Y</w:t>
            </w:r>
          </w:p>
        </w:tc>
      </w:tr>
      <w:tr w:rsidR="009C1ABC" w:rsidRPr="00AC7F5A" w14:paraId="0A8AC3E5" w14:textId="77777777" w:rsidTr="009C1ABC">
        <w:trPr>
          <w:trHeight w:val="285"/>
        </w:trPr>
        <w:tc>
          <w:tcPr>
            <w:tcW w:w="1080" w:type="dxa"/>
            <w:vMerge w:val="restart"/>
            <w:tcBorders>
              <w:top w:val="single" w:sz="4" w:space="0" w:color="auto"/>
            </w:tcBorders>
            <w:vAlign w:val="center"/>
            <w:hideMark/>
          </w:tcPr>
          <w:p w14:paraId="057F5B13" w14:textId="189ED4E0" w:rsidR="009C1ABC" w:rsidRPr="00F522BE" w:rsidRDefault="009C1ABC" w:rsidP="00EC0D19">
            <w:pPr>
              <w:spacing w:after="0" w:line="240" w:lineRule="auto"/>
              <w:jc w:val="center"/>
              <w:rPr>
                <w:rFonts w:eastAsia="Times New Roman" w:cstheme="minorHAnsi"/>
                <w:b/>
                <w:bCs/>
                <w:color w:val="000000"/>
                <w:kern w:val="0"/>
                <w:sz w:val="24"/>
                <w:szCs w:val="24"/>
                <w:lang w:eastAsia="en-GB"/>
                <w14:ligatures w14:val="none"/>
              </w:rPr>
            </w:pPr>
            <w:r w:rsidRPr="00F522BE">
              <w:rPr>
                <w:rFonts w:eastAsia="Times New Roman" w:cstheme="minorHAnsi"/>
                <w:b/>
                <w:bCs/>
                <w:color w:val="000000"/>
                <w:kern w:val="0"/>
                <w:sz w:val="24"/>
                <w:szCs w:val="24"/>
                <w:lang w:eastAsia="en-GB"/>
                <w14:ligatures w14:val="none"/>
              </w:rPr>
              <w:t>GPIH</w:t>
            </w:r>
          </w:p>
        </w:tc>
        <w:tc>
          <w:tcPr>
            <w:tcW w:w="2640" w:type="dxa"/>
            <w:tcBorders>
              <w:top w:val="single" w:sz="4" w:space="0" w:color="auto"/>
            </w:tcBorders>
            <w:vAlign w:val="center"/>
            <w:hideMark/>
          </w:tcPr>
          <w:p w14:paraId="6B3E0894" w14:textId="4F16BB96" w:rsidR="002F45F2" w:rsidRDefault="002F45F2"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Total Consultations</w:t>
            </w:r>
          </w:p>
          <w:p w14:paraId="01D5AC64" w14:textId="067C57B9"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All Mental Health</w:t>
            </w:r>
          </w:p>
        </w:tc>
        <w:tc>
          <w:tcPr>
            <w:tcW w:w="2020" w:type="dxa"/>
            <w:tcBorders>
              <w:top w:val="single" w:sz="4" w:space="0" w:color="auto"/>
            </w:tcBorders>
            <w:vAlign w:val="center"/>
            <w:hideMark/>
          </w:tcPr>
          <w:p w14:paraId="1D8DCBB0" w14:textId="5D41BBE4" w:rsidR="002F45F2" w:rsidRDefault="002F45F2"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p w14:paraId="7D432C8D" w14:textId="36275251"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622</w:t>
            </w:r>
          </w:p>
        </w:tc>
        <w:tc>
          <w:tcPr>
            <w:tcW w:w="1701" w:type="dxa"/>
            <w:tcBorders>
              <w:top w:val="single" w:sz="4" w:space="0" w:color="auto"/>
            </w:tcBorders>
            <w:vAlign w:val="center"/>
            <w:hideMark/>
          </w:tcPr>
          <w:p w14:paraId="3BBCCA70" w14:textId="44636C43" w:rsidR="002F45F2" w:rsidRDefault="002F45F2" w:rsidP="00EC0D19">
            <w:pPr>
              <w:spacing w:after="0" w:line="240" w:lineRule="auto"/>
              <w:jc w:val="center"/>
              <w:rPr>
                <w:rFonts w:eastAsia="Times New Roman" w:cstheme="minorHAnsi"/>
                <w:color w:val="000000"/>
                <w:kern w:val="0"/>
                <w:sz w:val="24"/>
                <w:szCs w:val="24"/>
                <w:lang w:eastAsia="en-GB"/>
                <w14:ligatures w14:val="none"/>
              </w:rPr>
            </w:pPr>
            <w:r>
              <w:rPr>
                <w:rFonts w:eastAsia="Times New Roman" w:cstheme="minorHAnsi"/>
                <w:color w:val="000000"/>
                <w:kern w:val="0"/>
                <w:sz w:val="24"/>
                <w:szCs w:val="24"/>
                <w:lang w:eastAsia="en-GB"/>
                <w14:ligatures w14:val="none"/>
              </w:rPr>
              <w:t>N/A</w:t>
            </w:r>
          </w:p>
          <w:p w14:paraId="29F080D2" w14:textId="3DD1FBFC" w:rsidR="009C1ABC" w:rsidRPr="005833BC" w:rsidRDefault="009C1ABC" w:rsidP="00EC0D19">
            <w:pPr>
              <w:spacing w:after="0" w:line="240" w:lineRule="auto"/>
              <w:jc w:val="center"/>
              <w:rPr>
                <w:rFonts w:eastAsia="Times New Roman" w:cstheme="minorHAnsi"/>
                <w:color w:val="000000"/>
                <w:kern w:val="0"/>
                <w:sz w:val="24"/>
                <w:szCs w:val="24"/>
                <w:lang w:eastAsia="en-GB"/>
                <w14:ligatures w14:val="none"/>
              </w:rPr>
            </w:pPr>
            <w:r w:rsidRPr="005833BC">
              <w:rPr>
                <w:rFonts w:eastAsia="Times New Roman" w:cstheme="minorHAnsi"/>
                <w:color w:val="000000"/>
                <w:kern w:val="0"/>
                <w:sz w:val="24"/>
                <w:szCs w:val="24"/>
                <w:lang w:eastAsia="en-GB"/>
                <w14:ligatures w14:val="none"/>
              </w:rPr>
              <w:t>Y</w:t>
            </w:r>
          </w:p>
        </w:tc>
      </w:tr>
      <w:tr w:rsidR="009C1ABC" w:rsidRPr="00AC7F5A" w14:paraId="4952E4B8" w14:textId="77777777" w:rsidTr="009C1ABC">
        <w:trPr>
          <w:trHeight w:val="285"/>
        </w:trPr>
        <w:tc>
          <w:tcPr>
            <w:tcW w:w="1080" w:type="dxa"/>
            <w:vMerge/>
            <w:tcBorders>
              <w:top w:val="single" w:sz="4" w:space="0" w:color="auto"/>
            </w:tcBorders>
            <w:vAlign w:val="center"/>
            <w:hideMark/>
          </w:tcPr>
          <w:p w14:paraId="282B3598" w14:textId="77777777" w:rsidR="009C1ABC" w:rsidRPr="00F522BE" w:rsidRDefault="009C1ABC" w:rsidP="00EC0D19">
            <w:pPr>
              <w:spacing w:after="0" w:line="240" w:lineRule="auto"/>
              <w:rPr>
                <w:rFonts w:eastAsia="Times New Roman" w:cstheme="minorHAnsi"/>
                <w:b/>
                <w:bCs/>
                <w:color w:val="000000"/>
                <w:kern w:val="0"/>
                <w:sz w:val="24"/>
                <w:szCs w:val="24"/>
                <w:lang w:eastAsia="en-GB"/>
                <w14:ligatures w14:val="none"/>
              </w:rPr>
            </w:pPr>
          </w:p>
        </w:tc>
        <w:tc>
          <w:tcPr>
            <w:tcW w:w="2640" w:type="dxa"/>
            <w:vAlign w:val="center"/>
            <w:hideMark/>
          </w:tcPr>
          <w:p w14:paraId="1CB3C477" w14:textId="77777777"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Anxiety</w:t>
            </w:r>
          </w:p>
        </w:tc>
        <w:tc>
          <w:tcPr>
            <w:tcW w:w="2020" w:type="dxa"/>
            <w:vAlign w:val="center"/>
            <w:hideMark/>
          </w:tcPr>
          <w:p w14:paraId="3784BE35" w14:textId="77777777"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193</w:t>
            </w:r>
          </w:p>
        </w:tc>
        <w:tc>
          <w:tcPr>
            <w:tcW w:w="1701" w:type="dxa"/>
            <w:vAlign w:val="center"/>
            <w:hideMark/>
          </w:tcPr>
          <w:p w14:paraId="66579743" w14:textId="77777777"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Y</w:t>
            </w:r>
          </w:p>
        </w:tc>
      </w:tr>
      <w:tr w:rsidR="009C1ABC" w:rsidRPr="00AC7F5A" w14:paraId="416678A7" w14:textId="77777777" w:rsidTr="009C1ABC">
        <w:trPr>
          <w:trHeight w:val="285"/>
        </w:trPr>
        <w:tc>
          <w:tcPr>
            <w:tcW w:w="1080" w:type="dxa"/>
            <w:vMerge/>
            <w:tcBorders>
              <w:top w:val="single" w:sz="4" w:space="0" w:color="auto"/>
              <w:bottom w:val="single" w:sz="4" w:space="0" w:color="auto"/>
            </w:tcBorders>
            <w:vAlign w:val="center"/>
            <w:hideMark/>
          </w:tcPr>
          <w:p w14:paraId="0C1D3898" w14:textId="77777777" w:rsidR="009C1ABC" w:rsidRPr="00F522BE" w:rsidRDefault="009C1ABC" w:rsidP="00EC0D19">
            <w:pPr>
              <w:spacing w:after="0" w:line="240" w:lineRule="auto"/>
              <w:rPr>
                <w:rFonts w:eastAsia="Times New Roman" w:cstheme="minorHAnsi"/>
                <w:b/>
                <w:bCs/>
                <w:color w:val="000000"/>
                <w:kern w:val="0"/>
                <w:sz w:val="24"/>
                <w:szCs w:val="24"/>
                <w:lang w:eastAsia="en-GB"/>
                <w14:ligatures w14:val="none"/>
              </w:rPr>
            </w:pPr>
          </w:p>
        </w:tc>
        <w:tc>
          <w:tcPr>
            <w:tcW w:w="2640" w:type="dxa"/>
            <w:tcBorders>
              <w:bottom w:val="single" w:sz="4" w:space="0" w:color="auto"/>
            </w:tcBorders>
            <w:vAlign w:val="center"/>
            <w:hideMark/>
          </w:tcPr>
          <w:p w14:paraId="5810D936" w14:textId="77777777"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Depression</w:t>
            </w:r>
          </w:p>
        </w:tc>
        <w:tc>
          <w:tcPr>
            <w:tcW w:w="2020" w:type="dxa"/>
            <w:tcBorders>
              <w:bottom w:val="single" w:sz="4" w:space="0" w:color="auto"/>
            </w:tcBorders>
            <w:vAlign w:val="center"/>
            <w:hideMark/>
          </w:tcPr>
          <w:p w14:paraId="1969DD16" w14:textId="77777777"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137</w:t>
            </w:r>
          </w:p>
        </w:tc>
        <w:tc>
          <w:tcPr>
            <w:tcW w:w="1701" w:type="dxa"/>
            <w:tcBorders>
              <w:bottom w:val="single" w:sz="4" w:space="0" w:color="auto"/>
            </w:tcBorders>
            <w:vAlign w:val="center"/>
            <w:hideMark/>
          </w:tcPr>
          <w:p w14:paraId="6ABF211E" w14:textId="77777777" w:rsidR="009C1ABC" w:rsidRPr="00F522BE" w:rsidRDefault="009C1ABC" w:rsidP="00EC0D19">
            <w:pPr>
              <w:spacing w:after="0" w:line="240" w:lineRule="auto"/>
              <w:jc w:val="center"/>
              <w:rPr>
                <w:rFonts w:eastAsia="Times New Roman" w:cstheme="minorHAnsi"/>
                <w:color w:val="000000"/>
                <w:kern w:val="0"/>
                <w:sz w:val="24"/>
                <w:szCs w:val="24"/>
                <w:lang w:eastAsia="en-GB"/>
                <w14:ligatures w14:val="none"/>
              </w:rPr>
            </w:pPr>
            <w:r w:rsidRPr="00F522BE">
              <w:rPr>
                <w:rFonts w:eastAsia="Times New Roman" w:cstheme="minorHAnsi"/>
                <w:color w:val="000000"/>
                <w:kern w:val="0"/>
                <w:sz w:val="24"/>
                <w:szCs w:val="24"/>
                <w:lang w:eastAsia="en-GB"/>
                <w14:ligatures w14:val="none"/>
              </w:rPr>
              <w:t>Y</w:t>
            </w:r>
          </w:p>
        </w:tc>
      </w:tr>
    </w:tbl>
    <w:p w14:paraId="0B38859F" w14:textId="6C301361" w:rsidR="00AC7F5A" w:rsidRDefault="00E278EB" w:rsidP="00EC0D19">
      <w:pPr>
        <w:spacing w:after="0" w:line="240" w:lineRule="auto"/>
      </w:pPr>
      <w:r w:rsidRPr="00E278EB">
        <w:rPr>
          <w:b/>
          <w:bCs/>
          <w:sz w:val="20"/>
          <w:szCs w:val="20"/>
        </w:rPr>
        <w:t>Notes:</w:t>
      </w:r>
      <w:r>
        <w:rPr>
          <w:sz w:val="20"/>
          <w:szCs w:val="20"/>
        </w:rPr>
        <w:t xml:space="preserve"> </w:t>
      </w:r>
      <w:r w:rsidR="006E030D">
        <w:rPr>
          <w:sz w:val="20"/>
          <w:szCs w:val="20"/>
        </w:rPr>
        <w:t>NHS111</w:t>
      </w:r>
      <w:r w:rsidR="0022028F">
        <w:rPr>
          <w:sz w:val="20"/>
          <w:szCs w:val="20"/>
        </w:rPr>
        <w:t xml:space="preserve"> – National Health Service 111 telephone service; GPOOH – General Practitioner Out-of-Hours; EDSSS – Emergency Department Syndromic Surveillance System; Surveillance; GPIH – General Practitioner In-Hours</w:t>
      </w:r>
      <w:r w:rsidR="002F45F2">
        <w:rPr>
          <w:sz w:val="20"/>
          <w:szCs w:val="20"/>
        </w:rPr>
        <w:t>; N/A – Not Available</w:t>
      </w:r>
    </w:p>
    <w:p w14:paraId="571AE2DD" w14:textId="77777777" w:rsidR="009802B0" w:rsidRDefault="009802B0" w:rsidP="00EC0D19">
      <w:pPr>
        <w:spacing w:after="0" w:line="240" w:lineRule="auto"/>
        <w:rPr>
          <w:rFonts w:cstheme="minorHAnsi"/>
        </w:rPr>
      </w:pPr>
    </w:p>
    <w:p w14:paraId="7C033D1D" w14:textId="7F65E63B" w:rsidR="004E154D" w:rsidRPr="004423DB" w:rsidRDefault="004E154D" w:rsidP="234CBDCC">
      <w:pPr>
        <w:pStyle w:val="Heading3"/>
        <w:spacing w:before="0" w:line="240" w:lineRule="auto"/>
        <w:rPr>
          <w:rFonts w:asciiTheme="minorHAnsi" w:eastAsia="Times New Roman" w:hAnsiTheme="minorHAnsi" w:cstheme="minorHAnsi"/>
          <w:b/>
          <w:bCs/>
          <w:color w:val="auto"/>
        </w:rPr>
      </w:pPr>
      <w:r w:rsidRPr="004423DB">
        <w:rPr>
          <w:rFonts w:asciiTheme="minorHAnsi" w:hAnsiTheme="minorHAnsi" w:cstheme="minorHAnsi"/>
          <w:b/>
          <w:bCs/>
          <w:color w:val="auto"/>
          <w:sz w:val="22"/>
          <w:szCs w:val="22"/>
        </w:rPr>
        <w:t>S</w:t>
      </w:r>
      <w:r w:rsidR="00C076D4" w:rsidRPr="004423DB">
        <w:rPr>
          <w:rFonts w:asciiTheme="minorHAnsi" w:hAnsiTheme="minorHAnsi" w:cstheme="minorHAnsi"/>
          <w:b/>
          <w:bCs/>
          <w:color w:val="auto"/>
          <w:sz w:val="22"/>
          <w:szCs w:val="22"/>
        </w:rPr>
        <w:t>ub group</w:t>
      </w:r>
      <w:r w:rsidR="001242CE" w:rsidRPr="004423DB">
        <w:rPr>
          <w:rFonts w:asciiTheme="minorHAnsi" w:hAnsiTheme="minorHAnsi" w:cstheme="minorHAnsi"/>
          <w:b/>
          <w:bCs/>
          <w:color w:val="auto"/>
          <w:sz w:val="22"/>
          <w:szCs w:val="22"/>
        </w:rPr>
        <w:t xml:space="preserve"> stratification</w:t>
      </w:r>
    </w:p>
    <w:p w14:paraId="2BD1676D" w14:textId="77CD28FF" w:rsidR="004E154D" w:rsidRDefault="004E154D" w:rsidP="00D96536">
      <w:pPr>
        <w:pStyle w:val="abstract-paragraph"/>
        <w:spacing w:before="0" w:beforeAutospacing="0" w:after="0" w:afterAutospacing="0" w:line="360" w:lineRule="auto"/>
        <w:rPr>
          <w:rFonts w:asciiTheme="minorHAnsi" w:hAnsiTheme="minorHAnsi" w:cstheme="minorHAnsi"/>
          <w:color w:val="FF0000"/>
        </w:rPr>
      </w:pPr>
    </w:p>
    <w:p w14:paraId="685843E1" w14:textId="69983107" w:rsidR="32D14E4B" w:rsidRPr="00C35D1D" w:rsidRDefault="5DCBB4DF" w:rsidP="69164DB3">
      <w:pPr>
        <w:pStyle w:val="abstract-paragraph"/>
        <w:spacing w:before="0" w:beforeAutospacing="0" w:after="0" w:afterAutospacing="0" w:line="360" w:lineRule="auto"/>
        <w:rPr>
          <w:rFonts w:asciiTheme="minorHAnsi" w:hAnsiTheme="minorHAnsi" w:cstheme="minorBidi"/>
          <w:sz w:val="22"/>
          <w:szCs w:val="22"/>
        </w:rPr>
      </w:pPr>
      <w:r w:rsidRPr="69164DB3">
        <w:rPr>
          <w:rFonts w:asciiTheme="minorHAnsi" w:hAnsiTheme="minorHAnsi" w:cstheme="minorBidi"/>
          <w:sz w:val="22"/>
          <w:szCs w:val="22"/>
        </w:rPr>
        <w:t>Subgroup analyses for age</w:t>
      </w:r>
      <w:r w:rsidR="006E786B">
        <w:rPr>
          <w:rFonts w:asciiTheme="minorHAnsi" w:hAnsiTheme="minorHAnsi" w:cstheme="minorBidi"/>
          <w:sz w:val="22"/>
          <w:szCs w:val="22"/>
        </w:rPr>
        <w:t xml:space="preserve"> group</w:t>
      </w:r>
      <w:r w:rsidRPr="69164DB3">
        <w:rPr>
          <w:rFonts w:asciiTheme="minorHAnsi" w:hAnsiTheme="minorHAnsi" w:cstheme="minorBidi"/>
          <w:sz w:val="22"/>
          <w:szCs w:val="22"/>
        </w:rPr>
        <w:t xml:space="preserve"> were done for most </w:t>
      </w:r>
      <w:r w:rsidR="00821DF6" w:rsidRPr="69164DB3">
        <w:rPr>
          <w:rFonts w:asciiTheme="minorHAnsi" w:hAnsiTheme="minorHAnsi" w:cstheme="minorBidi"/>
          <w:sz w:val="22"/>
          <w:szCs w:val="22"/>
        </w:rPr>
        <w:t xml:space="preserve">common </w:t>
      </w:r>
      <w:r w:rsidRPr="69164DB3">
        <w:rPr>
          <w:rFonts w:asciiTheme="minorHAnsi" w:hAnsiTheme="minorHAnsi" w:cstheme="minorBidi"/>
          <w:sz w:val="22"/>
          <w:szCs w:val="22"/>
        </w:rPr>
        <w:t xml:space="preserve">conditions </w:t>
      </w:r>
      <w:r w:rsidR="6EB202F9" w:rsidRPr="69164DB3">
        <w:rPr>
          <w:rFonts w:asciiTheme="minorHAnsi" w:hAnsiTheme="minorHAnsi" w:cstheme="minorBidi"/>
          <w:sz w:val="22"/>
          <w:szCs w:val="22"/>
        </w:rPr>
        <w:t>(Table 1)</w:t>
      </w:r>
      <w:r w:rsidRPr="69164DB3">
        <w:rPr>
          <w:rFonts w:asciiTheme="minorHAnsi" w:hAnsiTheme="minorHAnsi" w:cstheme="minorBidi"/>
          <w:sz w:val="22"/>
          <w:szCs w:val="22"/>
        </w:rPr>
        <w:t xml:space="preserve">, </w:t>
      </w:r>
      <w:r w:rsidR="2E093C54" w:rsidRPr="69164DB3">
        <w:rPr>
          <w:rFonts w:asciiTheme="minorHAnsi" w:hAnsiTheme="minorHAnsi" w:cstheme="minorBidi"/>
          <w:sz w:val="22"/>
          <w:szCs w:val="22"/>
        </w:rPr>
        <w:t xml:space="preserve">as long as they </w:t>
      </w:r>
      <w:r w:rsidR="6C3D57BF" w:rsidRPr="69164DB3">
        <w:rPr>
          <w:rFonts w:asciiTheme="minorHAnsi" w:hAnsiTheme="minorHAnsi" w:cstheme="minorBidi"/>
          <w:sz w:val="22"/>
          <w:szCs w:val="22"/>
        </w:rPr>
        <w:t xml:space="preserve">also </w:t>
      </w:r>
      <w:r w:rsidRPr="69164DB3">
        <w:rPr>
          <w:rFonts w:asciiTheme="minorHAnsi" w:hAnsiTheme="minorHAnsi" w:cstheme="minorBidi"/>
          <w:sz w:val="22"/>
          <w:szCs w:val="22"/>
        </w:rPr>
        <w:t xml:space="preserve">had </w:t>
      </w:r>
      <w:r w:rsidR="722D10FA" w:rsidRPr="69164DB3">
        <w:rPr>
          <w:rFonts w:asciiTheme="minorHAnsi" w:hAnsiTheme="minorHAnsi" w:cstheme="minorBidi"/>
          <w:sz w:val="22"/>
          <w:szCs w:val="22"/>
        </w:rPr>
        <w:t xml:space="preserve">≥ </w:t>
      </w:r>
      <w:r w:rsidR="006E786B">
        <w:rPr>
          <w:rFonts w:asciiTheme="minorHAnsi" w:hAnsiTheme="minorHAnsi" w:cstheme="minorBidi"/>
          <w:sz w:val="22"/>
          <w:szCs w:val="22"/>
        </w:rPr>
        <w:t>100</w:t>
      </w:r>
      <w:r w:rsidR="53712AE5" w:rsidRPr="69164DB3">
        <w:rPr>
          <w:rFonts w:asciiTheme="minorHAnsi" w:hAnsiTheme="minorHAnsi" w:cstheme="minorBidi"/>
          <w:sz w:val="22"/>
          <w:szCs w:val="22"/>
        </w:rPr>
        <w:t xml:space="preserve"> average </w:t>
      </w:r>
      <w:r w:rsidR="00B858BD">
        <w:rPr>
          <w:rFonts w:asciiTheme="minorHAnsi" w:hAnsiTheme="minorHAnsi" w:cstheme="minorBidi"/>
          <w:sz w:val="22"/>
          <w:szCs w:val="22"/>
        </w:rPr>
        <w:t>daily indicators</w:t>
      </w:r>
      <w:r w:rsidRPr="69164DB3">
        <w:rPr>
          <w:rFonts w:asciiTheme="minorHAnsi" w:hAnsiTheme="minorHAnsi" w:cstheme="minorBidi"/>
          <w:sz w:val="22"/>
          <w:szCs w:val="22"/>
        </w:rPr>
        <w:t>.</w:t>
      </w:r>
      <w:r w:rsidR="000025D4">
        <w:rPr>
          <w:rFonts w:asciiTheme="minorHAnsi" w:hAnsiTheme="minorHAnsi" w:cstheme="minorBidi"/>
          <w:sz w:val="22"/>
          <w:szCs w:val="22"/>
        </w:rPr>
        <w:t xml:space="preserve"> </w:t>
      </w:r>
      <w:r w:rsidR="000025D4" w:rsidRPr="000025D4">
        <w:rPr>
          <w:rFonts w:asciiTheme="minorHAnsi" w:hAnsiTheme="minorHAnsi" w:cstheme="minorBidi"/>
          <w:sz w:val="22"/>
          <w:szCs w:val="22"/>
        </w:rPr>
        <w:t xml:space="preserve">Total </w:t>
      </w:r>
      <w:r w:rsidR="000025D4">
        <w:rPr>
          <w:rFonts w:asciiTheme="minorHAnsi" w:hAnsiTheme="minorHAnsi" w:cstheme="minorBidi"/>
          <w:sz w:val="22"/>
          <w:szCs w:val="22"/>
        </w:rPr>
        <w:t>indicators</w:t>
      </w:r>
      <w:r w:rsidR="000025D4" w:rsidRPr="000025D4">
        <w:rPr>
          <w:rFonts w:asciiTheme="minorHAnsi" w:hAnsiTheme="minorHAnsi" w:cstheme="minorBidi"/>
          <w:sz w:val="22"/>
          <w:szCs w:val="22"/>
        </w:rPr>
        <w:t xml:space="preserve"> were not stratified by age to prioriti</w:t>
      </w:r>
      <w:r w:rsidR="000025D4">
        <w:rPr>
          <w:rFonts w:asciiTheme="minorHAnsi" w:hAnsiTheme="minorHAnsi" w:cstheme="minorBidi"/>
          <w:sz w:val="22"/>
          <w:szCs w:val="22"/>
        </w:rPr>
        <w:t>s</w:t>
      </w:r>
      <w:r w:rsidR="000025D4" w:rsidRPr="000025D4">
        <w:rPr>
          <w:rFonts w:asciiTheme="minorHAnsi" w:hAnsiTheme="minorHAnsi" w:cstheme="minorBidi"/>
          <w:sz w:val="22"/>
          <w:szCs w:val="22"/>
        </w:rPr>
        <w:t xml:space="preserve">e the analysis of </w:t>
      </w:r>
      <w:r w:rsidR="000025D4">
        <w:rPr>
          <w:rFonts w:asciiTheme="minorHAnsi" w:hAnsiTheme="minorHAnsi" w:cstheme="minorBidi"/>
          <w:sz w:val="22"/>
          <w:szCs w:val="22"/>
        </w:rPr>
        <w:t>MH</w:t>
      </w:r>
      <w:r w:rsidR="000025D4" w:rsidRPr="000025D4">
        <w:rPr>
          <w:rFonts w:asciiTheme="minorHAnsi" w:hAnsiTheme="minorHAnsi" w:cstheme="minorBidi"/>
          <w:sz w:val="22"/>
          <w:szCs w:val="22"/>
        </w:rPr>
        <w:t xml:space="preserve"> indicators across age groups.</w:t>
      </w:r>
      <w:r w:rsidR="000025D4">
        <w:rPr>
          <w:rFonts w:asciiTheme="minorHAnsi" w:hAnsiTheme="minorHAnsi" w:cstheme="minorBidi"/>
          <w:sz w:val="22"/>
          <w:szCs w:val="22"/>
        </w:rPr>
        <w:t xml:space="preserve"> </w:t>
      </w:r>
      <w:r w:rsidR="006E786B" w:rsidRPr="005524CB">
        <w:rPr>
          <w:rFonts w:asciiTheme="minorHAnsi" w:hAnsiTheme="minorHAnsi" w:cstheme="minorBidi"/>
          <w:sz w:val="22"/>
          <w:szCs w:val="22"/>
        </w:rPr>
        <w:t xml:space="preserve">Analysis by sex can be seen in the supplementary </w:t>
      </w:r>
      <w:r w:rsidR="005524CB">
        <w:rPr>
          <w:rFonts w:asciiTheme="minorHAnsi" w:hAnsiTheme="minorHAnsi" w:cstheme="minorBidi"/>
          <w:sz w:val="22"/>
          <w:szCs w:val="22"/>
        </w:rPr>
        <w:t xml:space="preserve">material (Figure S4 </w:t>
      </w:r>
      <w:r w:rsidR="00E41521">
        <w:rPr>
          <w:rFonts w:asciiTheme="minorHAnsi" w:hAnsiTheme="minorHAnsi" w:cstheme="minorBidi"/>
          <w:sz w:val="22"/>
          <w:szCs w:val="22"/>
        </w:rPr>
        <w:t>and</w:t>
      </w:r>
      <w:r w:rsidR="005524CB">
        <w:rPr>
          <w:rFonts w:asciiTheme="minorHAnsi" w:hAnsiTheme="minorHAnsi" w:cstheme="minorBidi"/>
          <w:sz w:val="22"/>
          <w:szCs w:val="22"/>
        </w:rPr>
        <w:t xml:space="preserve"> S5)</w:t>
      </w:r>
      <w:r w:rsidR="006E786B">
        <w:rPr>
          <w:rFonts w:asciiTheme="minorHAnsi" w:hAnsiTheme="minorHAnsi" w:cstheme="minorBidi"/>
          <w:sz w:val="22"/>
          <w:szCs w:val="22"/>
        </w:rPr>
        <w:t xml:space="preserve"> </w:t>
      </w:r>
      <w:r w:rsidRPr="69164DB3">
        <w:rPr>
          <w:rFonts w:asciiTheme="minorHAnsi" w:hAnsiTheme="minorHAnsi" w:cstheme="minorBidi"/>
          <w:sz w:val="22"/>
          <w:szCs w:val="22"/>
        </w:rPr>
        <w:t>.</w:t>
      </w:r>
      <w:r w:rsidR="00B7040E">
        <w:rPr>
          <w:rFonts w:asciiTheme="minorHAnsi" w:hAnsiTheme="minorHAnsi" w:cstheme="minorBidi"/>
          <w:sz w:val="22"/>
          <w:szCs w:val="22"/>
        </w:rPr>
        <w:t xml:space="preserve"> </w:t>
      </w:r>
      <w:r w:rsidR="4277DF98" w:rsidRPr="69164DB3">
        <w:rPr>
          <w:rFonts w:asciiTheme="minorHAnsi" w:hAnsiTheme="minorHAnsi" w:cstheme="minorBidi"/>
          <w:sz w:val="22"/>
          <w:szCs w:val="22"/>
        </w:rPr>
        <w:t xml:space="preserve">Age sub-groups were: </w:t>
      </w:r>
      <w:r w:rsidR="7C25947E" w:rsidRPr="69164DB3">
        <w:rPr>
          <w:rFonts w:asciiTheme="minorHAnsi" w:hAnsiTheme="minorHAnsi" w:cstheme="minorBidi"/>
          <w:sz w:val="22"/>
          <w:szCs w:val="22"/>
        </w:rPr>
        <w:t>15-24, 25-44, 45-64, 65-74, 75+</w:t>
      </w:r>
      <w:r w:rsidR="619AE4FA" w:rsidRPr="69164DB3">
        <w:rPr>
          <w:rFonts w:asciiTheme="minorHAnsi" w:hAnsiTheme="minorHAnsi" w:cstheme="minorBidi"/>
          <w:sz w:val="22"/>
          <w:szCs w:val="22"/>
        </w:rPr>
        <w:t xml:space="preserve"> years</w:t>
      </w:r>
      <w:r w:rsidR="4277DF98" w:rsidRPr="69164DB3">
        <w:rPr>
          <w:rFonts w:asciiTheme="minorHAnsi" w:hAnsiTheme="minorHAnsi" w:cstheme="minorBidi"/>
          <w:sz w:val="22"/>
          <w:szCs w:val="22"/>
        </w:rPr>
        <w:t>.  There were low counts of persons under age 1</w:t>
      </w:r>
      <w:r w:rsidR="7C25947E" w:rsidRPr="69164DB3">
        <w:rPr>
          <w:rFonts w:asciiTheme="minorHAnsi" w:hAnsiTheme="minorHAnsi" w:cstheme="minorBidi"/>
          <w:sz w:val="22"/>
          <w:szCs w:val="22"/>
        </w:rPr>
        <w:t>5</w:t>
      </w:r>
      <w:r w:rsidR="619AE4FA" w:rsidRPr="69164DB3">
        <w:rPr>
          <w:rFonts w:asciiTheme="minorHAnsi" w:hAnsiTheme="minorHAnsi" w:cstheme="minorBidi"/>
          <w:sz w:val="22"/>
          <w:szCs w:val="22"/>
        </w:rPr>
        <w:t xml:space="preserve"> </w:t>
      </w:r>
      <w:r w:rsidR="4277DF98" w:rsidRPr="69164DB3">
        <w:rPr>
          <w:rFonts w:asciiTheme="minorHAnsi" w:hAnsiTheme="minorHAnsi" w:cstheme="minorBidi"/>
          <w:sz w:val="22"/>
          <w:szCs w:val="22"/>
        </w:rPr>
        <w:t>in these datasets</w:t>
      </w:r>
      <w:r w:rsidR="79ED03F9" w:rsidRPr="69164DB3">
        <w:rPr>
          <w:rFonts w:asciiTheme="minorHAnsi" w:hAnsiTheme="minorHAnsi" w:cstheme="minorBidi"/>
          <w:sz w:val="22"/>
          <w:szCs w:val="22"/>
        </w:rPr>
        <w:t xml:space="preserve"> and therefore these groups were excluded</w:t>
      </w:r>
      <w:r w:rsidR="3AA6A1B8" w:rsidRPr="69164DB3">
        <w:rPr>
          <w:rFonts w:asciiTheme="minorHAnsi" w:hAnsiTheme="minorHAnsi" w:cstheme="minorBidi"/>
          <w:sz w:val="22"/>
          <w:szCs w:val="22"/>
        </w:rPr>
        <w:t xml:space="preserve">. </w:t>
      </w:r>
    </w:p>
    <w:p w14:paraId="7899C337" w14:textId="77777777" w:rsidR="00643638" w:rsidRDefault="00643638" w:rsidP="00D96536">
      <w:pPr>
        <w:pStyle w:val="abstract-paragraph"/>
        <w:spacing w:before="0" w:beforeAutospacing="0" w:after="0" w:afterAutospacing="0" w:line="360" w:lineRule="auto"/>
        <w:rPr>
          <w:rFonts w:asciiTheme="minorHAnsi" w:hAnsiTheme="minorHAnsi" w:cstheme="minorHAnsi"/>
          <w:sz w:val="22"/>
          <w:szCs w:val="22"/>
        </w:rPr>
      </w:pPr>
    </w:p>
    <w:p w14:paraId="7ACFF85E" w14:textId="77777777" w:rsidR="00010EF2" w:rsidRPr="004423DB" w:rsidRDefault="00010EF2" w:rsidP="00010EF2">
      <w:pPr>
        <w:pStyle w:val="Heading3"/>
        <w:spacing w:before="0" w:line="240" w:lineRule="auto"/>
        <w:rPr>
          <w:rFonts w:asciiTheme="minorHAnsi" w:eastAsia="Times New Roman" w:hAnsiTheme="minorHAnsi" w:cstheme="minorHAnsi"/>
          <w:b/>
          <w:bCs/>
          <w:color w:val="auto"/>
        </w:rPr>
      </w:pPr>
      <w:r w:rsidRPr="004423DB">
        <w:rPr>
          <w:rFonts w:asciiTheme="minorHAnsi" w:eastAsia="Times New Roman" w:hAnsiTheme="minorHAnsi" w:cstheme="minorHAnsi"/>
          <w:b/>
          <w:bCs/>
          <w:color w:val="auto"/>
          <w:sz w:val="22"/>
          <w:szCs w:val="22"/>
        </w:rPr>
        <w:t>Time periods</w:t>
      </w:r>
    </w:p>
    <w:p w14:paraId="17781793" w14:textId="77777777" w:rsidR="00010EF2" w:rsidRDefault="00010EF2" w:rsidP="00010EF2">
      <w:pPr>
        <w:spacing w:after="0" w:line="240" w:lineRule="auto"/>
        <w:rPr>
          <w:rFonts w:eastAsia="Times New Roman"/>
          <w:color w:val="538135" w:themeColor="accent6" w:themeShade="BF"/>
        </w:rPr>
      </w:pPr>
    </w:p>
    <w:p w14:paraId="60F484A5" w14:textId="4FDA6D1A" w:rsidR="00010EF2" w:rsidRDefault="00320FAC" w:rsidP="00010EF2">
      <w:pPr>
        <w:spacing w:after="0" w:line="360" w:lineRule="auto"/>
      </w:pPr>
      <w:r>
        <w:t>M</w:t>
      </w:r>
      <w:r w:rsidR="00010EF2">
        <w:t xml:space="preserve">onitoring dates were chosen using pragmatic and objective criteria. </w:t>
      </w:r>
      <w:r w:rsidR="0044696F">
        <w:t>Data from b</w:t>
      </w:r>
      <w:r w:rsidR="00010EF2">
        <w:t>efore</w:t>
      </w:r>
      <w:r w:rsidR="00295DB4">
        <w:t xml:space="preserve"> and after </w:t>
      </w:r>
      <w:r w:rsidR="00010EF2">
        <w:t xml:space="preserve">pandemic </w:t>
      </w:r>
      <w:r w:rsidR="0044696F">
        <w:t>restrictions</w:t>
      </w:r>
      <w:r>
        <w:t xml:space="preserve"> w</w:t>
      </w:r>
      <w:r w:rsidR="00E41521">
        <w:t xml:space="preserve">ere </w:t>
      </w:r>
      <w:r>
        <w:t>required</w:t>
      </w:r>
      <w:r w:rsidR="00010EF2">
        <w:t xml:space="preserve"> from a long but relatively recent period that captured seasonal, day of week and holiday effects on ‘normal’ service </w:t>
      </w:r>
      <w:r w:rsidR="00226A9D">
        <w:t>utilisation</w:t>
      </w:r>
      <w:r w:rsidR="00010EF2">
        <w:t xml:space="preserve">. </w:t>
      </w:r>
      <w:r w:rsidR="00BD7D11">
        <w:t>T</w:t>
      </w:r>
      <w:r w:rsidR="00010EF2">
        <w:t>he pre-pandemic</w:t>
      </w:r>
      <w:r w:rsidR="00C8300A">
        <w:t xml:space="preserve"> restrictions</w:t>
      </w:r>
      <w:r w:rsidR="00010EF2">
        <w:t xml:space="preserve"> period </w:t>
      </w:r>
      <w:r w:rsidR="00672124">
        <w:t xml:space="preserve">(PRE) </w:t>
      </w:r>
      <w:r w:rsidR="00BD7D11">
        <w:t xml:space="preserve">was defined </w:t>
      </w:r>
      <w:r w:rsidR="00010EF2">
        <w:t xml:space="preserve">as </w:t>
      </w:r>
      <w:r w:rsidR="00D6629C">
        <w:t>January 1</w:t>
      </w:r>
      <w:r w:rsidR="00D6629C" w:rsidRPr="00D6629C">
        <w:rPr>
          <w:vertAlign w:val="superscript"/>
        </w:rPr>
        <w:t>st</w:t>
      </w:r>
      <w:r w:rsidR="00D6629C">
        <w:t xml:space="preserve"> </w:t>
      </w:r>
      <w:r w:rsidR="00D25637">
        <w:t>2019</w:t>
      </w:r>
      <w:r w:rsidR="00E8743C">
        <w:t xml:space="preserve"> to </w:t>
      </w:r>
      <w:r w:rsidR="00D6629C">
        <w:t>February 24</w:t>
      </w:r>
      <w:r w:rsidR="00D6629C" w:rsidRPr="00D6629C">
        <w:rPr>
          <w:vertAlign w:val="superscript"/>
        </w:rPr>
        <w:t>th</w:t>
      </w:r>
      <w:r w:rsidR="00D6629C">
        <w:t xml:space="preserve"> </w:t>
      </w:r>
      <w:r w:rsidR="00D25637">
        <w:t>2020</w:t>
      </w:r>
      <w:r w:rsidR="00010EF2">
        <w:t xml:space="preserve">, to capture a full year of ‘normal’ </w:t>
      </w:r>
      <w:r w:rsidR="00226A9D">
        <w:t>utilisation</w:t>
      </w:r>
      <w:r w:rsidR="00010EF2">
        <w:t xml:space="preserve">. </w:t>
      </w:r>
      <w:r w:rsidR="00E8743C">
        <w:t xml:space="preserve">Our </w:t>
      </w:r>
      <w:r w:rsidR="001C33E5">
        <w:t>post pandemic</w:t>
      </w:r>
      <w:r w:rsidR="00C8300A">
        <w:t xml:space="preserve"> restrictions</w:t>
      </w:r>
      <w:r w:rsidR="001C33E5">
        <w:t xml:space="preserve"> period (POST) was</w:t>
      </w:r>
      <w:r w:rsidR="00643638">
        <w:t xml:space="preserve"> from the lifting of all restrictions in England</w:t>
      </w:r>
      <w:r w:rsidR="001C33E5">
        <w:t xml:space="preserve"> </w:t>
      </w:r>
      <w:r w:rsidR="00643638">
        <w:t>(</w:t>
      </w:r>
      <w:r w:rsidR="00D6629C">
        <w:t>July 17</w:t>
      </w:r>
      <w:r w:rsidR="00D6629C" w:rsidRPr="00D6629C">
        <w:rPr>
          <w:vertAlign w:val="superscript"/>
        </w:rPr>
        <w:t>th</w:t>
      </w:r>
      <w:r w:rsidR="00D6629C">
        <w:t xml:space="preserve"> </w:t>
      </w:r>
      <w:r w:rsidR="00ED3719">
        <w:t>2021</w:t>
      </w:r>
      <w:r w:rsidR="00643638">
        <w:t>) until the end of our period of study (</w:t>
      </w:r>
      <w:r w:rsidR="00D6629C">
        <w:t>April 20</w:t>
      </w:r>
      <w:r w:rsidR="00D6629C" w:rsidRPr="00D6629C">
        <w:rPr>
          <w:vertAlign w:val="superscript"/>
        </w:rPr>
        <w:t>th</w:t>
      </w:r>
      <w:r w:rsidR="00D6629C">
        <w:t xml:space="preserve"> </w:t>
      </w:r>
      <w:r w:rsidR="00ED3719">
        <w:t>2022</w:t>
      </w:r>
      <w:r w:rsidR="00643638">
        <w:t>). We acknowledge that the WHO did not declare the end of the COVID-19 pandemic until May 2023. However, we wanted to analyse the impact of social restrictions</w:t>
      </w:r>
      <w:r w:rsidR="0079238F">
        <w:t xml:space="preserve"> in England on MH </w:t>
      </w:r>
      <w:r w:rsidR="00E41521">
        <w:t xml:space="preserve">service </w:t>
      </w:r>
      <w:r w:rsidR="0079238F">
        <w:t xml:space="preserve">utilisation which ended much sooner than the WHO announcement. </w:t>
      </w:r>
    </w:p>
    <w:p w14:paraId="75EA6461" w14:textId="3FF0642B" w:rsidR="008E27CE" w:rsidRDefault="008E27CE" w:rsidP="008E27CE">
      <w:pPr>
        <w:spacing w:after="0" w:line="360" w:lineRule="auto"/>
      </w:pPr>
      <w:r>
        <w:lastRenderedPageBreak/>
        <w:t xml:space="preserve">Between the PRE and POST periods we defined five COVID-19 </w:t>
      </w:r>
      <w:r w:rsidR="003B438B">
        <w:t xml:space="preserve">restriction </w:t>
      </w:r>
      <w:r>
        <w:t xml:space="preserve">periods varying by degrees of social restrictions. PRL1 (Pre-Lockdown Period 1), spanned </w:t>
      </w:r>
      <w:r w:rsidR="00D6629C">
        <w:t>25</w:t>
      </w:r>
      <w:r w:rsidR="00D6629C" w:rsidRPr="00D6629C">
        <w:rPr>
          <w:vertAlign w:val="superscript"/>
        </w:rPr>
        <w:t>th</w:t>
      </w:r>
      <w:r w:rsidR="00D6629C">
        <w:t xml:space="preserve"> February </w:t>
      </w:r>
      <w:r>
        <w:t xml:space="preserve">2020 to </w:t>
      </w:r>
      <w:r w:rsidR="00D6629C">
        <w:t>22</w:t>
      </w:r>
      <w:r w:rsidR="00D6629C" w:rsidRPr="00D6629C">
        <w:rPr>
          <w:vertAlign w:val="superscript"/>
        </w:rPr>
        <w:t>nd</w:t>
      </w:r>
      <w:r w:rsidR="00D6629C">
        <w:t xml:space="preserve"> Ma</w:t>
      </w:r>
      <w:r w:rsidR="000D52CE">
        <w:t>rch</w:t>
      </w:r>
      <w:r w:rsidR="00D6629C">
        <w:t xml:space="preserve"> </w:t>
      </w:r>
      <w:r>
        <w:t>2020, before social distancing was legally enforced. During PRL1, healthcare services were required to balance infection control with access for patients, and GPs were advised to limit in person contact¹</w:t>
      </w:r>
      <w:r w:rsidR="005274B6" w:rsidRPr="005274B6">
        <w:rPr>
          <w:vertAlign w:val="superscript"/>
        </w:rPr>
        <w:t>8</w:t>
      </w:r>
      <w:r w:rsidR="003B438B">
        <w:t xml:space="preserve">. </w:t>
      </w:r>
      <w:r>
        <w:t>Furthermore, public awareness</w:t>
      </w:r>
      <w:r w:rsidR="00D6629C">
        <w:t xml:space="preserve"> of COVID-19</w:t>
      </w:r>
      <w:r>
        <w:t xml:space="preserve"> rose sharply during PRL1 due to news reports and new social-distancing and self-isolation guidelines</w:t>
      </w:r>
      <w:r w:rsidR="00351A78" w:rsidRPr="00351A78">
        <w:rPr>
          <w:vertAlign w:val="superscript"/>
        </w:rPr>
        <w:t>25-27</w:t>
      </w:r>
      <w:r>
        <w:t>. This heightened awareness likely influenced healthcare-seeking decisions.</w:t>
      </w:r>
    </w:p>
    <w:p w14:paraId="3C19DB1E" w14:textId="77777777" w:rsidR="008E27CE" w:rsidRDefault="008E27CE" w:rsidP="008E27CE">
      <w:pPr>
        <w:spacing w:after="0" w:line="360" w:lineRule="auto"/>
      </w:pPr>
    </w:p>
    <w:p w14:paraId="46F7EDBB" w14:textId="2FADD6F7" w:rsidR="008E27CE" w:rsidRDefault="008E27CE" w:rsidP="008E27CE">
      <w:pPr>
        <w:spacing w:after="0" w:line="360" w:lineRule="auto"/>
      </w:pPr>
      <w:r>
        <w:t>Four later periods were identified using a timeline of UK government coronavirus lockdowns and government guidance</w:t>
      </w:r>
      <w:r w:rsidR="00351A78" w:rsidRPr="00351A78">
        <w:rPr>
          <w:vertAlign w:val="superscript"/>
        </w:rPr>
        <w:t>28</w:t>
      </w:r>
      <w:r w:rsidR="00D063E9">
        <w:t>:</w:t>
      </w:r>
      <w:r>
        <w:t xml:space="preserve"> L1 (lockdown 1, </w:t>
      </w:r>
      <w:r w:rsidR="00D6629C">
        <w:t>23</w:t>
      </w:r>
      <w:r w:rsidR="00D6629C" w:rsidRPr="00D6629C">
        <w:rPr>
          <w:vertAlign w:val="superscript"/>
        </w:rPr>
        <w:t>rd</w:t>
      </w:r>
      <w:r w:rsidR="00D6629C">
        <w:t xml:space="preserve"> March </w:t>
      </w:r>
      <w:r>
        <w:t xml:space="preserve">2020 to </w:t>
      </w:r>
      <w:r w:rsidR="00D6629C">
        <w:t>31</w:t>
      </w:r>
      <w:r w:rsidR="00D6629C" w:rsidRPr="00D6629C">
        <w:rPr>
          <w:vertAlign w:val="superscript"/>
        </w:rPr>
        <w:t>st</w:t>
      </w:r>
      <w:r w:rsidR="00D6629C">
        <w:t xml:space="preserve"> of May</w:t>
      </w:r>
      <w:r w:rsidR="00D063E9">
        <w:t xml:space="preserve"> </w:t>
      </w:r>
      <w:r>
        <w:t xml:space="preserve">2020), PL1 (post-lockdown 1, </w:t>
      </w:r>
      <w:r w:rsidR="00D6629C">
        <w:t>1</w:t>
      </w:r>
      <w:r w:rsidR="00D6629C" w:rsidRPr="00D6629C">
        <w:rPr>
          <w:vertAlign w:val="superscript"/>
        </w:rPr>
        <w:t>st</w:t>
      </w:r>
      <w:r w:rsidR="00D6629C">
        <w:t xml:space="preserve"> June </w:t>
      </w:r>
      <w:r>
        <w:t xml:space="preserve">2020 to </w:t>
      </w:r>
      <w:r w:rsidR="00D6629C">
        <w:t>4</w:t>
      </w:r>
      <w:r w:rsidR="00D6629C" w:rsidRPr="00D6629C">
        <w:rPr>
          <w:vertAlign w:val="superscript"/>
        </w:rPr>
        <w:t>th</w:t>
      </w:r>
      <w:r w:rsidR="00D6629C">
        <w:t xml:space="preserve"> November </w:t>
      </w:r>
      <w:r>
        <w:t xml:space="preserve">2020), L2 (lockdown 2, </w:t>
      </w:r>
      <w:r w:rsidR="00D6629C">
        <w:t>5</w:t>
      </w:r>
      <w:r w:rsidR="00D6629C" w:rsidRPr="00D6629C">
        <w:rPr>
          <w:vertAlign w:val="superscript"/>
        </w:rPr>
        <w:t>th</w:t>
      </w:r>
      <w:r w:rsidR="00D6629C">
        <w:t xml:space="preserve"> November </w:t>
      </w:r>
      <w:r>
        <w:t xml:space="preserve">2020 to </w:t>
      </w:r>
      <w:r w:rsidR="00D6629C">
        <w:t>7</w:t>
      </w:r>
      <w:r w:rsidR="00D6629C" w:rsidRPr="00D6629C">
        <w:rPr>
          <w:vertAlign w:val="superscript"/>
        </w:rPr>
        <w:t>th</w:t>
      </w:r>
      <w:r w:rsidR="00D6629C">
        <w:t xml:space="preserve"> March </w:t>
      </w:r>
      <w:r>
        <w:t>2021), PL2 (post-lockdown 2</w:t>
      </w:r>
      <w:r w:rsidR="00407C76">
        <w:t xml:space="preserve">, </w:t>
      </w:r>
      <w:r w:rsidR="00D6629C">
        <w:t>8</w:t>
      </w:r>
      <w:r w:rsidR="00D6629C" w:rsidRPr="00D6629C">
        <w:rPr>
          <w:vertAlign w:val="superscript"/>
        </w:rPr>
        <w:t>th</w:t>
      </w:r>
      <w:r w:rsidR="00D6629C">
        <w:t xml:space="preserve"> March </w:t>
      </w:r>
      <w:r>
        <w:t xml:space="preserve">2021 – </w:t>
      </w:r>
      <w:r w:rsidR="00D6629C">
        <w:t>18</w:t>
      </w:r>
      <w:r w:rsidR="00D6629C" w:rsidRPr="00D6629C">
        <w:rPr>
          <w:vertAlign w:val="superscript"/>
        </w:rPr>
        <w:t>th</w:t>
      </w:r>
      <w:r w:rsidR="00D6629C">
        <w:t xml:space="preserve"> July </w:t>
      </w:r>
      <w:r>
        <w:t>2021). L2 incorporates a November 2020 four-week-duration lockdown alongside a lockdown starting in January 2021. We acknowledge that healthcare-seeking patterns may not follow these specific dates exactly. These periods are simplifications to enable national analysis, and do not capture varying localised social contact and self-isolation re</w:t>
      </w:r>
      <w:r w:rsidR="003968E8">
        <w:t>gulations</w:t>
      </w:r>
      <w:r>
        <w:t>. Both lockdown periods in this study represent stricter social restrictions, while the post lockdown periods represent relaxed restrictions.</w:t>
      </w:r>
    </w:p>
    <w:p w14:paraId="306804FD" w14:textId="77777777" w:rsidR="008E27CE" w:rsidRDefault="008E27CE" w:rsidP="008E27CE">
      <w:pPr>
        <w:spacing w:after="0" w:line="360" w:lineRule="auto"/>
      </w:pPr>
    </w:p>
    <w:p w14:paraId="21942086" w14:textId="77777777" w:rsidR="008E27CE" w:rsidRPr="008E27CE" w:rsidRDefault="008E27CE" w:rsidP="008E27CE">
      <w:pPr>
        <w:spacing w:after="0" w:line="360" w:lineRule="auto"/>
        <w:rPr>
          <w:b/>
          <w:bCs/>
        </w:rPr>
      </w:pPr>
      <w:r w:rsidRPr="008E27CE">
        <w:rPr>
          <w:b/>
          <w:bCs/>
        </w:rPr>
        <w:t>Analysis</w:t>
      </w:r>
    </w:p>
    <w:p w14:paraId="4AB07A83" w14:textId="36FA6BD9" w:rsidR="008E27CE" w:rsidRDefault="008E27CE" w:rsidP="008E27CE">
      <w:pPr>
        <w:spacing w:after="0" w:line="360" w:lineRule="auto"/>
      </w:pPr>
      <w:r>
        <w:t xml:space="preserve">Key to </w:t>
      </w:r>
      <w:r w:rsidR="00717E54">
        <w:t xml:space="preserve">our </w:t>
      </w:r>
      <w:r>
        <w:t xml:space="preserve">analysis </w:t>
      </w:r>
      <w:r w:rsidR="00717E54">
        <w:t xml:space="preserve">was </w:t>
      </w:r>
      <w:r>
        <w:t xml:space="preserve">the generation of counterfactual estimates for MH </w:t>
      </w:r>
      <w:r w:rsidR="00717E54">
        <w:t>indicators – which make a prediction if the COVID-19 pandemic/restrictions had not occurred, using</w:t>
      </w:r>
      <w:r>
        <w:t xml:space="preserve"> data from PRE and POST pandemic</w:t>
      </w:r>
      <w:r w:rsidR="00717E54">
        <w:t xml:space="preserve"> restriction</w:t>
      </w:r>
      <w:r>
        <w:t xml:space="preserve"> periods.</w:t>
      </w:r>
      <w:r w:rsidR="00D6629C" w:rsidRPr="00D6629C">
        <w:t xml:space="preserve"> </w:t>
      </w:r>
      <w:r w:rsidR="00D6629C">
        <w:t>This was chosen as our control method, as it is considered the most appropriate control for an interrupted time-series design</w:t>
      </w:r>
      <w:r w:rsidR="00D6629C" w:rsidRPr="00351A78">
        <w:rPr>
          <w:vertAlign w:val="superscript"/>
        </w:rPr>
        <w:t>29</w:t>
      </w:r>
      <w:r w:rsidR="00D063E9">
        <w:rPr>
          <w:vertAlign w:val="superscript"/>
        </w:rPr>
        <w:t xml:space="preserve"> </w:t>
      </w:r>
      <w:r w:rsidR="00D063E9">
        <w:t>.</w:t>
      </w:r>
      <w:r>
        <w:t xml:space="preserve"> These estimates were compared to observed presentations for the 5 COVID-19 </w:t>
      </w:r>
      <w:r w:rsidR="00717E54">
        <w:t xml:space="preserve">restriction </w:t>
      </w:r>
      <w:r>
        <w:t xml:space="preserve">periods (PRL1, L1, PL1, L2, PL2). </w:t>
      </w:r>
    </w:p>
    <w:p w14:paraId="6F58D884" w14:textId="77777777" w:rsidR="008E27CE" w:rsidRDefault="008E27CE" w:rsidP="008E27CE">
      <w:pPr>
        <w:spacing w:after="0" w:line="360" w:lineRule="auto"/>
      </w:pPr>
    </w:p>
    <w:p w14:paraId="7CC47785" w14:textId="08DCE944" w:rsidR="008E27CE" w:rsidRDefault="008E27CE" w:rsidP="008E27CE">
      <w:pPr>
        <w:spacing w:after="0" w:line="360" w:lineRule="auto"/>
      </w:pPr>
      <w:r>
        <w:t>To model counterfactual estimates, negative binomial regression models were adopted due to over-dispersion of indicator counts. Models were fitted in R using the 'MASS' package</w:t>
      </w:r>
      <w:r w:rsidR="00351A78" w:rsidRPr="00351A78">
        <w:rPr>
          <w:vertAlign w:val="superscript"/>
        </w:rPr>
        <w:t>30</w:t>
      </w:r>
      <w:r>
        <w:t>. Long-term</w:t>
      </w:r>
      <w:r w:rsidR="00CD3AA9">
        <w:t xml:space="preserve"> linear</w:t>
      </w:r>
      <w:r>
        <w:t xml:space="preserve"> trends were controlled for by including a sequential date indicator variable (1 to 1206). Day-of-the-week (DOW) effects were accounted for using a categorical variable (1-7). Public holidays</w:t>
      </w:r>
      <w:r w:rsidR="002E521B">
        <w:t xml:space="preserve"> (Bank)</w:t>
      </w:r>
      <w:r>
        <w:t xml:space="preserve"> were controlled using a Boolean variable. Seasonal trends were modelled with a categorical variable representing each calendar month (1-12). Only indicator counts from the PRE and POST periods were included as dependent variables in the models to generate counterfactual estimates.</w:t>
      </w:r>
    </w:p>
    <w:p w14:paraId="645AF423" w14:textId="7DFF4635" w:rsidR="43AFCB7F" w:rsidRDefault="00DA2B67" w:rsidP="00D96536">
      <w:pPr>
        <w:spacing w:after="0" w:line="360" w:lineRule="auto"/>
      </w:pPr>
      <w:r>
        <w:t xml:space="preserve">The </w:t>
      </w:r>
      <w:r w:rsidR="000526C4">
        <w:t xml:space="preserve">counterfactual model </w:t>
      </w:r>
      <w:r>
        <w:t>equation is</w:t>
      </w:r>
      <w:r w:rsidR="00752F4D">
        <w:t>:</w:t>
      </w:r>
    </w:p>
    <w:p w14:paraId="2EBE0E1A" w14:textId="4FF5D345" w:rsidR="43AFCB7F" w:rsidRPr="00C317DE" w:rsidRDefault="7CA16039" w:rsidP="00D96536">
      <w:pPr>
        <w:spacing w:after="0" w:line="360" w:lineRule="auto"/>
        <w:rPr>
          <w:rFonts w:eastAsiaTheme="minorEastAsia"/>
          <w:sz w:val="28"/>
          <w:szCs w:val="28"/>
        </w:rPr>
      </w:pPr>
      <w:r>
        <w:t xml:space="preserve">                  </w:t>
      </w:r>
      <m:oMath>
        <m:func>
          <m:funcPr>
            <m:ctrlPr>
              <w:rPr>
                <w:rFonts w:ascii="Cambria Math" w:hAnsi="Cambria Math"/>
                <w:i/>
                <w:sz w:val="28"/>
                <w:szCs w:val="28"/>
              </w:rPr>
            </m:ctrlPr>
          </m:funcPr>
          <m:fName>
            <m:r>
              <m:rPr>
                <m:sty m:val="p"/>
              </m:rPr>
              <w:rPr>
                <w:rFonts w:ascii="Cambria Math" w:hAnsi="Cambria Math"/>
                <w:sz w:val="28"/>
                <w:szCs w:val="28"/>
              </w:rPr>
              <m:t>log</m:t>
            </m:r>
          </m:fName>
          <m:e>
            <m:d>
              <m:dPr>
                <m:ctrlPr>
                  <w:rPr>
                    <w:rFonts w:ascii="Cambria Math" w:hAnsi="Cambria Math"/>
                    <w:i/>
                    <w:sz w:val="28"/>
                    <w:szCs w:val="28"/>
                  </w:rPr>
                </m:ctrlPr>
              </m:dPr>
              <m:e>
                <m:r>
                  <w:rPr>
                    <w:rFonts w:ascii="Cambria Math" w:hAnsi="Cambria Math"/>
                    <w:sz w:val="28"/>
                    <w:szCs w:val="28"/>
                  </w:rPr>
                  <m:t>µ</m:t>
                </m:r>
              </m:e>
            </m:d>
            <m:r>
              <w:rPr>
                <w:rFonts w:ascii="Cambria Math" w:hAnsi="Cambria Math"/>
                <w:sz w:val="28"/>
                <w:szCs w:val="28"/>
              </w:rPr>
              <m:t>=</m:t>
            </m:r>
            <w:bookmarkStart w:id="4" w:name="_Hlk182482778"/>
            <m:r>
              <w:rPr>
                <w:rFonts w:ascii="Cambria Math" w:hAnsi="Cambria Math"/>
                <w:sz w:val="28"/>
                <w:szCs w:val="28"/>
              </w:rPr>
              <m:t>a</m:t>
            </m:r>
            <w:bookmarkEnd w:id="4"/>
            <m:r>
              <w:rPr>
                <w:rFonts w:ascii="Cambria Math" w:hAnsi="Cambria Math"/>
                <w:sz w:val="28"/>
                <w:szCs w:val="28"/>
              </w:rPr>
              <m:t xml:space="preserve">+ </m:t>
            </m:r>
            <m:nary>
              <m:naryPr>
                <m:chr m:val="∑"/>
                <m:limLoc m:val="undOvr"/>
                <m:ctrlPr>
                  <w:rPr>
                    <w:rFonts w:ascii="Cambria Math" w:hAnsi="Cambria Math"/>
                    <w:i/>
                    <w:sz w:val="28"/>
                    <w:szCs w:val="28"/>
                  </w:rPr>
                </m:ctrlPr>
              </m:naryPr>
              <m:sub/>
              <m:sup>
                <m:r>
                  <w:rPr>
                    <w:rFonts w:ascii="Cambria Math" w:hAnsi="Cambria Math"/>
                    <w:sz w:val="28"/>
                    <w:szCs w:val="28"/>
                  </w:rPr>
                  <m:t>5</m:t>
                </m:r>
              </m:sup>
              <m:e>
                <w:bookmarkStart w:id="5" w:name="_Hlk173761292"/>
                <w:bookmarkStart w:id="6" w:name="_Hlk182481699"/>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w:bookmarkEnd w:id="5"/>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w:bookmarkEnd w:id="6"/>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K</m:t>
                    </m:r>
                  </m:sup>
                  <m:e>
                    <m:r>
                      <w:rPr>
                        <w:rFonts w:ascii="Cambria Math" w:hAnsi="Cambria Math"/>
                        <w:sz w:val="28"/>
                        <w:szCs w:val="28"/>
                      </w:rPr>
                      <m:t>f</m:t>
                    </m:r>
                  </m:e>
                </m:nary>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e>
                </m:d>
              </m:e>
            </m:nary>
            <m:r>
              <w:rPr>
                <w:rFonts w:ascii="Cambria Math" w:hAnsi="Cambria Math"/>
                <w:sz w:val="28"/>
                <w:szCs w:val="28"/>
              </w:rPr>
              <m:t>+DOW+Month+Bank</m:t>
            </m:r>
          </m:e>
        </m:func>
        <m:r>
          <w:rPr>
            <w:rFonts w:ascii="Cambria Math" w:hAnsi="Cambria Math"/>
            <w:sz w:val="28"/>
            <w:szCs w:val="28"/>
          </w:rPr>
          <m:t xml:space="preserve"> </m:t>
        </m:r>
      </m:oMath>
    </w:p>
    <w:p w14:paraId="4A22D4F2" w14:textId="5E61B01A" w:rsidR="00546A06" w:rsidRPr="00546A06" w:rsidRDefault="4DCD989A" w:rsidP="00D96536">
      <w:pPr>
        <w:spacing w:after="0" w:line="360" w:lineRule="auto"/>
      </w:pPr>
      <w:r w:rsidRPr="00546A06">
        <w:lastRenderedPageBreak/>
        <w:t xml:space="preserve">Where µ is the natural logarithm of the mean </w:t>
      </w:r>
      <w:r w:rsidR="00FF37CC">
        <w:t>MH</w:t>
      </w:r>
      <w:r w:rsidRPr="00546A06">
        <w:t xml:space="preserve"> </w:t>
      </w:r>
      <w:r>
        <w:t>indicator</w:t>
      </w:r>
      <w:r w:rsidRPr="00546A06">
        <w:t xml:space="preserve"> (dependent variable); α represents the intercept and a set of 5 linear variables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546A06">
        <w:t xml:space="preserve"> each associated with their own coefficients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546A06">
        <w:t xml:space="preserve">; </w:t>
      </w:r>
      <w:r w:rsidR="04930B0D" w:rsidRPr="00546A06">
        <w:t xml:space="preserve">  </w:t>
      </w:r>
      <w:proofErr w:type="spellStart"/>
      <w:r w:rsidRPr="00546A06">
        <w:t>i</w:t>
      </w:r>
      <w:proofErr w:type="spellEnd"/>
      <w:r w:rsidRPr="00546A06">
        <w:t xml:space="preserve"> = 1:5 representing the 5 different linear variables; X is a matrix of K = 2 piecewise linear functions representing the segmented</w:t>
      </w:r>
      <w:r>
        <w:t xml:space="preserve"> (PRE &amp; POST)</w:t>
      </w:r>
      <w:r w:rsidRPr="00546A06">
        <w:t xml:space="preserve"> linear trend, defined as spline functions, f(</w:t>
      </w:r>
      <w:proofErr w:type="spellStart"/>
      <w:r w:rsidRPr="00546A06">
        <w:t>X</w:t>
      </w:r>
      <w:r w:rsidRPr="00546A06">
        <w:rPr>
          <w:vertAlign w:val="subscript"/>
        </w:rPr>
        <w:t>k</w:t>
      </w:r>
      <w:proofErr w:type="spellEnd"/>
      <w:r w:rsidRPr="00546A06">
        <w:t>).</w:t>
      </w:r>
      <w:r w:rsidR="00C317DE" w:rsidRPr="00C317DE">
        <w:rPr>
          <w:rFonts w:ascii="Segoe UI" w:hAnsi="Segoe UI" w:cs="Segoe UI"/>
          <w:color w:val="404040"/>
          <w:shd w:val="clear" w:color="auto" w:fill="FFFFFF"/>
        </w:rPr>
        <w:t xml:space="preserve"> </w:t>
      </w:r>
      <w:r w:rsidR="00C317DE" w:rsidRPr="00C317DE">
        <w:t>We evaluated various time-trend transformations (linear, quadratic, and splines) using AIC and deviance, finding similar performance but selecting a linear term for its simplicity and best visual f</w:t>
      </w:r>
      <w:r w:rsidR="00C317DE">
        <w:t>it</w:t>
      </w:r>
      <w:r w:rsidR="00C317DE" w:rsidRPr="00C317DE">
        <w:rPr>
          <w:vertAlign w:val="superscript"/>
        </w:rPr>
        <w:t>31</w:t>
      </w:r>
      <w:r w:rsidR="00C317DE" w:rsidRPr="00C317DE">
        <w:t>. </w:t>
      </w:r>
    </w:p>
    <w:p w14:paraId="47A3896B" w14:textId="66EB97C8" w:rsidR="30343C5B" w:rsidRDefault="30343C5B" w:rsidP="00D96536">
      <w:pPr>
        <w:spacing w:after="0" w:line="360" w:lineRule="auto"/>
      </w:pPr>
    </w:p>
    <w:p w14:paraId="0DD9D9E2" w14:textId="04DA5EB0" w:rsidR="00684988" w:rsidRDefault="001F5F86" w:rsidP="00D96536">
      <w:pPr>
        <w:spacing w:after="0" w:line="360" w:lineRule="auto"/>
      </w:pPr>
      <w:r>
        <w:t xml:space="preserve">Our main analysis addresses </w:t>
      </w:r>
      <w:r w:rsidR="00CD3AA9">
        <w:t>general</w:t>
      </w:r>
      <w:r>
        <w:t xml:space="preserve"> </w:t>
      </w:r>
      <w:r w:rsidR="00055F5E">
        <w:t>MH</w:t>
      </w:r>
      <w:r w:rsidR="00A83990">
        <w:t xml:space="preserve"> </w:t>
      </w:r>
      <w:r w:rsidR="00CD3AA9">
        <w:t>indicators</w:t>
      </w:r>
      <w:r>
        <w:t xml:space="preserve">, </w:t>
      </w:r>
      <w:r w:rsidR="00D51ADD">
        <w:t xml:space="preserve">and </w:t>
      </w:r>
      <w:r>
        <w:t>the</w:t>
      </w:r>
      <w:r w:rsidR="0083172C">
        <w:t xml:space="preserve"> two</w:t>
      </w:r>
      <w:r>
        <w:t xml:space="preserve"> </w:t>
      </w:r>
      <w:r w:rsidR="53C3F1B2">
        <w:t>most common</w:t>
      </w:r>
      <w:r>
        <w:t xml:space="preserve"> </w:t>
      </w:r>
      <w:r w:rsidR="00055F5E">
        <w:t>MH</w:t>
      </w:r>
      <w:r w:rsidR="007414DC">
        <w:t xml:space="preserve"> </w:t>
      </w:r>
      <w:r w:rsidR="00CE1A72">
        <w:t>conditions</w:t>
      </w:r>
      <w:r>
        <w:t xml:space="preserve">: anxiety and depression. Supplementary files document </w:t>
      </w:r>
      <w:r w:rsidR="0083172C">
        <w:t xml:space="preserve">the </w:t>
      </w:r>
      <w:r>
        <w:t xml:space="preserve">less common </w:t>
      </w:r>
      <w:r w:rsidR="00055F5E">
        <w:t>MH</w:t>
      </w:r>
      <w:r w:rsidR="0E740BE1">
        <w:t>-related</w:t>
      </w:r>
      <w:r>
        <w:t xml:space="preserve"> </w:t>
      </w:r>
      <w:r w:rsidR="0083172C">
        <w:t>indicators</w:t>
      </w:r>
      <w:r w:rsidR="00D51ADD">
        <w:t xml:space="preserve"> (</w:t>
      </w:r>
      <w:r w:rsidR="0083172C">
        <w:t>self-harm</w:t>
      </w:r>
      <w:r w:rsidR="0C067BE6">
        <w:t>,</w:t>
      </w:r>
      <w:r w:rsidR="0083172C">
        <w:t xml:space="preserve"> overdoses, alcohol intoxication, sleep difficulties and prescriptions</w:t>
      </w:r>
      <w:r w:rsidR="00A60422">
        <w:t xml:space="preserve"> for </w:t>
      </w:r>
      <w:r w:rsidR="00055F5E">
        <w:t>MH</w:t>
      </w:r>
      <w:r w:rsidR="00A60422">
        <w:t xml:space="preserve"> medication</w:t>
      </w:r>
      <w:r w:rsidR="00326851">
        <w:t>s</w:t>
      </w:r>
      <w:r w:rsidR="00D51ADD">
        <w:t>)</w:t>
      </w:r>
      <w:r w:rsidR="0083172C">
        <w:t xml:space="preserve">. </w:t>
      </w:r>
      <w:r w:rsidR="000526C4">
        <w:t>D</w:t>
      </w:r>
      <w:r w:rsidR="00954A4E">
        <w:t>ata do not indicate if the overdose, self-harm or alcohol intoxication were deliberate or accidental.</w:t>
      </w:r>
      <w:r w:rsidR="00C317DE">
        <w:t xml:space="preserve"> Analysis stratified by sex</w:t>
      </w:r>
      <w:r w:rsidR="00F36F3A">
        <w:t xml:space="preserve"> (Male &amp; Female)</w:t>
      </w:r>
      <w:r w:rsidR="00C317DE">
        <w:t xml:space="preserve"> can also be viewed in the supplementary material. </w:t>
      </w:r>
      <w:r w:rsidR="5088B003">
        <w:t xml:space="preserve">Differences between actual and expected </w:t>
      </w:r>
      <w:r w:rsidR="12A5CAF3">
        <w:t>indicator counts</w:t>
      </w:r>
      <w:r w:rsidR="5088B003">
        <w:t xml:space="preserve"> were calculated </w:t>
      </w:r>
      <w:r w:rsidR="005B715B">
        <w:t>a</w:t>
      </w:r>
      <w:r w:rsidR="00942FD4">
        <w:t xml:space="preserve">longside </w:t>
      </w:r>
      <w:r w:rsidR="005B715B">
        <w:t>p</w:t>
      </w:r>
      <w:r w:rsidR="355C2086">
        <w:t>ercentage change from expected values</w:t>
      </w:r>
      <w:r w:rsidR="005B715B">
        <w:t xml:space="preserve">. </w:t>
      </w:r>
      <w:r w:rsidR="00170DB9">
        <w:t xml:space="preserve">Results are </w:t>
      </w:r>
      <w:r w:rsidR="355C2086">
        <w:t xml:space="preserve">reported for all population, </w:t>
      </w:r>
      <w:r w:rsidR="00CD3AA9">
        <w:t>as well as age group</w:t>
      </w:r>
      <w:r w:rsidR="00C317DE">
        <w:t>.</w:t>
      </w:r>
      <w:r w:rsidR="148E2258">
        <w:t xml:space="preserve"> </w:t>
      </w:r>
      <w:r w:rsidR="4DE94917">
        <w:t>Confidence Intervals (</w:t>
      </w:r>
      <w:r w:rsidR="5088B003">
        <w:t>95%</w:t>
      </w:r>
      <w:r w:rsidR="00CD3AA9">
        <w:t xml:space="preserve"> </w:t>
      </w:r>
      <w:r w:rsidR="4DE94917">
        <w:t>CI)</w:t>
      </w:r>
      <w:r w:rsidR="355C2086">
        <w:t xml:space="preserve"> for percentage change</w:t>
      </w:r>
      <w:r w:rsidR="4DE94917">
        <w:t xml:space="preserve"> </w:t>
      </w:r>
      <w:r w:rsidR="5088B003">
        <w:t xml:space="preserve">were </w:t>
      </w:r>
      <w:r w:rsidR="4DE94917">
        <w:t xml:space="preserve">calculated </w:t>
      </w:r>
      <w:r w:rsidR="08FFFB53">
        <w:t xml:space="preserve">by applying </w:t>
      </w:r>
      <w:r w:rsidR="4DE94917">
        <w:t xml:space="preserve">the </w:t>
      </w:r>
      <w:r w:rsidR="3E17C1E5">
        <w:t>“</w:t>
      </w:r>
      <w:r w:rsidR="4DE94917">
        <w:t>qnorm</w:t>
      </w:r>
      <w:r w:rsidR="3E17C1E5">
        <w:t>”</w:t>
      </w:r>
      <w:r w:rsidR="4DE94917">
        <w:t xml:space="preserve"> function in R. </w:t>
      </w:r>
      <w:r w:rsidR="08FFFB53">
        <w:t xml:space="preserve"> </w:t>
      </w:r>
      <w:r w:rsidR="10F7DFA4">
        <w:t>We interpret 95% confidence intervals for the percentage difference between actual and counterfactual as significant when they are entirely above or below zero.</w:t>
      </w:r>
      <w:r w:rsidR="007914C8">
        <w:t xml:space="preserve"> </w:t>
      </w:r>
      <w:r w:rsidR="00170DB9">
        <w:t xml:space="preserve">All analysis was </w:t>
      </w:r>
      <w:r w:rsidR="0032160B">
        <w:t xml:space="preserve">undertaken in R Version </w:t>
      </w:r>
      <w:r w:rsidR="007914C8">
        <w:t>4.3.0</w:t>
      </w:r>
      <w:r w:rsidR="0032160B">
        <w:t>.</w:t>
      </w:r>
    </w:p>
    <w:p w14:paraId="643D0486" w14:textId="77777777" w:rsidR="00F66B1B" w:rsidRDefault="00F66B1B" w:rsidP="00EC0D19">
      <w:pPr>
        <w:spacing w:after="0" w:line="240" w:lineRule="auto"/>
      </w:pPr>
    </w:p>
    <w:p w14:paraId="20AAF30C" w14:textId="77777777" w:rsidR="005524CB" w:rsidRDefault="005524CB" w:rsidP="00EC0D19">
      <w:pPr>
        <w:spacing w:after="0" w:line="240" w:lineRule="auto"/>
      </w:pPr>
    </w:p>
    <w:p w14:paraId="471FCA09" w14:textId="77777777" w:rsidR="00C05743" w:rsidRPr="004423DB" w:rsidRDefault="00C05743" w:rsidP="00EC0D19">
      <w:pPr>
        <w:pStyle w:val="Heading2"/>
        <w:spacing w:before="0" w:line="240" w:lineRule="auto"/>
        <w:rPr>
          <w:rFonts w:cstheme="majorHAnsi"/>
          <w:b/>
          <w:bCs/>
          <w:color w:val="auto"/>
        </w:rPr>
      </w:pPr>
      <w:r w:rsidRPr="004423DB">
        <w:rPr>
          <w:rFonts w:cstheme="majorHAnsi"/>
          <w:b/>
          <w:bCs/>
          <w:color w:val="auto"/>
        </w:rPr>
        <w:t>Results</w:t>
      </w:r>
    </w:p>
    <w:p w14:paraId="74358998" w14:textId="77777777" w:rsidR="00787CB2" w:rsidRDefault="00787CB2" w:rsidP="00EC0D19">
      <w:pPr>
        <w:spacing w:after="0" w:line="240" w:lineRule="auto"/>
      </w:pPr>
    </w:p>
    <w:p w14:paraId="6DF72BAE" w14:textId="4E030FE7" w:rsidR="00017357" w:rsidRDefault="00756556" w:rsidP="00017357">
      <w:pPr>
        <w:spacing w:after="0" w:line="360" w:lineRule="auto"/>
      </w:pPr>
      <w:r>
        <w:t>D</w:t>
      </w:r>
      <w:r w:rsidR="5FDF484C">
        <w:t>ifferences between actual and counterfactual</w:t>
      </w:r>
      <w:r w:rsidR="37BD16FF">
        <w:t xml:space="preserve"> counts</w:t>
      </w:r>
      <w:r w:rsidR="5FDF484C">
        <w:t xml:space="preserve"> in each of the </w:t>
      </w:r>
      <w:r w:rsidR="00567572">
        <w:t>five</w:t>
      </w:r>
      <w:r w:rsidR="008F5D47">
        <w:t xml:space="preserve"> COVID-19 </w:t>
      </w:r>
      <w:r w:rsidR="5FDF484C">
        <w:t>periods</w:t>
      </w:r>
      <w:r w:rsidR="00804A00">
        <w:t xml:space="preserve"> of restrictions</w:t>
      </w:r>
      <w:r w:rsidR="0022028F">
        <w:t xml:space="preserve"> were assessed quantitatively (Table 2) and</w:t>
      </w:r>
      <w:r w:rsidR="00567572">
        <w:t xml:space="preserve"> selected MH indicators were visualised using a forest plot (Figure 1)</w:t>
      </w:r>
      <w:r w:rsidR="002965A4">
        <w:t xml:space="preserve"> - t</w:t>
      </w:r>
      <w:r w:rsidR="00567572">
        <w:t xml:space="preserve">otal indicators are also included to compare how supply of each system compared with MH indicators. </w:t>
      </w:r>
      <w:r w:rsidR="002965A4">
        <w:t xml:space="preserve">Quantitative analysis of other MH indicators can be viewed in Table S5. </w:t>
      </w:r>
      <w:r w:rsidR="00567572">
        <w:t>Figure 1 shows that</w:t>
      </w:r>
      <w:r w:rsidR="00567572" w:rsidRPr="00567572">
        <w:t xml:space="preserve"> </w:t>
      </w:r>
      <w:r w:rsidR="008216A4">
        <w:t>MH</w:t>
      </w:r>
      <w:r w:rsidR="00567572" w:rsidRPr="00567572">
        <w:t xml:space="preserve"> </w:t>
      </w:r>
      <w:r w:rsidR="00567572">
        <w:t>problems</w:t>
      </w:r>
      <w:r w:rsidR="00567572" w:rsidRPr="00567572">
        <w:t xml:space="preserve"> for the NHS111 system showed a significant decrease</w:t>
      </w:r>
      <w:r w:rsidR="00567572">
        <w:t xml:space="preserve"> </w:t>
      </w:r>
      <w:r w:rsidR="00567572" w:rsidRPr="00567572">
        <w:t>during the PRL1 period</w:t>
      </w:r>
      <w:r w:rsidR="00D55893">
        <w:t xml:space="preserve"> (-36.8%)</w:t>
      </w:r>
      <w:r w:rsidR="00567572" w:rsidRPr="00567572">
        <w:t>, compared with the totals for this system which increased</w:t>
      </w:r>
      <w:r w:rsidR="00567572">
        <w:t xml:space="preserve"> </w:t>
      </w:r>
      <w:r w:rsidR="00567572" w:rsidRPr="00567572">
        <w:t xml:space="preserve">substantially (17.3%). </w:t>
      </w:r>
      <w:r w:rsidR="00017357">
        <w:t xml:space="preserve">Calls for </w:t>
      </w:r>
      <w:r w:rsidR="008216A4">
        <w:t>MH</w:t>
      </w:r>
      <w:r w:rsidR="00017357">
        <w:t xml:space="preserve"> problems were elevated in later pandemic periods (PL1, L2, PL2) – however, were only significantly higher than total calls during the L2 period</w:t>
      </w:r>
      <w:r w:rsidR="005B12A4">
        <w:t xml:space="preserve"> (10.5%)</w:t>
      </w:r>
      <w:r w:rsidR="00017357">
        <w:t xml:space="preserve">. </w:t>
      </w:r>
      <w:r w:rsidR="00D55893">
        <w:t xml:space="preserve">A time-series for calls to NHS 111 for </w:t>
      </w:r>
      <w:r w:rsidR="00C867DC">
        <w:t>MH</w:t>
      </w:r>
      <w:r w:rsidR="00D55893">
        <w:t xml:space="preserve"> problems can be seen in Figure 2.</w:t>
      </w:r>
    </w:p>
    <w:p w14:paraId="3394248B" w14:textId="77777777" w:rsidR="00017357" w:rsidRDefault="00017357" w:rsidP="00017357">
      <w:pPr>
        <w:spacing w:after="0" w:line="360" w:lineRule="auto"/>
      </w:pPr>
    </w:p>
    <w:p w14:paraId="03D2ECDF" w14:textId="7362E265" w:rsidR="00017357" w:rsidRPr="00017357" w:rsidRDefault="00017357" w:rsidP="00017357">
      <w:pPr>
        <w:spacing w:after="0" w:line="360" w:lineRule="auto"/>
      </w:pPr>
      <w:r w:rsidRPr="00017357">
        <w:t xml:space="preserve">GPIH </w:t>
      </w:r>
      <w:r>
        <w:t>consultations</w:t>
      </w:r>
      <w:r w:rsidRPr="00017357">
        <w:t xml:space="preserve"> for anxiety remained at counterfactual levels across all periods</w:t>
      </w:r>
      <w:r>
        <w:t xml:space="preserve"> of restrictions</w:t>
      </w:r>
      <w:r w:rsidRPr="00017357">
        <w:t>,</w:t>
      </w:r>
    </w:p>
    <w:p w14:paraId="4DD5C8BB" w14:textId="5AC682D6" w:rsidR="00017357" w:rsidRPr="00017357" w:rsidRDefault="00017357" w:rsidP="00017357">
      <w:pPr>
        <w:spacing w:after="0" w:line="360" w:lineRule="auto"/>
      </w:pPr>
      <w:r w:rsidRPr="00017357">
        <w:t xml:space="preserve">except L1. While the other indicators witnessed a large decrease in </w:t>
      </w:r>
      <w:r>
        <w:t>consultations</w:t>
      </w:r>
      <w:r w:rsidRPr="00017357">
        <w:t xml:space="preserve"> during the</w:t>
      </w:r>
    </w:p>
    <w:p w14:paraId="1CD2736E" w14:textId="348D317E" w:rsidR="00017357" w:rsidRDefault="00017357" w:rsidP="00017357">
      <w:pPr>
        <w:spacing w:after="0" w:line="360" w:lineRule="auto"/>
      </w:pPr>
      <w:r w:rsidRPr="00017357">
        <w:t>PRL1, L1 and PL1 periods</w:t>
      </w:r>
      <w:r w:rsidR="005B12A4">
        <w:t xml:space="preserve"> – with consultations for depression showing the largest decrease at 64.6%</w:t>
      </w:r>
      <w:r w:rsidRPr="00017357">
        <w:t xml:space="preserve">. </w:t>
      </w:r>
      <w:r>
        <w:t xml:space="preserve">All </w:t>
      </w:r>
      <w:r w:rsidR="00D55893">
        <w:t>MH</w:t>
      </w:r>
      <w:r w:rsidRPr="00017357">
        <w:t xml:space="preserve"> then returned to counterfactual estimates during</w:t>
      </w:r>
      <w:r w:rsidR="005B12A4">
        <w:t xml:space="preserve"> </w:t>
      </w:r>
      <w:r w:rsidRPr="00017357">
        <w:t>the L2 period</w:t>
      </w:r>
      <w:r>
        <w:t xml:space="preserve">. While consultations for </w:t>
      </w:r>
      <w:r>
        <w:lastRenderedPageBreak/>
        <w:t xml:space="preserve">depression </w:t>
      </w:r>
      <w:r w:rsidRPr="00017357">
        <w:t xml:space="preserve">remained below </w:t>
      </w:r>
      <w:r>
        <w:t>expected</w:t>
      </w:r>
      <w:r w:rsidRPr="00017357">
        <w:t xml:space="preserve"> estimates in all </w:t>
      </w:r>
      <w:r>
        <w:t>periods of restrictions</w:t>
      </w:r>
      <w:r w:rsidRPr="00017357">
        <w:t>.</w:t>
      </w:r>
      <w:r w:rsidR="00D55893">
        <w:t xml:space="preserve"> A time-series for All MH consultations to the GPIH can be seen in Figure 2 – while a time-series for anxiety and depression can be seen in Figure 3. </w:t>
      </w:r>
    </w:p>
    <w:p w14:paraId="460F5E78" w14:textId="77777777" w:rsidR="00017357" w:rsidRDefault="00017357" w:rsidP="00017357">
      <w:pPr>
        <w:spacing w:after="0" w:line="360" w:lineRule="auto"/>
      </w:pPr>
    </w:p>
    <w:p w14:paraId="0F02C974" w14:textId="6675B235" w:rsidR="00017357" w:rsidRPr="00017357" w:rsidRDefault="00017357" w:rsidP="00017357">
      <w:pPr>
        <w:spacing w:after="0" w:line="360" w:lineRule="auto"/>
      </w:pPr>
      <w:r>
        <w:t>MH</w:t>
      </w:r>
      <w:r w:rsidRPr="00017357">
        <w:t xml:space="preserve"> indicators for the GPOOH system also decreased during the PRL1 period,</w:t>
      </w:r>
    </w:p>
    <w:p w14:paraId="61F40BF0" w14:textId="0A7A415B" w:rsidR="00320ABB" w:rsidRDefault="00017357" w:rsidP="00320ABB">
      <w:pPr>
        <w:spacing w:after="0" w:line="360" w:lineRule="auto"/>
      </w:pPr>
      <w:r w:rsidRPr="00017357">
        <w:t>while the totals for this system increased (7.4%). Following this period</w:t>
      </w:r>
      <w:r>
        <w:t xml:space="preserve">, </w:t>
      </w:r>
      <w:r w:rsidRPr="00017357">
        <w:t xml:space="preserve">All </w:t>
      </w:r>
      <w:r>
        <w:t>MH</w:t>
      </w:r>
      <w:r w:rsidRPr="00017357">
        <w:t xml:space="preserve"> and </w:t>
      </w:r>
      <w:r>
        <w:t>a</w:t>
      </w:r>
      <w:r w:rsidRPr="00017357">
        <w:t>nxiety</w:t>
      </w:r>
      <w:r>
        <w:t xml:space="preserve"> </w:t>
      </w:r>
      <w:r w:rsidRPr="00017357">
        <w:t xml:space="preserve">were higher </w:t>
      </w:r>
      <w:r>
        <w:t xml:space="preserve">than counterfactual expectations and </w:t>
      </w:r>
      <w:r w:rsidR="00A402DB">
        <w:t>total consultations in subsequent periods</w:t>
      </w:r>
      <w:r w:rsidR="00320ABB">
        <w:t xml:space="preserve"> – with anxiety showing the highest increase of 41.8% during L2</w:t>
      </w:r>
      <w:r w:rsidR="00A402DB">
        <w:t xml:space="preserve">. Consultations for depression </w:t>
      </w:r>
      <w:r w:rsidRPr="00017357">
        <w:t xml:space="preserve">remain below </w:t>
      </w:r>
      <w:r w:rsidR="00A402DB">
        <w:t>counterfactual</w:t>
      </w:r>
      <w:r w:rsidRPr="00017357">
        <w:t xml:space="preserve"> levels during the L1 period</w:t>
      </w:r>
      <w:r w:rsidR="00A402DB">
        <w:t xml:space="preserve"> - </w:t>
      </w:r>
      <w:r w:rsidRPr="00017357">
        <w:t>before also increasing compar</w:t>
      </w:r>
      <w:r w:rsidR="00A402DB">
        <w:t xml:space="preserve">ed </w:t>
      </w:r>
      <w:r w:rsidRPr="00017357">
        <w:t>to</w:t>
      </w:r>
      <w:r w:rsidR="00A402DB">
        <w:t xml:space="preserve"> </w:t>
      </w:r>
      <w:r w:rsidRPr="00017357">
        <w:t xml:space="preserve">counterfactual and total presentations in the </w:t>
      </w:r>
      <w:r w:rsidR="00A402DB">
        <w:t>P</w:t>
      </w:r>
      <w:r w:rsidRPr="00017357">
        <w:t>L</w:t>
      </w:r>
      <w:r w:rsidR="00A402DB">
        <w:t>1</w:t>
      </w:r>
      <w:r w:rsidRPr="00017357">
        <w:t xml:space="preserve"> period.</w:t>
      </w:r>
      <w:r w:rsidR="00320ABB" w:rsidRPr="00320ABB">
        <w:t xml:space="preserve"> </w:t>
      </w:r>
      <w:r w:rsidR="00320ABB">
        <w:t xml:space="preserve">A time-series for All MH consultations to GPOOH can be seen in Figure 2 – while a time-series for anxiety and depression can be seen in Figure 3. </w:t>
      </w:r>
    </w:p>
    <w:p w14:paraId="0B60D8B7" w14:textId="6A7AEE38" w:rsidR="0044190A" w:rsidRPr="00320ABB" w:rsidRDefault="0044190A" w:rsidP="00017357">
      <w:pPr>
        <w:spacing w:after="0" w:line="360" w:lineRule="auto"/>
      </w:pPr>
    </w:p>
    <w:p w14:paraId="3DCB3469" w14:textId="3BF73EBE" w:rsidR="00A402DB" w:rsidRPr="00A402DB" w:rsidRDefault="00A402DB" w:rsidP="00A402DB">
      <w:pPr>
        <w:spacing w:after="0" w:line="360" w:lineRule="auto"/>
      </w:pPr>
      <w:r w:rsidRPr="00A402DB">
        <w:t>Within the ED</w:t>
      </w:r>
      <w:r>
        <w:t>SSS</w:t>
      </w:r>
      <w:r w:rsidRPr="00A402DB">
        <w:t xml:space="preserve"> system,</w:t>
      </w:r>
      <w:r>
        <w:t xml:space="preserve"> the </w:t>
      </w:r>
      <w:proofErr w:type="gramStart"/>
      <w:r>
        <w:t>All MH</w:t>
      </w:r>
      <w:proofErr w:type="gramEnd"/>
      <w:r>
        <w:t xml:space="preserve"> indicator</w:t>
      </w:r>
      <w:r w:rsidRPr="00A402DB">
        <w:t xml:space="preserve"> and the total indicator were below</w:t>
      </w:r>
    </w:p>
    <w:p w14:paraId="6A9F1536" w14:textId="6685E62F" w:rsidR="00261971" w:rsidRDefault="00A402DB" w:rsidP="00A402DB">
      <w:pPr>
        <w:spacing w:after="0" w:line="360" w:lineRule="auto"/>
      </w:pPr>
      <w:r w:rsidRPr="00A402DB">
        <w:t>counterfactual estimates during PR</w:t>
      </w:r>
      <w:r>
        <w:t>L</w:t>
      </w:r>
      <w:r w:rsidRPr="00A402DB">
        <w:t>1 and</w:t>
      </w:r>
      <w:r w:rsidR="00320ABB">
        <w:t xml:space="preserve"> lowest in the</w:t>
      </w:r>
      <w:r w:rsidRPr="00A402DB">
        <w:t xml:space="preserve"> L1 period</w:t>
      </w:r>
      <w:r w:rsidR="00320ABB">
        <w:t xml:space="preserve"> (25.4%)</w:t>
      </w:r>
      <w:r w:rsidRPr="00A402DB">
        <w:t xml:space="preserve">. During the PL1 period, </w:t>
      </w:r>
      <w:r>
        <w:t>MH</w:t>
      </w:r>
      <w:r w:rsidRPr="00A402DB">
        <w:t xml:space="preserve"> estimates had returned to counterfactual estimates </w:t>
      </w:r>
      <w:r>
        <w:t>and</w:t>
      </w:r>
      <w:r w:rsidRPr="00A402DB">
        <w:t xml:space="preserve"> were above total </w:t>
      </w:r>
      <w:r>
        <w:t>indicators</w:t>
      </w:r>
      <w:r w:rsidRPr="00A402DB">
        <w:t>.</w:t>
      </w:r>
      <w:r>
        <w:t xml:space="preserve"> </w:t>
      </w:r>
      <w:r w:rsidRPr="00A402DB">
        <w:t xml:space="preserve">The L2 period witnessed a decrease in </w:t>
      </w:r>
      <w:r>
        <w:t xml:space="preserve">MH </w:t>
      </w:r>
      <w:r w:rsidRPr="00A402DB">
        <w:t>while the PL2 period</w:t>
      </w:r>
      <w:r>
        <w:t xml:space="preserve"> </w:t>
      </w:r>
      <w:r w:rsidRPr="00A402DB">
        <w:t xml:space="preserve">shows </w:t>
      </w:r>
      <w:r w:rsidR="00C867DC">
        <w:t>MH</w:t>
      </w:r>
      <w:r w:rsidRPr="00A402DB">
        <w:t xml:space="preserve"> indicators were increased </w:t>
      </w:r>
      <w:r w:rsidR="00320ABB">
        <w:t xml:space="preserve">(11.1%) </w:t>
      </w:r>
      <w:r w:rsidRPr="00A402DB">
        <w:t>when compared with counterfactual and</w:t>
      </w:r>
      <w:r w:rsidR="00D55893">
        <w:t xml:space="preserve"> </w:t>
      </w:r>
      <w:r w:rsidRPr="00A402DB">
        <w:t>total presentations.</w:t>
      </w:r>
      <w:r w:rsidR="00320ABB">
        <w:t xml:space="preserve"> A time-series for All MH attendances to the EDSSS can be seen in Figure 2.</w:t>
      </w:r>
    </w:p>
    <w:p w14:paraId="6DFCA738" w14:textId="77777777" w:rsidR="00320ABB" w:rsidRDefault="00320ABB" w:rsidP="00D96536">
      <w:pPr>
        <w:spacing w:after="0" w:line="360" w:lineRule="auto"/>
      </w:pPr>
    </w:p>
    <w:p w14:paraId="08ED0F4A" w14:textId="6487F2F5" w:rsidR="00A64997" w:rsidRDefault="003609BA" w:rsidP="00D96536">
      <w:pPr>
        <w:spacing w:after="0" w:line="360" w:lineRule="auto"/>
      </w:pPr>
      <w:r>
        <w:t>T</w:t>
      </w:r>
      <w:r w:rsidR="7B574397">
        <w:t xml:space="preserve">ime series for </w:t>
      </w:r>
      <w:r w:rsidR="0847948C">
        <w:t>ambulance callouts</w:t>
      </w:r>
      <w:r w:rsidR="4F31CF08">
        <w:t xml:space="preserve"> related to</w:t>
      </w:r>
      <w:r w:rsidR="0847948C">
        <w:t xml:space="preserve"> </w:t>
      </w:r>
      <w:r w:rsidR="7B574397">
        <w:t xml:space="preserve">overdoses, </w:t>
      </w:r>
      <w:r w:rsidR="4F31CF08">
        <w:t>ED</w:t>
      </w:r>
      <w:r w:rsidR="30D0D3EE">
        <w:t>SS</w:t>
      </w:r>
      <w:r w:rsidR="00501A22">
        <w:t>S</w:t>
      </w:r>
      <w:r w:rsidR="4F31CF08">
        <w:t xml:space="preserve"> overdoses and </w:t>
      </w:r>
      <w:r w:rsidR="7B574397">
        <w:t xml:space="preserve">alcohol intoxication, </w:t>
      </w:r>
      <w:r w:rsidR="797D84CE">
        <w:t xml:space="preserve">GPOOH consultations for </w:t>
      </w:r>
      <w:r w:rsidR="7B574397">
        <w:t xml:space="preserve">self-harm, </w:t>
      </w:r>
      <w:r w:rsidR="006E030D">
        <w:t>NHS111</w:t>
      </w:r>
      <w:r w:rsidR="349DFB0E">
        <w:t xml:space="preserve"> calls for </w:t>
      </w:r>
      <w:r w:rsidR="7B574397">
        <w:t>sleep difficulties</w:t>
      </w:r>
      <w:r w:rsidR="21F3E42F">
        <w:t>,</w:t>
      </w:r>
      <w:r w:rsidR="7B574397">
        <w:t xml:space="preserve"> and </w:t>
      </w:r>
      <w:r w:rsidR="4F31CF08">
        <w:t xml:space="preserve">GPIH </w:t>
      </w:r>
      <w:r w:rsidR="7B574397">
        <w:t>prescriptions</w:t>
      </w:r>
      <w:r w:rsidR="00501A22">
        <w:t xml:space="preserve"> were visualised (</w:t>
      </w:r>
      <w:r w:rsidR="00501A22" w:rsidRPr="001816C4">
        <w:t>Figures S1-S2</w:t>
      </w:r>
      <w:r w:rsidR="00501A22">
        <w:t>)</w:t>
      </w:r>
      <w:r w:rsidR="7B574397">
        <w:t xml:space="preserve">. </w:t>
      </w:r>
      <w:r w:rsidR="60672C73">
        <w:t xml:space="preserve"> </w:t>
      </w:r>
      <w:r w:rsidR="00A5421C">
        <w:t>A</w:t>
      </w:r>
      <w:r w:rsidR="6522E667">
        <w:t>ll indicators</w:t>
      </w:r>
      <w:r w:rsidR="60672C73">
        <w:t xml:space="preserve"> show</w:t>
      </w:r>
      <w:r w:rsidR="00501A22">
        <w:t>ed</w:t>
      </w:r>
      <w:r w:rsidR="60672C73">
        <w:t xml:space="preserve"> trends of </w:t>
      </w:r>
      <w:r w:rsidR="0A7FB545">
        <w:t>long-term</w:t>
      </w:r>
      <w:r w:rsidR="60672C73">
        <w:t xml:space="preserve"> falls </w:t>
      </w:r>
      <w:r w:rsidR="00EE5780">
        <w:t>except for</w:t>
      </w:r>
      <w:r w:rsidR="60672C73">
        <w:t xml:space="preserve"> sleep difficulties which ha</w:t>
      </w:r>
      <w:r w:rsidR="6522E667">
        <w:t>d</w:t>
      </w:r>
      <w:r w:rsidR="60672C73">
        <w:t xml:space="preserve"> an upward trend.</w:t>
      </w:r>
      <w:r w:rsidR="61F1910A">
        <w:t xml:space="preserve"> </w:t>
      </w:r>
      <w:r w:rsidR="00D063E9">
        <w:t>However, the mean number of calls for sleep difficulties was low (n = 32).</w:t>
      </w:r>
    </w:p>
    <w:p w14:paraId="2DAF1DB9" w14:textId="0204E0AD" w:rsidR="00276205" w:rsidRDefault="005101E3" w:rsidP="00C34FDC">
      <w:r>
        <w:br w:type="page"/>
      </w:r>
      <w:r w:rsidR="00276205" w:rsidRPr="00A64997">
        <w:rPr>
          <w:b/>
          <w:bCs/>
        </w:rPr>
        <w:lastRenderedPageBreak/>
        <w:t>Table 2</w:t>
      </w:r>
      <w:r w:rsidR="00276205">
        <w:t xml:space="preserve">.  Percentage differences between actual and counterfactual </w:t>
      </w:r>
      <w:r w:rsidR="00226A9D">
        <w:t>utilisation</w:t>
      </w:r>
      <w:r w:rsidR="00276205">
        <w:t xml:space="preserve"> for all-population indicators.</w:t>
      </w:r>
    </w:p>
    <w:p w14:paraId="6E3FE2C8" w14:textId="77777777" w:rsidR="004870C5" w:rsidRPr="00D55EC4" w:rsidRDefault="004870C5" w:rsidP="004870C5">
      <w:pPr>
        <w:spacing w:after="0" w:line="240" w:lineRule="auto"/>
        <w:rPr>
          <w:sz w:val="24"/>
          <w:szCs w:val="24"/>
        </w:rPr>
      </w:pPr>
    </w:p>
    <w:tbl>
      <w:tblPr>
        <w:tblW w:w="9085" w:type="dxa"/>
        <w:tblBorders>
          <w:top w:val="single" w:sz="4" w:space="0" w:color="auto"/>
          <w:bottom w:val="single" w:sz="4" w:space="0" w:color="auto"/>
          <w:insideH w:val="single" w:sz="4" w:space="0" w:color="auto"/>
        </w:tblBorders>
        <w:tblLook w:val="04A0" w:firstRow="1" w:lastRow="0" w:firstColumn="1" w:lastColumn="0" w:noHBand="0" w:noVBand="1"/>
      </w:tblPr>
      <w:tblGrid>
        <w:gridCol w:w="581"/>
        <w:gridCol w:w="1764"/>
        <w:gridCol w:w="1348"/>
        <w:gridCol w:w="1348"/>
        <w:gridCol w:w="1348"/>
        <w:gridCol w:w="1348"/>
        <w:gridCol w:w="1348"/>
      </w:tblGrid>
      <w:tr w:rsidR="004870C5" w:rsidRPr="00D55EC4" w14:paraId="2E48DB9A" w14:textId="77777777" w:rsidTr="00D063E9">
        <w:trPr>
          <w:trHeight w:val="1061"/>
        </w:trPr>
        <w:tc>
          <w:tcPr>
            <w:tcW w:w="581" w:type="dxa"/>
            <w:tcBorders>
              <w:left w:val="single" w:sz="4" w:space="0" w:color="auto"/>
              <w:right w:val="single" w:sz="4" w:space="0" w:color="auto"/>
            </w:tcBorders>
            <w:shd w:val="clear" w:color="auto" w:fill="E7E6E6" w:themeFill="background2"/>
            <w:textDirection w:val="btLr"/>
            <w:vAlign w:val="center"/>
          </w:tcPr>
          <w:p w14:paraId="23EBFE41" w14:textId="588437E0" w:rsidR="004870C5" w:rsidRPr="00D063E9" w:rsidRDefault="00DF092B">
            <w:pPr>
              <w:spacing w:after="0" w:line="240" w:lineRule="auto"/>
              <w:jc w:val="center"/>
              <w:rPr>
                <w:rFonts w:ascii="Calibri" w:eastAsia="Times New Roman" w:hAnsi="Calibri" w:cs="Calibri"/>
                <w:b/>
                <w:bCs/>
                <w:color w:val="000000"/>
                <w:kern w:val="0"/>
                <w:sz w:val="24"/>
                <w:szCs w:val="24"/>
                <w:lang w:eastAsia="en-GB"/>
                <w14:ligatures w14:val="none"/>
              </w:rPr>
            </w:pPr>
            <w:r w:rsidRPr="00D063E9">
              <w:rPr>
                <w:rFonts w:ascii="Calibri" w:eastAsia="Times New Roman" w:hAnsi="Calibri" w:cs="Calibri"/>
                <w:b/>
                <w:bCs/>
                <w:color w:val="000000"/>
                <w:kern w:val="0"/>
                <w:sz w:val="24"/>
                <w:szCs w:val="24"/>
                <w:lang w:eastAsia="en-GB"/>
                <w14:ligatures w14:val="none"/>
              </w:rPr>
              <w:t>System</w:t>
            </w:r>
          </w:p>
        </w:tc>
        <w:tc>
          <w:tcPr>
            <w:tcW w:w="1764" w:type="dxa"/>
            <w:tcBorders>
              <w:left w:val="single" w:sz="4" w:space="0" w:color="auto"/>
              <w:bottom w:val="single" w:sz="4" w:space="0" w:color="auto"/>
            </w:tcBorders>
            <w:shd w:val="clear" w:color="auto" w:fill="E7E6E6" w:themeFill="background2"/>
            <w:vAlign w:val="center"/>
          </w:tcPr>
          <w:p w14:paraId="2F85D729" w14:textId="77777777" w:rsidR="004870C5" w:rsidRPr="00D063E9" w:rsidRDefault="004870C5">
            <w:pPr>
              <w:spacing w:after="0" w:line="240" w:lineRule="auto"/>
              <w:jc w:val="center"/>
              <w:rPr>
                <w:rFonts w:ascii="Calibri" w:eastAsia="Times New Roman" w:hAnsi="Calibri" w:cs="Calibri"/>
                <w:b/>
                <w:bCs/>
                <w:color w:val="000000"/>
                <w:kern w:val="0"/>
                <w:sz w:val="24"/>
                <w:szCs w:val="24"/>
                <w:lang w:eastAsia="en-GB"/>
                <w14:ligatures w14:val="none"/>
              </w:rPr>
            </w:pPr>
            <w:r w:rsidRPr="00D063E9">
              <w:rPr>
                <w:rFonts w:ascii="Calibri" w:eastAsia="Times New Roman" w:hAnsi="Calibri" w:cs="Calibri"/>
                <w:b/>
                <w:bCs/>
                <w:color w:val="000000"/>
                <w:kern w:val="0"/>
                <w:sz w:val="24"/>
                <w:szCs w:val="24"/>
                <w:lang w:eastAsia="en-GB"/>
                <w14:ligatures w14:val="none"/>
              </w:rPr>
              <w:t>Period \ Indicator</w:t>
            </w:r>
          </w:p>
        </w:tc>
        <w:tc>
          <w:tcPr>
            <w:tcW w:w="1348" w:type="dxa"/>
            <w:tcBorders>
              <w:bottom w:val="single" w:sz="4" w:space="0" w:color="auto"/>
            </w:tcBorders>
            <w:shd w:val="clear" w:color="auto" w:fill="E7E6E6" w:themeFill="background2"/>
            <w:vAlign w:val="center"/>
          </w:tcPr>
          <w:p w14:paraId="3C9C07AD" w14:textId="77777777" w:rsidR="004870C5" w:rsidRPr="00D063E9" w:rsidRDefault="004870C5">
            <w:pPr>
              <w:spacing w:after="0" w:line="240" w:lineRule="auto"/>
              <w:jc w:val="center"/>
              <w:rPr>
                <w:rFonts w:ascii="Calibri" w:eastAsia="Times New Roman" w:hAnsi="Calibri" w:cs="Calibri"/>
                <w:b/>
                <w:bCs/>
                <w:color w:val="000000"/>
                <w:kern w:val="0"/>
                <w:sz w:val="24"/>
                <w:szCs w:val="24"/>
                <w:lang w:eastAsia="en-GB"/>
                <w14:ligatures w14:val="none"/>
              </w:rPr>
            </w:pPr>
            <w:r w:rsidRPr="00D063E9">
              <w:rPr>
                <w:rFonts w:ascii="Calibri" w:eastAsia="Times New Roman" w:hAnsi="Calibri" w:cs="Calibri"/>
                <w:b/>
                <w:bCs/>
                <w:kern w:val="0"/>
                <w:sz w:val="24"/>
                <w:szCs w:val="24"/>
                <w:lang w:eastAsia="en-GB"/>
                <w14:ligatures w14:val="none"/>
              </w:rPr>
              <w:t>PRL1</w:t>
            </w:r>
          </w:p>
        </w:tc>
        <w:tc>
          <w:tcPr>
            <w:tcW w:w="1348" w:type="dxa"/>
            <w:tcBorders>
              <w:bottom w:val="single" w:sz="4" w:space="0" w:color="auto"/>
            </w:tcBorders>
            <w:shd w:val="clear" w:color="auto" w:fill="E7E6E6" w:themeFill="background2"/>
            <w:vAlign w:val="center"/>
          </w:tcPr>
          <w:p w14:paraId="48DF5223" w14:textId="77777777" w:rsidR="004870C5" w:rsidRPr="00D063E9" w:rsidRDefault="004870C5">
            <w:pPr>
              <w:spacing w:after="0" w:line="240" w:lineRule="auto"/>
              <w:jc w:val="center"/>
              <w:rPr>
                <w:rFonts w:ascii="Calibri" w:eastAsia="Times New Roman" w:hAnsi="Calibri" w:cs="Calibri"/>
                <w:b/>
                <w:bCs/>
                <w:color w:val="000000"/>
                <w:kern w:val="0"/>
                <w:sz w:val="24"/>
                <w:szCs w:val="24"/>
                <w:lang w:eastAsia="en-GB"/>
                <w14:ligatures w14:val="none"/>
              </w:rPr>
            </w:pPr>
            <w:r w:rsidRPr="00D063E9">
              <w:rPr>
                <w:rFonts w:ascii="Calibri" w:eastAsia="Times New Roman" w:hAnsi="Calibri" w:cs="Calibri"/>
                <w:b/>
                <w:bCs/>
                <w:kern w:val="0"/>
                <w:sz w:val="24"/>
                <w:szCs w:val="24"/>
                <w:lang w:eastAsia="en-GB"/>
                <w14:ligatures w14:val="none"/>
              </w:rPr>
              <w:t>L1</w:t>
            </w:r>
          </w:p>
        </w:tc>
        <w:tc>
          <w:tcPr>
            <w:tcW w:w="1348" w:type="dxa"/>
            <w:tcBorders>
              <w:bottom w:val="single" w:sz="4" w:space="0" w:color="auto"/>
            </w:tcBorders>
            <w:shd w:val="clear" w:color="auto" w:fill="E7E6E6" w:themeFill="background2"/>
            <w:vAlign w:val="center"/>
          </w:tcPr>
          <w:p w14:paraId="3A5EDDD6" w14:textId="77777777" w:rsidR="004870C5" w:rsidRPr="00D063E9" w:rsidRDefault="004870C5">
            <w:pPr>
              <w:spacing w:after="0" w:line="240" w:lineRule="auto"/>
              <w:jc w:val="center"/>
              <w:rPr>
                <w:rFonts w:ascii="Calibri" w:eastAsia="Times New Roman" w:hAnsi="Calibri" w:cs="Calibri"/>
                <w:b/>
                <w:bCs/>
                <w:color w:val="000000"/>
                <w:kern w:val="0"/>
                <w:sz w:val="24"/>
                <w:szCs w:val="24"/>
                <w:lang w:eastAsia="en-GB"/>
                <w14:ligatures w14:val="none"/>
              </w:rPr>
            </w:pPr>
            <w:r w:rsidRPr="00D063E9">
              <w:rPr>
                <w:rFonts w:ascii="Calibri" w:eastAsia="Times New Roman" w:hAnsi="Calibri" w:cs="Calibri"/>
                <w:b/>
                <w:bCs/>
                <w:kern w:val="0"/>
                <w:sz w:val="24"/>
                <w:szCs w:val="24"/>
                <w:lang w:eastAsia="en-GB"/>
                <w14:ligatures w14:val="none"/>
              </w:rPr>
              <w:t>PL1</w:t>
            </w:r>
          </w:p>
        </w:tc>
        <w:tc>
          <w:tcPr>
            <w:tcW w:w="1348" w:type="dxa"/>
            <w:tcBorders>
              <w:bottom w:val="single" w:sz="4" w:space="0" w:color="auto"/>
            </w:tcBorders>
            <w:shd w:val="clear" w:color="auto" w:fill="E7E6E6" w:themeFill="background2"/>
            <w:vAlign w:val="center"/>
          </w:tcPr>
          <w:p w14:paraId="64711B67" w14:textId="77777777" w:rsidR="004870C5" w:rsidRPr="00D063E9" w:rsidRDefault="004870C5">
            <w:pPr>
              <w:spacing w:after="0" w:line="240" w:lineRule="auto"/>
              <w:jc w:val="center"/>
              <w:rPr>
                <w:rFonts w:ascii="Calibri" w:eastAsia="Times New Roman" w:hAnsi="Calibri" w:cs="Calibri"/>
                <w:b/>
                <w:bCs/>
                <w:color w:val="000000"/>
                <w:kern w:val="0"/>
                <w:sz w:val="24"/>
                <w:szCs w:val="24"/>
                <w:lang w:eastAsia="en-GB"/>
                <w14:ligatures w14:val="none"/>
              </w:rPr>
            </w:pPr>
            <w:r w:rsidRPr="00D063E9">
              <w:rPr>
                <w:rFonts w:ascii="Calibri" w:eastAsia="Times New Roman" w:hAnsi="Calibri" w:cs="Calibri"/>
                <w:b/>
                <w:bCs/>
                <w:kern w:val="0"/>
                <w:sz w:val="24"/>
                <w:szCs w:val="24"/>
                <w:lang w:eastAsia="en-GB"/>
                <w14:ligatures w14:val="none"/>
              </w:rPr>
              <w:t>L2</w:t>
            </w:r>
          </w:p>
        </w:tc>
        <w:tc>
          <w:tcPr>
            <w:tcW w:w="1348" w:type="dxa"/>
            <w:tcBorders>
              <w:bottom w:val="single" w:sz="4" w:space="0" w:color="auto"/>
              <w:right w:val="single" w:sz="4" w:space="0" w:color="auto"/>
            </w:tcBorders>
            <w:shd w:val="clear" w:color="auto" w:fill="E7E6E6" w:themeFill="background2"/>
            <w:vAlign w:val="center"/>
          </w:tcPr>
          <w:p w14:paraId="62353541" w14:textId="77777777" w:rsidR="004870C5" w:rsidRPr="00D063E9" w:rsidRDefault="004870C5">
            <w:pPr>
              <w:spacing w:after="0" w:line="240" w:lineRule="auto"/>
              <w:jc w:val="center"/>
              <w:rPr>
                <w:rFonts w:ascii="Calibri" w:eastAsia="Times New Roman" w:hAnsi="Calibri" w:cs="Calibri"/>
                <w:b/>
                <w:bCs/>
                <w:color w:val="000000"/>
                <w:kern w:val="0"/>
                <w:sz w:val="24"/>
                <w:szCs w:val="24"/>
                <w:lang w:eastAsia="en-GB"/>
                <w14:ligatures w14:val="none"/>
              </w:rPr>
            </w:pPr>
            <w:r w:rsidRPr="00D063E9">
              <w:rPr>
                <w:rFonts w:ascii="Calibri" w:eastAsia="Times New Roman" w:hAnsi="Calibri" w:cs="Calibri"/>
                <w:b/>
                <w:bCs/>
                <w:kern w:val="0"/>
                <w:sz w:val="24"/>
                <w:szCs w:val="24"/>
                <w:lang w:eastAsia="en-GB"/>
                <w14:ligatures w14:val="none"/>
              </w:rPr>
              <w:t>PL2</w:t>
            </w:r>
          </w:p>
        </w:tc>
      </w:tr>
      <w:tr w:rsidR="004870C5" w:rsidRPr="00D55EC4" w14:paraId="5C026E77" w14:textId="77777777" w:rsidTr="00DF092B">
        <w:trPr>
          <w:trHeight w:val="508"/>
        </w:trPr>
        <w:tc>
          <w:tcPr>
            <w:tcW w:w="581" w:type="dxa"/>
            <w:tcBorders>
              <w:left w:val="single" w:sz="4" w:space="0" w:color="auto"/>
              <w:right w:val="single" w:sz="4" w:space="0" w:color="auto"/>
            </w:tcBorders>
            <w:textDirection w:val="btLr"/>
            <w:vAlign w:val="center"/>
            <w:hideMark/>
          </w:tcPr>
          <w:p w14:paraId="3C1D6662" w14:textId="29F61507" w:rsidR="004870C5" w:rsidRPr="00DF092B" w:rsidRDefault="004870C5">
            <w:pPr>
              <w:spacing w:after="0" w:line="240" w:lineRule="auto"/>
              <w:jc w:val="center"/>
              <w:rPr>
                <w:rFonts w:ascii="Calibri" w:eastAsia="Times New Roman" w:hAnsi="Calibri" w:cs="Calibri"/>
                <w:color w:val="000000"/>
                <w:kern w:val="0"/>
                <w:sz w:val="24"/>
                <w:szCs w:val="24"/>
                <w:lang w:eastAsia="en-GB"/>
                <w14:ligatures w14:val="none"/>
              </w:rPr>
            </w:pPr>
            <w:r w:rsidRPr="00DF092B">
              <w:rPr>
                <w:rFonts w:ascii="Calibri" w:eastAsia="Times New Roman" w:hAnsi="Calibri" w:cs="Calibri"/>
                <w:color w:val="000000"/>
                <w:kern w:val="0"/>
                <w:sz w:val="24"/>
                <w:szCs w:val="24"/>
                <w:lang w:eastAsia="en-GB"/>
                <w14:ligatures w14:val="none"/>
              </w:rPr>
              <w:t>EDSS</w:t>
            </w:r>
            <w:r w:rsidR="002A36AD" w:rsidRPr="00DF092B">
              <w:rPr>
                <w:rFonts w:ascii="Calibri" w:eastAsia="Times New Roman" w:hAnsi="Calibri" w:cs="Calibri"/>
                <w:color w:val="000000"/>
                <w:kern w:val="0"/>
                <w:sz w:val="24"/>
                <w:szCs w:val="24"/>
                <w:lang w:eastAsia="en-GB"/>
                <w14:ligatures w14:val="none"/>
              </w:rPr>
              <w:t>S</w:t>
            </w:r>
          </w:p>
        </w:tc>
        <w:tc>
          <w:tcPr>
            <w:tcW w:w="1764" w:type="dxa"/>
            <w:tcBorders>
              <w:top w:val="single" w:sz="4" w:space="0" w:color="auto"/>
              <w:left w:val="single" w:sz="4" w:space="0" w:color="auto"/>
              <w:bottom w:val="single" w:sz="4" w:space="0" w:color="auto"/>
            </w:tcBorders>
            <w:vAlign w:val="center"/>
            <w:hideMark/>
          </w:tcPr>
          <w:p w14:paraId="26869D3C" w14:textId="658C6A25" w:rsidR="00063EC6" w:rsidRDefault="00063EC6" w:rsidP="00063EC6">
            <w:pPr>
              <w:spacing w:after="0" w:line="240" w:lineRule="auto"/>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          Total </w:t>
            </w:r>
          </w:p>
          <w:p w14:paraId="6B6D6EC6" w14:textId="65B331B3" w:rsidR="00063EC6" w:rsidRDefault="00063EC6">
            <w:pPr>
              <w:spacing w:after="0" w:line="240" w:lineRule="auto"/>
              <w:jc w:val="center"/>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Attendances</w:t>
            </w:r>
          </w:p>
          <w:p w14:paraId="182C03C4" w14:textId="77777777" w:rsidR="00063EC6" w:rsidRDefault="00063EC6">
            <w:pPr>
              <w:spacing w:after="0" w:line="240" w:lineRule="auto"/>
              <w:jc w:val="center"/>
              <w:rPr>
                <w:rFonts w:ascii="Calibri" w:eastAsia="Times New Roman" w:hAnsi="Calibri" w:cs="Calibri"/>
                <w:kern w:val="0"/>
                <w:lang w:eastAsia="en-GB"/>
                <w14:ligatures w14:val="none"/>
              </w:rPr>
            </w:pPr>
          </w:p>
          <w:p w14:paraId="4EED835C" w14:textId="06EDCA10" w:rsidR="004870C5" w:rsidRPr="002F7D91"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All Mental Health</w:t>
            </w:r>
          </w:p>
        </w:tc>
        <w:tc>
          <w:tcPr>
            <w:tcW w:w="1348" w:type="dxa"/>
            <w:tcBorders>
              <w:top w:val="nil"/>
              <w:bottom w:val="nil"/>
            </w:tcBorders>
            <w:vAlign w:val="center"/>
            <w:hideMark/>
          </w:tcPr>
          <w:p w14:paraId="44AA31C0" w14:textId="019F9BB6" w:rsidR="00063EC6" w:rsidRDefault="00063EC6">
            <w:pPr>
              <w:spacing w:after="0" w:line="240" w:lineRule="auto"/>
              <w:jc w:val="center"/>
              <w:rPr>
                <w:rFonts w:eastAsia="Times New Roman" w:cstheme="minorHAnsi"/>
                <w:color w:val="4472C4" w:themeColor="accent1"/>
                <w:kern w:val="0"/>
                <w:sz w:val="20"/>
                <w:szCs w:val="20"/>
                <w:lang w:eastAsia="en-GB"/>
                <w14:ligatures w14:val="none"/>
              </w:rPr>
            </w:pPr>
            <w:r>
              <w:rPr>
                <w:rFonts w:eastAsia="Times New Roman" w:cstheme="minorHAnsi"/>
                <w:color w:val="4472C4" w:themeColor="accent1"/>
                <w:kern w:val="0"/>
                <w:sz w:val="20"/>
                <w:szCs w:val="20"/>
                <w:lang w:eastAsia="en-GB"/>
                <w14:ligatures w14:val="none"/>
              </w:rPr>
              <w:t xml:space="preserve">-16.3         </w:t>
            </w:r>
            <w:r w:rsidR="00193CF1">
              <w:rPr>
                <w:rFonts w:eastAsia="Times New Roman" w:cstheme="minorHAnsi"/>
                <w:color w:val="4472C4" w:themeColor="accent1"/>
                <w:kern w:val="0"/>
                <w:sz w:val="20"/>
                <w:szCs w:val="20"/>
                <w:lang w:eastAsia="en-GB"/>
                <w14:ligatures w14:val="none"/>
              </w:rPr>
              <w:t xml:space="preserve"> </w:t>
            </w:r>
            <w:r>
              <w:rPr>
                <w:rFonts w:eastAsia="Times New Roman" w:cstheme="minorHAnsi"/>
                <w:color w:val="4472C4" w:themeColor="accent1"/>
                <w:kern w:val="0"/>
                <w:sz w:val="20"/>
                <w:szCs w:val="20"/>
                <w:lang w:eastAsia="en-GB"/>
                <w14:ligatures w14:val="none"/>
              </w:rPr>
              <w:t xml:space="preserve">    (-18.5, -14.3)</w:t>
            </w:r>
          </w:p>
          <w:p w14:paraId="138B8BE9" w14:textId="77777777" w:rsidR="00063EC6" w:rsidRDefault="00063EC6">
            <w:pPr>
              <w:spacing w:after="0" w:line="240" w:lineRule="auto"/>
              <w:jc w:val="center"/>
              <w:rPr>
                <w:rFonts w:eastAsia="Times New Roman" w:cstheme="minorHAnsi"/>
                <w:color w:val="4472C4" w:themeColor="accent1"/>
                <w:kern w:val="0"/>
                <w:sz w:val="20"/>
                <w:szCs w:val="20"/>
                <w:lang w:eastAsia="en-GB"/>
                <w14:ligatures w14:val="none"/>
              </w:rPr>
            </w:pPr>
          </w:p>
          <w:p w14:paraId="08D53E63" w14:textId="4A0F367D"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-9.7</w:t>
            </w:r>
          </w:p>
          <w:p w14:paraId="77C706E5"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(-12.9, -6.8)</w:t>
            </w:r>
          </w:p>
        </w:tc>
        <w:tc>
          <w:tcPr>
            <w:tcW w:w="1348" w:type="dxa"/>
            <w:tcBorders>
              <w:top w:val="nil"/>
              <w:bottom w:val="nil"/>
            </w:tcBorders>
            <w:vAlign w:val="center"/>
            <w:hideMark/>
          </w:tcPr>
          <w:p w14:paraId="2D191464" w14:textId="5AAF582E" w:rsidR="00063EC6" w:rsidRDefault="00063EC6">
            <w:pPr>
              <w:spacing w:after="0" w:line="240" w:lineRule="auto"/>
              <w:jc w:val="center"/>
              <w:rPr>
                <w:rFonts w:eastAsia="Times New Roman" w:cstheme="minorHAnsi"/>
                <w:color w:val="4472C4" w:themeColor="accent1"/>
                <w:kern w:val="0"/>
                <w:sz w:val="20"/>
                <w:szCs w:val="20"/>
                <w:lang w:eastAsia="en-GB"/>
                <w14:ligatures w14:val="none"/>
              </w:rPr>
            </w:pPr>
            <w:r>
              <w:rPr>
                <w:rFonts w:eastAsia="Times New Roman" w:cstheme="minorHAnsi"/>
                <w:color w:val="4472C4" w:themeColor="accent1"/>
                <w:kern w:val="0"/>
                <w:sz w:val="20"/>
                <w:szCs w:val="20"/>
                <w:lang w:eastAsia="en-GB"/>
                <w14:ligatures w14:val="none"/>
              </w:rPr>
              <w:t>-41.8              (-44.7, -39.0)</w:t>
            </w:r>
          </w:p>
          <w:p w14:paraId="19A15E53" w14:textId="77777777" w:rsidR="00063EC6" w:rsidRDefault="00063EC6">
            <w:pPr>
              <w:spacing w:after="0" w:line="240" w:lineRule="auto"/>
              <w:jc w:val="center"/>
              <w:rPr>
                <w:rFonts w:eastAsia="Times New Roman" w:cstheme="minorHAnsi"/>
                <w:color w:val="4472C4" w:themeColor="accent1"/>
                <w:kern w:val="0"/>
                <w:sz w:val="20"/>
                <w:szCs w:val="20"/>
                <w:lang w:eastAsia="en-GB"/>
                <w14:ligatures w14:val="none"/>
              </w:rPr>
            </w:pPr>
          </w:p>
          <w:p w14:paraId="29608278" w14:textId="2341C46B"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-25.4</w:t>
            </w:r>
          </w:p>
          <w:p w14:paraId="7679F20F"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(-29.5, -21.7)</w:t>
            </w:r>
          </w:p>
        </w:tc>
        <w:tc>
          <w:tcPr>
            <w:tcW w:w="1348" w:type="dxa"/>
            <w:tcBorders>
              <w:top w:val="nil"/>
              <w:bottom w:val="nil"/>
            </w:tcBorders>
            <w:vAlign w:val="center"/>
            <w:hideMark/>
          </w:tcPr>
          <w:p w14:paraId="2FBE6A0B" w14:textId="24F41B27" w:rsidR="00063EC6" w:rsidRDefault="00063EC6">
            <w:pPr>
              <w:spacing w:after="0" w:line="240" w:lineRule="auto"/>
              <w:jc w:val="center"/>
              <w:rPr>
                <w:rFonts w:eastAsia="Times New Roman" w:cstheme="minorHAnsi"/>
                <w:color w:val="4472C4" w:themeColor="accent1"/>
                <w:kern w:val="0"/>
                <w:sz w:val="20"/>
                <w:szCs w:val="20"/>
                <w:lang w:eastAsia="en-GB"/>
                <w14:ligatures w14:val="none"/>
              </w:rPr>
            </w:pPr>
            <w:r w:rsidRPr="00063EC6">
              <w:rPr>
                <w:rFonts w:eastAsia="Times New Roman" w:cstheme="minorHAnsi"/>
                <w:color w:val="4472C4" w:themeColor="accent1"/>
                <w:kern w:val="0"/>
                <w:sz w:val="20"/>
                <w:szCs w:val="20"/>
                <w:lang w:eastAsia="en-GB"/>
                <w14:ligatures w14:val="none"/>
              </w:rPr>
              <w:t>-18.2              (-20.1, -16.3)</w:t>
            </w:r>
          </w:p>
          <w:p w14:paraId="4E93D0A7" w14:textId="77777777" w:rsidR="00063EC6" w:rsidRPr="00063EC6" w:rsidRDefault="00063EC6">
            <w:pPr>
              <w:spacing w:after="0" w:line="240" w:lineRule="auto"/>
              <w:jc w:val="center"/>
              <w:rPr>
                <w:rFonts w:eastAsia="Times New Roman" w:cstheme="minorHAnsi"/>
                <w:color w:val="4472C4" w:themeColor="accent1"/>
                <w:kern w:val="0"/>
                <w:sz w:val="20"/>
                <w:szCs w:val="20"/>
                <w:lang w:eastAsia="en-GB"/>
                <w14:ligatures w14:val="none"/>
              </w:rPr>
            </w:pPr>
          </w:p>
          <w:p w14:paraId="3F4819B1" w14:textId="13D6BA86"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3.1</w:t>
            </w:r>
          </w:p>
          <w:p w14:paraId="4C0E7909"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(0.6, 5.4)</w:t>
            </w:r>
          </w:p>
        </w:tc>
        <w:tc>
          <w:tcPr>
            <w:tcW w:w="1348" w:type="dxa"/>
            <w:tcBorders>
              <w:top w:val="nil"/>
              <w:bottom w:val="nil"/>
            </w:tcBorders>
            <w:vAlign w:val="center"/>
            <w:hideMark/>
          </w:tcPr>
          <w:p w14:paraId="140D873E" w14:textId="26AB72F4" w:rsidR="00063EC6" w:rsidRDefault="00063EC6">
            <w:pPr>
              <w:spacing w:after="0" w:line="240" w:lineRule="auto"/>
              <w:jc w:val="center"/>
              <w:rPr>
                <w:rFonts w:eastAsia="Times New Roman" w:cstheme="minorHAnsi"/>
                <w:color w:val="4472C4" w:themeColor="accent1"/>
                <w:kern w:val="0"/>
                <w:sz w:val="20"/>
                <w:szCs w:val="20"/>
                <w:lang w:eastAsia="en-GB"/>
                <w14:ligatures w14:val="none"/>
              </w:rPr>
            </w:pPr>
            <w:r>
              <w:rPr>
                <w:rFonts w:eastAsia="Times New Roman" w:cstheme="minorHAnsi"/>
                <w:color w:val="4472C4" w:themeColor="accent1"/>
                <w:kern w:val="0"/>
                <w:sz w:val="20"/>
                <w:szCs w:val="20"/>
                <w:lang w:eastAsia="en-GB"/>
                <w14:ligatures w14:val="none"/>
              </w:rPr>
              <w:t>-24.1              (-25.9, -22.3)</w:t>
            </w:r>
          </w:p>
          <w:p w14:paraId="30180F91" w14:textId="77777777" w:rsidR="00063EC6" w:rsidRDefault="00063EC6">
            <w:pPr>
              <w:spacing w:after="0" w:line="240" w:lineRule="auto"/>
              <w:jc w:val="center"/>
              <w:rPr>
                <w:rFonts w:eastAsia="Times New Roman" w:cstheme="minorHAnsi"/>
                <w:color w:val="4472C4" w:themeColor="accent1"/>
                <w:kern w:val="0"/>
                <w:sz w:val="20"/>
                <w:szCs w:val="20"/>
                <w:lang w:eastAsia="en-GB"/>
                <w14:ligatures w14:val="none"/>
              </w:rPr>
            </w:pPr>
          </w:p>
          <w:p w14:paraId="62463106" w14:textId="43C2679B"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-3.1</w:t>
            </w:r>
          </w:p>
          <w:p w14:paraId="39D39C74"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(-5.5, -0.9)</w:t>
            </w:r>
          </w:p>
        </w:tc>
        <w:tc>
          <w:tcPr>
            <w:tcW w:w="1348" w:type="dxa"/>
            <w:tcBorders>
              <w:top w:val="nil"/>
              <w:bottom w:val="nil"/>
              <w:right w:val="single" w:sz="4" w:space="0" w:color="auto"/>
            </w:tcBorders>
            <w:vAlign w:val="center"/>
            <w:hideMark/>
          </w:tcPr>
          <w:p w14:paraId="4F3C285D" w14:textId="282DE318" w:rsidR="00063EC6" w:rsidRDefault="00063EC6">
            <w:pPr>
              <w:spacing w:after="0" w:line="240" w:lineRule="auto"/>
              <w:jc w:val="center"/>
              <w:rPr>
                <w:rFonts w:eastAsia="Times New Roman" w:cstheme="minorHAnsi"/>
                <w:kern w:val="0"/>
                <w:sz w:val="20"/>
                <w:szCs w:val="20"/>
                <w:lang w:eastAsia="en-GB"/>
                <w14:ligatures w14:val="none"/>
              </w:rPr>
            </w:pPr>
            <w:r w:rsidRPr="00063EC6">
              <w:rPr>
                <w:rFonts w:eastAsia="Times New Roman" w:cstheme="minorHAnsi"/>
                <w:kern w:val="0"/>
                <w:sz w:val="20"/>
                <w:szCs w:val="20"/>
                <w:lang w:eastAsia="en-GB"/>
                <w14:ligatures w14:val="none"/>
              </w:rPr>
              <w:t xml:space="preserve">-0.6             </w:t>
            </w:r>
            <w:r w:rsidR="00193CF1">
              <w:rPr>
                <w:rFonts w:eastAsia="Times New Roman" w:cstheme="minorHAnsi"/>
                <w:kern w:val="0"/>
                <w:sz w:val="20"/>
                <w:szCs w:val="20"/>
                <w:lang w:eastAsia="en-GB"/>
                <w14:ligatures w14:val="none"/>
              </w:rPr>
              <w:t xml:space="preserve">  </w:t>
            </w:r>
            <w:r w:rsidRPr="00063EC6">
              <w:rPr>
                <w:rFonts w:eastAsia="Times New Roman" w:cstheme="minorHAnsi"/>
                <w:kern w:val="0"/>
                <w:sz w:val="20"/>
                <w:szCs w:val="20"/>
                <w:lang w:eastAsia="en-GB"/>
                <w14:ligatures w14:val="none"/>
              </w:rPr>
              <w:t xml:space="preserve">  (-2.4, 1.2)</w:t>
            </w:r>
          </w:p>
          <w:p w14:paraId="2B7A344C" w14:textId="77777777" w:rsidR="00063EC6" w:rsidRPr="00063EC6" w:rsidRDefault="00063EC6">
            <w:pPr>
              <w:spacing w:after="0" w:line="240" w:lineRule="auto"/>
              <w:jc w:val="center"/>
              <w:rPr>
                <w:rFonts w:eastAsia="Times New Roman" w:cstheme="minorHAnsi"/>
                <w:kern w:val="0"/>
                <w:sz w:val="20"/>
                <w:szCs w:val="20"/>
                <w:lang w:eastAsia="en-GB"/>
                <w14:ligatures w14:val="none"/>
              </w:rPr>
            </w:pPr>
          </w:p>
          <w:p w14:paraId="0625EFDA" w14:textId="1A65D229"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11.1</w:t>
            </w:r>
          </w:p>
          <w:p w14:paraId="786F2C46"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(8.5, 13.4)</w:t>
            </w:r>
          </w:p>
        </w:tc>
      </w:tr>
      <w:tr w:rsidR="004870C5" w:rsidRPr="00D55EC4" w14:paraId="2DCA65B9" w14:textId="77777777" w:rsidTr="00DF092B">
        <w:trPr>
          <w:trHeight w:val="675"/>
        </w:trPr>
        <w:tc>
          <w:tcPr>
            <w:tcW w:w="581" w:type="dxa"/>
            <w:vMerge w:val="restart"/>
            <w:tcBorders>
              <w:left w:val="single" w:sz="4" w:space="0" w:color="auto"/>
              <w:right w:val="single" w:sz="4" w:space="0" w:color="auto"/>
            </w:tcBorders>
            <w:textDirection w:val="btLr"/>
            <w:vAlign w:val="center"/>
            <w:hideMark/>
          </w:tcPr>
          <w:p w14:paraId="245A18CC" w14:textId="77777777" w:rsidR="004870C5" w:rsidRPr="00DF092B" w:rsidRDefault="004870C5">
            <w:pPr>
              <w:spacing w:after="0" w:line="240" w:lineRule="auto"/>
              <w:jc w:val="center"/>
              <w:rPr>
                <w:rFonts w:ascii="Calibri" w:eastAsia="Times New Roman" w:hAnsi="Calibri" w:cs="Calibri"/>
                <w:color w:val="000000"/>
                <w:kern w:val="0"/>
                <w:sz w:val="24"/>
                <w:szCs w:val="24"/>
                <w:lang w:eastAsia="en-GB"/>
                <w14:ligatures w14:val="none"/>
              </w:rPr>
            </w:pPr>
            <w:r w:rsidRPr="00DF092B">
              <w:rPr>
                <w:rFonts w:ascii="Calibri" w:eastAsia="Times New Roman" w:hAnsi="Calibri" w:cs="Calibri"/>
                <w:color w:val="000000"/>
                <w:kern w:val="0"/>
                <w:sz w:val="24"/>
                <w:szCs w:val="24"/>
                <w:lang w:eastAsia="en-GB"/>
                <w14:ligatures w14:val="none"/>
              </w:rPr>
              <w:t>GPIH</w:t>
            </w:r>
          </w:p>
        </w:tc>
        <w:tc>
          <w:tcPr>
            <w:tcW w:w="1764" w:type="dxa"/>
            <w:tcBorders>
              <w:top w:val="single" w:sz="4" w:space="0" w:color="auto"/>
              <w:left w:val="single" w:sz="4" w:space="0" w:color="auto"/>
              <w:bottom w:val="nil"/>
            </w:tcBorders>
            <w:vAlign w:val="center"/>
            <w:hideMark/>
          </w:tcPr>
          <w:p w14:paraId="2F762287" w14:textId="77777777" w:rsidR="004870C5" w:rsidRPr="002F7D91"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All Mental Health</w:t>
            </w:r>
            <w:r>
              <w:rPr>
                <w:rFonts w:ascii="Calibri" w:eastAsia="Times New Roman" w:hAnsi="Calibri" w:cs="Calibri"/>
                <w:kern w:val="0"/>
                <w:lang w:eastAsia="en-GB"/>
                <w14:ligatures w14:val="none"/>
              </w:rPr>
              <w:t xml:space="preserve"> </w:t>
            </w:r>
          </w:p>
        </w:tc>
        <w:tc>
          <w:tcPr>
            <w:tcW w:w="1348" w:type="dxa"/>
            <w:tcBorders>
              <w:bottom w:val="nil"/>
            </w:tcBorders>
            <w:vAlign w:val="center"/>
            <w:hideMark/>
          </w:tcPr>
          <w:p w14:paraId="62175568"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-15.2</w:t>
            </w:r>
          </w:p>
          <w:p w14:paraId="343451BF"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(-23.4, -8.0)</w:t>
            </w:r>
          </w:p>
        </w:tc>
        <w:tc>
          <w:tcPr>
            <w:tcW w:w="1348" w:type="dxa"/>
            <w:tcBorders>
              <w:bottom w:val="nil"/>
            </w:tcBorders>
            <w:vAlign w:val="center"/>
            <w:hideMark/>
          </w:tcPr>
          <w:p w14:paraId="5630D37E"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-40.9</w:t>
            </w:r>
          </w:p>
          <w:p w14:paraId="2A2E7113"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(-52.1, -31.2)</w:t>
            </w:r>
          </w:p>
        </w:tc>
        <w:tc>
          <w:tcPr>
            <w:tcW w:w="1348" w:type="dxa"/>
            <w:tcBorders>
              <w:bottom w:val="nil"/>
            </w:tcBorders>
            <w:vAlign w:val="center"/>
            <w:hideMark/>
          </w:tcPr>
          <w:p w14:paraId="52B4B9BF"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-19.5</w:t>
            </w:r>
          </w:p>
          <w:p w14:paraId="7A46B80A"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(-27.2, -12.7)</w:t>
            </w:r>
          </w:p>
        </w:tc>
        <w:tc>
          <w:tcPr>
            <w:tcW w:w="1348" w:type="dxa"/>
            <w:tcBorders>
              <w:bottom w:val="nil"/>
            </w:tcBorders>
            <w:vAlign w:val="center"/>
            <w:hideMark/>
          </w:tcPr>
          <w:p w14:paraId="060F47CE"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-14.6</w:t>
            </w:r>
          </w:p>
          <w:p w14:paraId="13425A2B"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(-20.8, -9.0)</w:t>
            </w:r>
          </w:p>
        </w:tc>
        <w:tc>
          <w:tcPr>
            <w:tcW w:w="1348" w:type="dxa"/>
            <w:tcBorders>
              <w:bottom w:val="nil"/>
              <w:right w:val="single" w:sz="4" w:space="0" w:color="auto"/>
            </w:tcBorders>
            <w:vAlign w:val="center"/>
            <w:hideMark/>
          </w:tcPr>
          <w:p w14:paraId="7389DD2A"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-4.6</w:t>
            </w:r>
          </w:p>
          <w:p w14:paraId="0AF68148"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(-12.0, 1.8)</w:t>
            </w:r>
          </w:p>
        </w:tc>
      </w:tr>
      <w:tr w:rsidR="004870C5" w:rsidRPr="00D55EC4" w14:paraId="30D3AF21" w14:textId="77777777" w:rsidTr="00DF092B">
        <w:trPr>
          <w:trHeight w:val="359"/>
        </w:trPr>
        <w:tc>
          <w:tcPr>
            <w:tcW w:w="581" w:type="dxa"/>
            <w:vMerge/>
            <w:tcBorders>
              <w:left w:val="single" w:sz="4" w:space="0" w:color="auto"/>
              <w:right w:val="single" w:sz="4" w:space="0" w:color="auto"/>
            </w:tcBorders>
            <w:vAlign w:val="center"/>
            <w:hideMark/>
          </w:tcPr>
          <w:p w14:paraId="1C1192B6" w14:textId="77777777" w:rsidR="004870C5" w:rsidRPr="00D55EC4" w:rsidRDefault="004870C5">
            <w:pPr>
              <w:spacing w:after="0" w:line="240" w:lineRule="auto"/>
              <w:rPr>
                <w:rFonts w:ascii="Calibri" w:eastAsia="Times New Roman" w:hAnsi="Calibri" w:cs="Calibri"/>
                <w:b/>
                <w:bCs/>
                <w:color w:val="000000"/>
                <w:kern w:val="0"/>
                <w:sz w:val="24"/>
                <w:szCs w:val="24"/>
                <w:lang w:eastAsia="en-GB"/>
                <w14:ligatures w14:val="none"/>
              </w:rPr>
            </w:pPr>
          </w:p>
        </w:tc>
        <w:tc>
          <w:tcPr>
            <w:tcW w:w="1764" w:type="dxa"/>
            <w:tcBorders>
              <w:top w:val="nil"/>
              <w:left w:val="single" w:sz="4" w:space="0" w:color="auto"/>
              <w:bottom w:val="nil"/>
            </w:tcBorders>
            <w:vAlign w:val="center"/>
            <w:hideMark/>
          </w:tcPr>
          <w:p w14:paraId="69360B62" w14:textId="77777777" w:rsidR="004870C5" w:rsidRPr="002F7D91"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Anxiety</w:t>
            </w:r>
          </w:p>
        </w:tc>
        <w:tc>
          <w:tcPr>
            <w:tcW w:w="1348" w:type="dxa"/>
            <w:tcBorders>
              <w:top w:val="nil"/>
              <w:bottom w:val="nil"/>
            </w:tcBorders>
            <w:vAlign w:val="center"/>
            <w:hideMark/>
          </w:tcPr>
          <w:p w14:paraId="595FA271"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7.2</w:t>
            </w:r>
          </w:p>
          <w:p w14:paraId="44E79BD9"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(-1.2, 14.3)</w:t>
            </w:r>
          </w:p>
        </w:tc>
        <w:tc>
          <w:tcPr>
            <w:tcW w:w="1348" w:type="dxa"/>
            <w:tcBorders>
              <w:top w:val="nil"/>
              <w:bottom w:val="nil"/>
            </w:tcBorders>
            <w:vAlign w:val="center"/>
            <w:hideMark/>
          </w:tcPr>
          <w:p w14:paraId="0452A2A9"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-14.5</w:t>
            </w:r>
          </w:p>
          <w:p w14:paraId="7136E42A"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(-26.3, -4.8)</w:t>
            </w:r>
          </w:p>
        </w:tc>
        <w:tc>
          <w:tcPr>
            <w:tcW w:w="1348" w:type="dxa"/>
            <w:tcBorders>
              <w:top w:val="nil"/>
              <w:bottom w:val="nil"/>
            </w:tcBorders>
            <w:vAlign w:val="center"/>
            <w:hideMark/>
          </w:tcPr>
          <w:p w14:paraId="61DC16FE"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-0.8</w:t>
            </w:r>
          </w:p>
          <w:p w14:paraId="536AF24D"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 xml:space="preserve">(-9.0, 6.3) </w:t>
            </w:r>
          </w:p>
        </w:tc>
        <w:tc>
          <w:tcPr>
            <w:tcW w:w="1348" w:type="dxa"/>
            <w:tcBorders>
              <w:top w:val="nil"/>
              <w:bottom w:val="nil"/>
            </w:tcBorders>
            <w:vAlign w:val="center"/>
            <w:hideMark/>
          </w:tcPr>
          <w:p w14:paraId="48DE609E"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-2.5</w:t>
            </w:r>
          </w:p>
          <w:p w14:paraId="162D75C7"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(-9.5, 3.7)</w:t>
            </w:r>
          </w:p>
        </w:tc>
        <w:tc>
          <w:tcPr>
            <w:tcW w:w="1348" w:type="dxa"/>
            <w:tcBorders>
              <w:top w:val="nil"/>
              <w:bottom w:val="nil"/>
              <w:right w:val="single" w:sz="4" w:space="0" w:color="auto"/>
            </w:tcBorders>
            <w:vAlign w:val="center"/>
            <w:hideMark/>
          </w:tcPr>
          <w:p w14:paraId="690C07BE"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7.6</w:t>
            </w:r>
          </w:p>
          <w:p w14:paraId="0D91E38F"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000000"/>
                <w:kern w:val="0"/>
                <w:sz w:val="20"/>
                <w:szCs w:val="20"/>
                <w:lang w:eastAsia="en-GB"/>
                <w14:ligatures w14:val="none"/>
              </w:rPr>
              <w:t>(-0.8, 14.6)</w:t>
            </w:r>
          </w:p>
        </w:tc>
      </w:tr>
      <w:tr w:rsidR="004870C5" w:rsidRPr="00D55EC4" w14:paraId="78C32527" w14:textId="77777777" w:rsidTr="00DF092B">
        <w:trPr>
          <w:trHeight w:val="470"/>
        </w:trPr>
        <w:tc>
          <w:tcPr>
            <w:tcW w:w="581" w:type="dxa"/>
            <w:vMerge/>
            <w:tcBorders>
              <w:left w:val="single" w:sz="4" w:space="0" w:color="auto"/>
              <w:right w:val="single" w:sz="4" w:space="0" w:color="auto"/>
            </w:tcBorders>
            <w:vAlign w:val="center"/>
            <w:hideMark/>
          </w:tcPr>
          <w:p w14:paraId="43F25815" w14:textId="77777777" w:rsidR="004870C5" w:rsidRPr="00D55EC4" w:rsidRDefault="004870C5">
            <w:pPr>
              <w:spacing w:after="0" w:line="240" w:lineRule="auto"/>
              <w:rPr>
                <w:rFonts w:ascii="Calibri" w:eastAsia="Times New Roman" w:hAnsi="Calibri" w:cs="Calibri"/>
                <w:b/>
                <w:bCs/>
                <w:color w:val="000000"/>
                <w:kern w:val="0"/>
                <w:sz w:val="24"/>
                <w:szCs w:val="24"/>
                <w:lang w:eastAsia="en-GB"/>
                <w14:ligatures w14:val="none"/>
              </w:rPr>
            </w:pPr>
          </w:p>
        </w:tc>
        <w:tc>
          <w:tcPr>
            <w:tcW w:w="1764" w:type="dxa"/>
            <w:tcBorders>
              <w:top w:val="nil"/>
              <w:left w:val="single" w:sz="4" w:space="0" w:color="auto"/>
              <w:bottom w:val="single" w:sz="4" w:space="0" w:color="auto"/>
            </w:tcBorders>
            <w:vAlign w:val="center"/>
            <w:hideMark/>
          </w:tcPr>
          <w:p w14:paraId="432A0854" w14:textId="77777777" w:rsidR="004870C5" w:rsidRPr="002F7D91"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Depression</w:t>
            </w:r>
          </w:p>
        </w:tc>
        <w:tc>
          <w:tcPr>
            <w:tcW w:w="1348" w:type="dxa"/>
            <w:tcBorders>
              <w:top w:val="nil"/>
              <w:bottom w:val="single" w:sz="4" w:space="0" w:color="auto"/>
            </w:tcBorders>
            <w:vAlign w:val="center"/>
            <w:hideMark/>
          </w:tcPr>
          <w:p w14:paraId="3E8E4B2B"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-32.7</w:t>
            </w:r>
          </w:p>
          <w:p w14:paraId="73E6837D"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(-42.2, -24.3)</w:t>
            </w:r>
          </w:p>
        </w:tc>
        <w:tc>
          <w:tcPr>
            <w:tcW w:w="1348" w:type="dxa"/>
            <w:tcBorders>
              <w:top w:val="nil"/>
              <w:bottom w:val="single" w:sz="4" w:space="0" w:color="auto"/>
            </w:tcBorders>
            <w:vAlign w:val="center"/>
            <w:hideMark/>
          </w:tcPr>
          <w:p w14:paraId="6D4F4E90"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-64.6</w:t>
            </w:r>
          </w:p>
          <w:p w14:paraId="1685E9C5"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(-77.8, -53.3)</w:t>
            </w:r>
          </w:p>
        </w:tc>
        <w:tc>
          <w:tcPr>
            <w:tcW w:w="1348" w:type="dxa"/>
            <w:tcBorders>
              <w:top w:val="nil"/>
              <w:bottom w:val="single" w:sz="4" w:space="0" w:color="auto"/>
            </w:tcBorders>
            <w:vAlign w:val="center"/>
            <w:hideMark/>
          </w:tcPr>
          <w:p w14:paraId="2A65DCFF"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-36.4</w:t>
            </w:r>
          </w:p>
          <w:p w14:paraId="20DBDF7B"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(-45.2, -28.7)</w:t>
            </w:r>
          </w:p>
        </w:tc>
        <w:tc>
          <w:tcPr>
            <w:tcW w:w="1348" w:type="dxa"/>
            <w:tcBorders>
              <w:top w:val="nil"/>
              <w:bottom w:val="single" w:sz="4" w:space="0" w:color="auto"/>
            </w:tcBorders>
            <w:vAlign w:val="center"/>
            <w:hideMark/>
          </w:tcPr>
          <w:p w14:paraId="2E19380B"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-27.2</w:t>
            </w:r>
          </w:p>
          <w:p w14:paraId="1887C6FB"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(-34.2, -21.0)</w:t>
            </w:r>
          </w:p>
        </w:tc>
        <w:tc>
          <w:tcPr>
            <w:tcW w:w="1348" w:type="dxa"/>
            <w:tcBorders>
              <w:top w:val="nil"/>
              <w:bottom w:val="single" w:sz="4" w:space="0" w:color="auto"/>
              <w:right w:val="single" w:sz="4" w:space="0" w:color="auto"/>
            </w:tcBorders>
            <w:vAlign w:val="center"/>
            <w:hideMark/>
          </w:tcPr>
          <w:p w14:paraId="2BE93B84"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-17.3</w:t>
            </w:r>
          </w:p>
          <w:p w14:paraId="2D9CF080"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(-25.6, -10.1)</w:t>
            </w:r>
          </w:p>
        </w:tc>
      </w:tr>
      <w:tr w:rsidR="004870C5" w:rsidRPr="00D55EC4" w14:paraId="15097749" w14:textId="77777777" w:rsidTr="00DF092B">
        <w:trPr>
          <w:trHeight w:val="666"/>
        </w:trPr>
        <w:tc>
          <w:tcPr>
            <w:tcW w:w="581" w:type="dxa"/>
            <w:tcBorders>
              <w:left w:val="single" w:sz="4" w:space="0" w:color="auto"/>
              <w:right w:val="single" w:sz="4" w:space="0" w:color="auto"/>
            </w:tcBorders>
            <w:textDirection w:val="btLr"/>
            <w:vAlign w:val="center"/>
            <w:hideMark/>
          </w:tcPr>
          <w:p w14:paraId="71755462" w14:textId="45992B8F" w:rsidR="004870C5" w:rsidRPr="00DF092B" w:rsidRDefault="006E030D">
            <w:pPr>
              <w:spacing w:after="0" w:line="240" w:lineRule="auto"/>
              <w:jc w:val="center"/>
              <w:rPr>
                <w:rFonts w:ascii="Calibri" w:eastAsia="Times New Roman" w:hAnsi="Calibri" w:cs="Calibri"/>
                <w:color w:val="000000"/>
                <w:kern w:val="0"/>
                <w:sz w:val="24"/>
                <w:szCs w:val="24"/>
                <w:lang w:eastAsia="en-GB"/>
                <w14:ligatures w14:val="none"/>
              </w:rPr>
            </w:pPr>
            <w:r w:rsidRPr="00DF092B">
              <w:rPr>
                <w:rFonts w:ascii="Calibri" w:eastAsia="Times New Roman" w:hAnsi="Calibri" w:cs="Calibri"/>
                <w:color w:val="000000"/>
                <w:kern w:val="0"/>
                <w:sz w:val="24"/>
                <w:szCs w:val="24"/>
                <w:lang w:eastAsia="en-GB"/>
                <w14:ligatures w14:val="none"/>
              </w:rPr>
              <w:t>NHS111</w:t>
            </w:r>
            <w:r w:rsidR="004870C5" w:rsidRPr="00DF092B">
              <w:rPr>
                <w:rFonts w:ascii="Calibri" w:eastAsia="Times New Roman" w:hAnsi="Calibri" w:cs="Calibri"/>
                <w:color w:val="000000"/>
                <w:kern w:val="0"/>
                <w:sz w:val="24"/>
                <w:szCs w:val="24"/>
                <w:lang w:eastAsia="en-GB"/>
                <w14:ligatures w14:val="none"/>
              </w:rPr>
              <w:t xml:space="preserve"> </w:t>
            </w:r>
          </w:p>
        </w:tc>
        <w:tc>
          <w:tcPr>
            <w:tcW w:w="1764" w:type="dxa"/>
            <w:tcBorders>
              <w:left w:val="single" w:sz="4" w:space="0" w:color="auto"/>
              <w:bottom w:val="nil"/>
            </w:tcBorders>
            <w:vAlign w:val="center"/>
          </w:tcPr>
          <w:p w14:paraId="3591BB9B" w14:textId="35ABCCB1" w:rsidR="005E0DBF" w:rsidRDefault="005E0DBF">
            <w:pPr>
              <w:spacing w:after="0" w:line="240" w:lineRule="auto"/>
              <w:jc w:val="center"/>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Total Calls</w:t>
            </w:r>
          </w:p>
          <w:p w14:paraId="403D4925" w14:textId="77777777" w:rsidR="00C34FDC" w:rsidRDefault="00C34FDC">
            <w:pPr>
              <w:spacing w:after="0" w:line="240" w:lineRule="auto"/>
              <w:jc w:val="center"/>
              <w:rPr>
                <w:rFonts w:ascii="Calibri" w:eastAsia="Times New Roman" w:hAnsi="Calibri" w:cs="Calibri"/>
                <w:kern w:val="0"/>
                <w:lang w:eastAsia="en-GB"/>
                <w14:ligatures w14:val="none"/>
              </w:rPr>
            </w:pPr>
          </w:p>
          <w:p w14:paraId="3D332053" w14:textId="3B5E8E9C" w:rsidR="004870C5" w:rsidRPr="002F7D91"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Mental Health Problems</w:t>
            </w:r>
          </w:p>
        </w:tc>
        <w:tc>
          <w:tcPr>
            <w:tcW w:w="1348" w:type="dxa"/>
            <w:tcBorders>
              <w:bottom w:val="nil"/>
            </w:tcBorders>
            <w:vAlign w:val="center"/>
          </w:tcPr>
          <w:p w14:paraId="7B5662D2" w14:textId="2889476C" w:rsidR="005E0DBF" w:rsidRDefault="005E0DBF">
            <w:pPr>
              <w:spacing w:after="0" w:line="240" w:lineRule="auto"/>
              <w:jc w:val="center"/>
              <w:rPr>
                <w:rFonts w:eastAsia="Times New Roman" w:cstheme="minorHAnsi"/>
                <w:color w:val="ED7D31" w:themeColor="accent2"/>
                <w:kern w:val="0"/>
                <w:sz w:val="20"/>
                <w:szCs w:val="20"/>
                <w:lang w:eastAsia="en-GB"/>
                <w14:ligatures w14:val="none"/>
              </w:rPr>
            </w:pPr>
            <w:r w:rsidRPr="005E0DBF">
              <w:rPr>
                <w:rFonts w:eastAsia="Times New Roman" w:cstheme="minorHAnsi"/>
                <w:color w:val="ED7D31" w:themeColor="accent2"/>
                <w:kern w:val="0"/>
                <w:sz w:val="20"/>
                <w:szCs w:val="20"/>
                <w:lang w:eastAsia="en-GB"/>
                <w14:ligatures w14:val="none"/>
              </w:rPr>
              <w:t>17.3       (14.2, 20.3)</w:t>
            </w:r>
          </w:p>
          <w:p w14:paraId="4FB545BA" w14:textId="77777777" w:rsidR="00C34FDC" w:rsidRPr="005E0DBF" w:rsidRDefault="00C34FDC" w:rsidP="00C34FDC">
            <w:pPr>
              <w:spacing w:after="0" w:line="240" w:lineRule="auto"/>
              <w:rPr>
                <w:rFonts w:eastAsia="Times New Roman" w:cstheme="minorHAnsi"/>
                <w:color w:val="ED7D31" w:themeColor="accent2"/>
                <w:kern w:val="0"/>
                <w:sz w:val="20"/>
                <w:szCs w:val="20"/>
                <w:lang w:eastAsia="en-GB"/>
                <w14:ligatures w14:val="none"/>
              </w:rPr>
            </w:pPr>
          </w:p>
          <w:p w14:paraId="6D6BD934" w14:textId="1AD8698F"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-36.8</w:t>
            </w:r>
          </w:p>
          <w:p w14:paraId="5D78A3EA"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(-42.0, -31.9)</w:t>
            </w:r>
          </w:p>
        </w:tc>
        <w:tc>
          <w:tcPr>
            <w:tcW w:w="1348" w:type="dxa"/>
            <w:tcBorders>
              <w:bottom w:val="nil"/>
            </w:tcBorders>
            <w:vAlign w:val="center"/>
          </w:tcPr>
          <w:p w14:paraId="67908C51" w14:textId="66A12440" w:rsidR="005E0DBF" w:rsidRDefault="005E0DBF">
            <w:pPr>
              <w:spacing w:after="0" w:line="240" w:lineRule="auto"/>
              <w:jc w:val="center"/>
              <w:rPr>
                <w:rFonts w:eastAsia="Times New Roman" w:cstheme="minorHAnsi"/>
                <w:color w:val="ED7D31" w:themeColor="accent2"/>
                <w:kern w:val="0"/>
                <w:sz w:val="20"/>
                <w:szCs w:val="20"/>
                <w:lang w:eastAsia="en-GB"/>
                <w14:ligatures w14:val="none"/>
              </w:rPr>
            </w:pPr>
            <w:r w:rsidRPr="005E0DBF">
              <w:rPr>
                <w:rFonts w:eastAsia="Times New Roman" w:cstheme="minorHAnsi"/>
                <w:color w:val="ED7D31" w:themeColor="accent2"/>
                <w:kern w:val="0"/>
                <w:sz w:val="20"/>
                <w:szCs w:val="20"/>
                <w:lang w:eastAsia="en-GB"/>
                <w14:ligatures w14:val="none"/>
              </w:rPr>
              <w:t>4.5            (0.4, 8.3)</w:t>
            </w:r>
          </w:p>
          <w:p w14:paraId="680C768A" w14:textId="77777777" w:rsidR="00C34FDC" w:rsidRPr="005E0DBF" w:rsidRDefault="00C34FDC">
            <w:pPr>
              <w:spacing w:after="0" w:line="240" w:lineRule="auto"/>
              <w:jc w:val="center"/>
              <w:rPr>
                <w:rFonts w:eastAsia="Times New Roman" w:cstheme="minorHAnsi"/>
                <w:color w:val="ED7D31" w:themeColor="accent2"/>
                <w:kern w:val="0"/>
                <w:sz w:val="20"/>
                <w:szCs w:val="20"/>
                <w:lang w:eastAsia="en-GB"/>
                <w14:ligatures w14:val="none"/>
              </w:rPr>
            </w:pPr>
          </w:p>
          <w:p w14:paraId="783523F1" w14:textId="37295DC4"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-18.1</w:t>
            </w:r>
          </w:p>
          <w:p w14:paraId="29B0CFE2"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(-23.3, -13.4)</w:t>
            </w:r>
          </w:p>
        </w:tc>
        <w:tc>
          <w:tcPr>
            <w:tcW w:w="1348" w:type="dxa"/>
            <w:tcBorders>
              <w:bottom w:val="nil"/>
            </w:tcBorders>
            <w:vAlign w:val="center"/>
          </w:tcPr>
          <w:p w14:paraId="3313071E" w14:textId="1DBACC0D" w:rsidR="005E0DBF" w:rsidRDefault="005E0DBF">
            <w:pPr>
              <w:spacing w:after="0" w:line="240" w:lineRule="auto"/>
              <w:jc w:val="center"/>
              <w:rPr>
                <w:rFonts w:eastAsia="Times New Roman" w:cstheme="minorHAnsi"/>
                <w:color w:val="ED7D31" w:themeColor="accent2"/>
                <w:kern w:val="0"/>
                <w:sz w:val="20"/>
                <w:szCs w:val="20"/>
                <w:lang w:eastAsia="en-GB"/>
                <w14:ligatures w14:val="none"/>
              </w:rPr>
            </w:pPr>
            <w:r>
              <w:rPr>
                <w:rFonts w:eastAsia="Times New Roman" w:cstheme="minorHAnsi"/>
                <w:color w:val="ED7D31" w:themeColor="accent2"/>
                <w:kern w:val="0"/>
                <w:sz w:val="20"/>
                <w:szCs w:val="20"/>
                <w:lang w:eastAsia="en-GB"/>
                <w14:ligatures w14:val="none"/>
              </w:rPr>
              <w:t xml:space="preserve">9.6        </w:t>
            </w:r>
            <w:r w:rsidR="00193CF1">
              <w:rPr>
                <w:rFonts w:eastAsia="Times New Roman" w:cstheme="minorHAnsi"/>
                <w:color w:val="ED7D31" w:themeColor="accent2"/>
                <w:kern w:val="0"/>
                <w:sz w:val="20"/>
                <w:szCs w:val="20"/>
                <w:lang w:eastAsia="en-GB"/>
                <w14:ligatures w14:val="none"/>
              </w:rPr>
              <w:t xml:space="preserve"> </w:t>
            </w:r>
            <w:r>
              <w:rPr>
                <w:rFonts w:eastAsia="Times New Roman" w:cstheme="minorHAnsi"/>
                <w:color w:val="ED7D31" w:themeColor="accent2"/>
                <w:kern w:val="0"/>
                <w:sz w:val="20"/>
                <w:szCs w:val="20"/>
                <w:lang w:eastAsia="en-GB"/>
                <w14:ligatures w14:val="none"/>
              </w:rPr>
              <w:t xml:space="preserve">   (6.5, 12.5)</w:t>
            </w:r>
          </w:p>
          <w:p w14:paraId="62A3ACD9" w14:textId="77777777" w:rsidR="00C34FDC" w:rsidRDefault="00C34FDC">
            <w:pPr>
              <w:spacing w:after="0" w:line="240" w:lineRule="auto"/>
              <w:jc w:val="center"/>
              <w:rPr>
                <w:rFonts w:eastAsia="Times New Roman" w:cstheme="minorHAnsi"/>
                <w:color w:val="ED7D31" w:themeColor="accent2"/>
                <w:kern w:val="0"/>
                <w:sz w:val="20"/>
                <w:szCs w:val="20"/>
                <w:lang w:eastAsia="en-GB"/>
                <w14:ligatures w14:val="none"/>
              </w:rPr>
            </w:pPr>
          </w:p>
          <w:p w14:paraId="7F23EA56" w14:textId="4EF89FB0"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15.0</w:t>
            </w:r>
          </w:p>
          <w:p w14:paraId="1FE1F242"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(12.0, 17.7)</w:t>
            </w:r>
          </w:p>
        </w:tc>
        <w:tc>
          <w:tcPr>
            <w:tcW w:w="1348" w:type="dxa"/>
            <w:tcBorders>
              <w:bottom w:val="nil"/>
            </w:tcBorders>
            <w:vAlign w:val="center"/>
          </w:tcPr>
          <w:p w14:paraId="056778C8" w14:textId="2232C725" w:rsidR="005E0DBF" w:rsidRDefault="005E0DBF">
            <w:pPr>
              <w:spacing w:after="0" w:line="240" w:lineRule="auto"/>
              <w:jc w:val="center"/>
              <w:rPr>
                <w:rFonts w:eastAsia="Times New Roman" w:cstheme="minorHAnsi"/>
                <w:kern w:val="0"/>
                <w:sz w:val="20"/>
                <w:szCs w:val="20"/>
                <w:lang w:eastAsia="en-GB"/>
                <w14:ligatures w14:val="none"/>
              </w:rPr>
            </w:pPr>
            <w:r w:rsidRPr="005E0DBF">
              <w:rPr>
                <w:rFonts w:eastAsia="Times New Roman" w:cstheme="minorHAnsi"/>
                <w:kern w:val="0"/>
                <w:sz w:val="20"/>
                <w:szCs w:val="20"/>
                <w:lang w:eastAsia="en-GB"/>
                <w14:ligatures w14:val="none"/>
              </w:rPr>
              <w:t xml:space="preserve">2.3           </w:t>
            </w:r>
            <w:r w:rsidR="00193CF1">
              <w:rPr>
                <w:rFonts w:eastAsia="Times New Roman" w:cstheme="minorHAnsi"/>
                <w:kern w:val="0"/>
                <w:sz w:val="20"/>
                <w:szCs w:val="20"/>
                <w:lang w:eastAsia="en-GB"/>
                <w14:ligatures w14:val="none"/>
              </w:rPr>
              <w:t xml:space="preserve"> </w:t>
            </w:r>
            <w:r w:rsidRPr="005E0DBF">
              <w:rPr>
                <w:rFonts w:eastAsia="Times New Roman" w:cstheme="minorHAnsi"/>
                <w:kern w:val="0"/>
                <w:sz w:val="20"/>
                <w:szCs w:val="20"/>
                <w:lang w:eastAsia="en-GB"/>
                <w14:ligatures w14:val="none"/>
              </w:rPr>
              <w:t xml:space="preserve">     (-0.7, 5.1)</w:t>
            </w:r>
          </w:p>
          <w:p w14:paraId="542D7D7B" w14:textId="77777777" w:rsidR="00C34FDC" w:rsidRPr="005E0DBF" w:rsidRDefault="00C34FDC">
            <w:pPr>
              <w:spacing w:after="0" w:line="240" w:lineRule="auto"/>
              <w:jc w:val="center"/>
              <w:rPr>
                <w:rFonts w:eastAsia="Times New Roman" w:cstheme="minorHAnsi"/>
                <w:kern w:val="0"/>
                <w:sz w:val="20"/>
                <w:szCs w:val="20"/>
                <w:lang w:eastAsia="en-GB"/>
                <w14:ligatures w14:val="none"/>
              </w:rPr>
            </w:pPr>
          </w:p>
          <w:p w14:paraId="3A17A21F" w14:textId="76967731"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10.5</w:t>
            </w:r>
          </w:p>
          <w:p w14:paraId="37B3586D"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(7.8, 13.1)</w:t>
            </w:r>
          </w:p>
        </w:tc>
        <w:tc>
          <w:tcPr>
            <w:tcW w:w="1348" w:type="dxa"/>
            <w:tcBorders>
              <w:bottom w:val="nil"/>
              <w:right w:val="single" w:sz="4" w:space="0" w:color="auto"/>
            </w:tcBorders>
            <w:vAlign w:val="center"/>
          </w:tcPr>
          <w:p w14:paraId="79C55C34" w14:textId="110EA7AB" w:rsidR="005E0DBF" w:rsidRDefault="005E0DBF">
            <w:pPr>
              <w:spacing w:after="0" w:line="240" w:lineRule="auto"/>
              <w:jc w:val="center"/>
              <w:rPr>
                <w:rFonts w:eastAsia="Times New Roman" w:cstheme="minorHAnsi"/>
                <w:color w:val="ED7D31" w:themeColor="accent2"/>
                <w:kern w:val="0"/>
                <w:sz w:val="20"/>
                <w:szCs w:val="20"/>
                <w:lang w:eastAsia="en-GB"/>
                <w14:ligatures w14:val="none"/>
              </w:rPr>
            </w:pPr>
            <w:r>
              <w:rPr>
                <w:rFonts w:eastAsia="Times New Roman" w:cstheme="minorHAnsi"/>
                <w:color w:val="ED7D31" w:themeColor="accent2"/>
                <w:kern w:val="0"/>
                <w:sz w:val="20"/>
                <w:szCs w:val="20"/>
                <w:lang w:eastAsia="en-GB"/>
                <w14:ligatures w14:val="none"/>
              </w:rPr>
              <w:t xml:space="preserve">16.2    </w:t>
            </w:r>
            <w:r w:rsidR="00193CF1">
              <w:rPr>
                <w:rFonts w:eastAsia="Times New Roman" w:cstheme="minorHAnsi"/>
                <w:color w:val="ED7D31" w:themeColor="accent2"/>
                <w:kern w:val="0"/>
                <w:sz w:val="20"/>
                <w:szCs w:val="20"/>
                <w:lang w:eastAsia="en-GB"/>
                <w14:ligatures w14:val="none"/>
              </w:rPr>
              <w:t xml:space="preserve"> </w:t>
            </w:r>
            <w:r>
              <w:rPr>
                <w:rFonts w:eastAsia="Times New Roman" w:cstheme="minorHAnsi"/>
                <w:color w:val="ED7D31" w:themeColor="accent2"/>
                <w:kern w:val="0"/>
                <w:sz w:val="20"/>
                <w:szCs w:val="20"/>
                <w:lang w:eastAsia="en-GB"/>
                <w14:ligatures w14:val="none"/>
              </w:rPr>
              <w:t xml:space="preserve">  (13.0, 19.2)</w:t>
            </w:r>
          </w:p>
          <w:p w14:paraId="0CD494D6" w14:textId="77777777" w:rsidR="00C34FDC" w:rsidRDefault="00C34FDC">
            <w:pPr>
              <w:spacing w:after="0" w:line="240" w:lineRule="auto"/>
              <w:jc w:val="center"/>
              <w:rPr>
                <w:rFonts w:eastAsia="Times New Roman" w:cstheme="minorHAnsi"/>
                <w:color w:val="ED7D31" w:themeColor="accent2"/>
                <w:kern w:val="0"/>
                <w:sz w:val="20"/>
                <w:szCs w:val="20"/>
                <w:lang w:eastAsia="en-GB"/>
                <w14:ligatures w14:val="none"/>
              </w:rPr>
            </w:pPr>
          </w:p>
          <w:p w14:paraId="76542D47" w14:textId="4C4B2488"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16.1</w:t>
            </w:r>
          </w:p>
          <w:p w14:paraId="1659FB46"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(12.8, 19.2)</w:t>
            </w:r>
          </w:p>
        </w:tc>
      </w:tr>
      <w:tr w:rsidR="004870C5" w:rsidRPr="00D55EC4" w14:paraId="32EF35C0" w14:textId="77777777" w:rsidTr="00DF092B">
        <w:trPr>
          <w:trHeight w:val="742"/>
        </w:trPr>
        <w:tc>
          <w:tcPr>
            <w:tcW w:w="581" w:type="dxa"/>
            <w:vMerge w:val="restart"/>
            <w:tcBorders>
              <w:left w:val="single" w:sz="4" w:space="0" w:color="auto"/>
              <w:right w:val="single" w:sz="4" w:space="0" w:color="auto"/>
            </w:tcBorders>
            <w:textDirection w:val="btLr"/>
            <w:vAlign w:val="center"/>
            <w:hideMark/>
          </w:tcPr>
          <w:p w14:paraId="289BEE8F" w14:textId="77777777" w:rsidR="004870C5" w:rsidRPr="00DF092B" w:rsidRDefault="004870C5">
            <w:pPr>
              <w:spacing w:after="0" w:line="240" w:lineRule="auto"/>
              <w:jc w:val="center"/>
              <w:rPr>
                <w:rFonts w:ascii="Calibri" w:eastAsia="Times New Roman" w:hAnsi="Calibri" w:cs="Calibri"/>
                <w:color w:val="000000"/>
                <w:kern w:val="0"/>
                <w:sz w:val="24"/>
                <w:szCs w:val="24"/>
                <w:lang w:eastAsia="en-GB"/>
                <w14:ligatures w14:val="none"/>
              </w:rPr>
            </w:pPr>
            <w:r w:rsidRPr="00DF092B">
              <w:rPr>
                <w:rFonts w:ascii="Calibri" w:eastAsia="Times New Roman" w:hAnsi="Calibri" w:cs="Calibri"/>
                <w:color w:val="000000"/>
                <w:kern w:val="0"/>
                <w:sz w:val="24"/>
                <w:szCs w:val="24"/>
                <w:lang w:eastAsia="en-GB"/>
                <w14:ligatures w14:val="none"/>
              </w:rPr>
              <w:t>GPOOH</w:t>
            </w:r>
          </w:p>
        </w:tc>
        <w:tc>
          <w:tcPr>
            <w:tcW w:w="1764" w:type="dxa"/>
            <w:tcBorders>
              <w:left w:val="single" w:sz="4" w:space="0" w:color="auto"/>
              <w:bottom w:val="nil"/>
            </w:tcBorders>
            <w:vAlign w:val="center"/>
          </w:tcPr>
          <w:p w14:paraId="68C56D39" w14:textId="5A3C0535" w:rsidR="00C34FDC" w:rsidRDefault="00C34FDC">
            <w:pPr>
              <w:spacing w:after="0" w:line="240" w:lineRule="auto"/>
              <w:jc w:val="center"/>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Total Consultations</w:t>
            </w:r>
          </w:p>
          <w:p w14:paraId="11E912CC" w14:textId="77777777" w:rsidR="000559BD" w:rsidRDefault="000559BD">
            <w:pPr>
              <w:spacing w:after="0" w:line="240" w:lineRule="auto"/>
              <w:jc w:val="center"/>
              <w:rPr>
                <w:rFonts w:ascii="Calibri" w:eastAsia="Times New Roman" w:hAnsi="Calibri" w:cs="Calibri"/>
                <w:kern w:val="0"/>
                <w:lang w:eastAsia="en-GB"/>
                <w14:ligatures w14:val="none"/>
              </w:rPr>
            </w:pPr>
          </w:p>
          <w:p w14:paraId="011BB134" w14:textId="66923430" w:rsidR="004870C5" w:rsidRPr="002F7D91"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All Mental Health</w:t>
            </w:r>
          </w:p>
        </w:tc>
        <w:tc>
          <w:tcPr>
            <w:tcW w:w="1348" w:type="dxa"/>
            <w:tcBorders>
              <w:bottom w:val="nil"/>
            </w:tcBorders>
            <w:vAlign w:val="center"/>
          </w:tcPr>
          <w:p w14:paraId="6C576D77" w14:textId="53D14116" w:rsidR="00C34FDC" w:rsidRPr="00C34FDC" w:rsidRDefault="00C34FDC">
            <w:pPr>
              <w:spacing w:after="0" w:line="240" w:lineRule="auto"/>
              <w:jc w:val="center"/>
              <w:rPr>
                <w:rFonts w:eastAsia="Times New Roman" w:cstheme="minorHAnsi"/>
                <w:color w:val="ED7D31" w:themeColor="accent2"/>
                <w:kern w:val="0"/>
                <w:sz w:val="20"/>
                <w:szCs w:val="20"/>
                <w:lang w:eastAsia="en-GB"/>
                <w14:ligatures w14:val="none"/>
              </w:rPr>
            </w:pPr>
            <w:r w:rsidRPr="00C34FDC">
              <w:rPr>
                <w:rFonts w:eastAsia="Times New Roman" w:cstheme="minorHAnsi"/>
                <w:color w:val="ED7D31" w:themeColor="accent2"/>
                <w:kern w:val="0"/>
                <w:sz w:val="20"/>
                <w:szCs w:val="20"/>
                <w:lang w:eastAsia="en-GB"/>
                <w14:ligatures w14:val="none"/>
              </w:rPr>
              <w:t xml:space="preserve">7.4     </w:t>
            </w:r>
            <w:r w:rsidR="00193CF1">
              <w:rPr>
                <w:rFonts w:eastAsia="Times New Roman" w:cstheme="minorHAnsi"/>
                <w:color w:val="ED7D31" w:themeColor="accent2"/>
                <w:kern w:val="0"/>
                <w:sz w:val="20"/>
                <w:szCs w:val="20"/>
                <w:lang w:eastAsia="en-GB"/>
                <w14:ligatures w14:val="none"/>
              </w:rPr>
              <w:t xml:space="preserve"> </w:t>
            </w:r>
            <w:r w:rsidRPr="00C34FDC">
              <w:rPr>
                <w:rFonts w:eastAsia="Times New Roman" w:cstheme="minorHAnsi"/>
                <w:color w:val="ED7D31" w:themeColor="accent2"/>
                <w:kern w:val="0"/>
                <w:sz w:val="20"/>
                <w:szCs w:val="20"/>
                <w:lang w:eastAsia="en-GB"/>
                <w14:ligatures w14:val="none"/>
              </w:rPr>
              <w:t xml:space="preserve">      (4.4, 10.2)</w:t>
            </w:r>
          </w:p>
          <w:p w14:paraId="75B8E6CB" w14:textId="77777777" w:rsidR="000559BD" w:rsidRDefault="000559BD">
            <w:pPr>
              <w:spacing w:after="0" w:line="240" w:lineRule="auto"/>
              <w:jc w:val="center"/>
              <w:rPr>
                <w:rFonts w:eastAsia="Times New Roman" w:cstheme="minorHAnsi"/>
                <w:color w:val="4472C4" w:themeColor="accent1"/>
                <w:kern w:val="0"/>
                <w:sz w:val="20"/>
                <w:szCs w:val="20"/>
                <w:lang w:eastAsia="en-GB"/>
                <w14:ligatures w14:val="none"/>
              </w:rPr>
            </w:pPr>
          </w:p>
          <w:p w14:paraId="1E69D5C9" w14:textId="3582CB2A"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-15.1</w:t>
            </w:r>
          </w:p>
          <w:p w14:paraId="5D3B34D8"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(-21.6, -9.3)</w:t>
            </w:r>
          </w:p>
        </w:tc>
        <w:tc>
          <w:tcPr>
            <w:tcW w:w="1348" w:type="dxa"/>
            <w:tcBorders>
              <w:bottom w:val="nil"/>
            </w:tcBorders>
            <w:vAlign w:val="center"/>
          </w:tcPr>
          <w:p w14:paraId="4E963737" w14:textId="2C7A1F80" w:rsidR="00C34FDC" w:rsidRPr="00C34FDC" w:rsidRDefault="00C34FDC">
            <w:pPr>
              <w:spacing w:after="0" w:line="240" w:lineRule="auto"/>
              <w:jc w:val="center"/>
              <w:rPr>
                <w:rFonts w:eastAsia="Times New Roman" w:cstheme="minorHAnsi"/>
                <w:color w:val="4472C4" w:themeColor="accent1"/>
                <w:kern w:val="0"/>
                <w:sz w:val="20"/>
                <w:szCs w:val="20"/>
                <w:lang w:eastAsia="en-GB"/>
                <w14:ligatures w14:val="none"/>
              </w:rPr>
            </w:pPr>
            <w:r w:rsidRPr="00C34FDC">
              <w:rPr>
                <w:rFonts w:eastAsia="Times New Roman" w:cstheme="minorHAnsi"/>
                <w:color w:val="4472C4" w:themeColor="accent1"/>
                <w:kern w:val="0"/>
                <w:sz w:val="20"/>
                <w:szCs w:val="20"/>
                <w:lang w:eastAsia="en-GB"/>
                <w14:ligatures w14:val="none"/>
              </w:rPr>
              <w:t>-11.3              (-15.4, -7.5)</w:t>
            </w:r>
          </w:p>
          <w:p w14:paraId="71F3FDB7" w14:textId="77777777" w:rsidR="000559BD" w:rsidRDefault="000559BD">
            <w:pPr>
              <w:spacing w:after="0" w:line="240" w:lineRule="auto"/>
              <w:jc w:val="center"/>
              <w:rPr>
                <w:rFonts w:eastAsia="Times New Roman" w:cstheme="minorHAnsi"/>
                <w:color w:val="ED7D31" w:themeColor="accent2"/>
                <w:kern w:val="0"/>
                <w:sz w:val="20"/>
                <w:szCs w:val="20"/>
                <w:lang w:eastAsia="en-GB"/>
                <w14:ligatures w14:val="none"/>
              </w:rPr>
            </w:pPr>
          </w:p>
          <w:p w14:paraId="436729FB" w14:textId="517AE019"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24.1</w:t>
            </w:r>
          </w:p>
          <w:p w14:paraId="67C26CBB"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(19.4, 28.3)</w:t>
            </w:r>
          </w:p>
        </w:tc>
        <w:tc>
          <w:tcPr>
            <w:tcW w:w="1348" w:type="dxa"/>
            <w:tcBorders>
              <w:bottom w:val="nil"/>
            </w:tcBorders>
            <w:vAlign w:val="center"/>
          </w:tcPr>
          <w:p w14:paraId="6D44BF2E" w14:textId="7EE3147B" w:rsidR="00C34FDC" w:rsidRPr="00C34FDC" w:rsidRDefault="00C34FDC">
            <w:pPr>
              <w:spacing w:after="0" w:line="240" w:lineRule="auto"/>
              <w:jc w:val="center"/>
              <w:rPr>
                <w:rFonts w:eastAsia="Times New Roman" w:cstheme="minorHAnsi"/>
                <w:color w:val="4472C4" w:themeColor="accent1"/>
                <w:kern w:val="0"/>
                <w:sz w:val="20"/>
                <w:szCs w:val="20"/>
                <w:lang w:eastAsia="en-GB"/>
                <w14:ligatures w14:val="none"/>
              </w:rPr>
            </w:pPr>
            <w:r w:rsidRPr="00C34FDC">
              <w:rPr>
                <w:rFonts w:eastAsia="Times New Roman" w:cstheme="minorHAnsi"/>
                <w:color w:val="4472C4" w:themeColor="accent1"/>
                <w:kern w:val="0"/>
                <w:sz w:val="20"/>
                <w:szCs w:val="20"/>
                <w:lang w:eastAsia="en-GB"/>
                <w14:ligatures w14:val="none"/>
              </w:rPr>
              <w:t>-6.4                (-9.5, -3.5)</w:t>
            </w:r>
          </w:p>
          <w:p w14:paraId="52D7B352" w14:textId="77777777" w:rsidR="000559BD" w:rsidRDefault="000559BD">
            <w:pPr>
              <w:spacing w:after="0" w:line="240" w:lineRule="auto"/>
              <w:jc w:val="center"/>
              <w:rPr>
                <w:rFonts w:eastAsia="Times New Roman" w:cstheme="minorHAnsi"/>
                <w:color w:val="ED7D31" w:themeColor="accent2"/>
                <w:kern w:val="0"/>
                <w:sz w:val="20"/>
                <w:szCs w:val="20"/>
                <w:lang w:eastAsia="en-GB"/>
                <w14:ligatures w14:val="none"/>
              </w:rPr>
            </w:pPr>
          </w:p>
          <w:p w14:paraId="28D22703" w14:textId="38593F21"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20.0</w:t>
            </w:r>
          </w:p>
          <w:p w14:paraId="212F7934"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(16.0, 23.7)</w:t>
            </w:r>
          </w:p>
        </w:tc>
        <w:tc>
          <w:tcPr>
            <w:tcW w:w="1348" w:type="dxa"/>
            <w:tcBorders>
              <w:bottom w:val="nil"/>
            </w:tcBorders>
            <w:vAlign w:val="center"/>
          </w:tcPr>
          <w:p w14:paraId="520ADF7D" w14:textId="6C8290CA" w:rsidR="00C34FDC" w:rsidRPr="00C34FDC" w:rsidRDefault="00C34FDC">
            <w:pPr>
              <w:spacing w:after="0" w:line="240" w:lineRule="auto"/>
              <w:jc w:val="center"/>
              <w:rPr>
                <w:rFonts w:eastAsia="Times New Roman" w:cstheme="minorHAnsi"/>
                <w:color w:val="4472C4" w:themeColor="accent1"/>
                <w:kern w:val="0"/>
                <w:sz w:val="20"/>
                <w:szCs w:val="20"/>
                <w:lang w:eastAsia="en-GB"/>
                <w14:ligatures w14:val="none"/>
              </w:rPr>
            </w:pPr>
            <w:r w:rsidRPr="00C34FDC">
              <w:rPr>
                <w:rFonts w:eastAsia="Times New Roman" w:cstheme="minorHAnsi"/>
                <w:color w:val="4472C4" w:themeColor="accent1"/>
                <w:kern w:val="0"/>
                <w:sz w:val="20"/>
                <w:szCs w:val="20"/>
                <w:lang w:eastAsia="en-GB"/>
                <w14:ligatures w14:val="none"/>
              </w:rPr>
              <w:t>-5.8                (-8.5, -3.2)</w:t>
            </w:r>
          </w:p>
          <w:p w14:paraId="09EC26C5" w14:textId="77777777" w:rsidR="000559BD" w:rsidRDefault="000559BD">
            <w:pPr>
              <w:spacing w:after="0" w:line="240" w:lineRule="auto"/>
              <w:jc w:val="center"/>
              <w:rPr>
                <w:rFonts w:eastAsia="Times New Roman" w:cstheme="minorHAnsi"/>
                <w:color w:val="ED7D31" w:themeColor="accent2"/>
                <w:kern w:val="0"/>
                <w:sz w:val="20"/>
                <w:szCs w:val="20"/>
                <w:lang w:eastAsia="en-GB"/>
                <w14:ligatures w14:val="none"/>
              </w:rPr>
            </w:pPr>
          </w:p>
          <w:p w14:paraId="354994EF" w14:textId="380744EE"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37.0</w:t>
            </w:r>
          </w:p>
          <w:p w14:paraId="62E374E1"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(34.2, 39.6)</w:t>
            </w:r>
          </w:p>
        </w:tc>
        <w:tc>
          <w:tcPr>
            <w:tcW w:w="1348" w:type="dxa"/>
            <w:tcBorders>
              <w:bottom w:val="nil"/>
              <w:right w:val="single" w:sz="4" w:space="0" w:color="auto"/>
            </w:tcBorders>
            <w:vAlign w:val="center"/>
          </w:tcPr>
          <w:p w14:paraId="691B1935" w14:textId="46A83521" w:rsidR="00C34FDC" w:rsidRDefault="00C34FDC">
            <w:pPr>
              <w:spacing w:after="0" w:line="240" w:lineRule="auto"/>
              <w:jc w:val="center"/>
              <w:rPr>
                <w:rFonts w:eastAsia="Times New Roman" w:cstheme="minorHAnsi"/>
                <w:color w:val="ED7D31" w:themeColor="accent2"/>
                <w:kern w:val="0"/>
                <w:sz w:val="20"/>
                <w:szCs w:val="20"/>
                <w:lang w:eastAsia="en-GB"/>
                <w14:ligatures w14:val="none"/>
              </w:rPr>
            </w:pPr>
            <w:r>
              <w:rPr>
                <w:rFonts w:eastAsia="Times New Roman" w:cstheme="minorHAnsi"/>
                <w:color w:val="ED7D31" w:themeColor="accent2"/>
                <w:kern w:val="0"/>
                <w:sz w:val="20"/>
                <w:szCs w:val="20"/>
                <w:lang w:eastAsia="en-GB"/>
                <w14:ligatures w14:val="none"/>
              </w:rPr>
              <w:t>7.2            (4.2, 10.0)</w:t>
            </w:r>
          </w:p>
          <w:p w14:paraId="3BF3CFEB" w14:textId="77777777" w:rsidR="000559BD" w:rsidRDefault="000559BD">
            <w:pPr>
              <w:spacing w:after="0" w:line="240" w:lineRule="auto"/>
              <w:jc w:val="center"/>
              <w:rPr>
                <w:rFonts w:eastAsia="Times New Roman" w:cstheme="minorHAnsi"/>
                <w:color w:val="ED7D31" w:themeColor="accent2"/>
                <w:kern w:val="0"/>
                <w:sz w:val="20"/>
                <w:szCs w:val="20"/>
                <w:lang w:eastAsia="en-GB"/>
                <w14:ligatures w14:val="none"/>
              </w:rPr>
            </w:pPr>
          </w:p>
          <w:p w14:paraId="4B07D6B2" w14:textId="439811E8"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14.0</w:t>
            </w:r>
          </w:p>
          <w:p w14:paraId="06C44747"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(9.3, 18.2)</w:t>
            </w:r>
          </w:p>
        </w:tc>
      </w:tr>
      <w:tr w:rsidR="004870C5" w:rsidRPr="00D55EC4" w14:paraId="742DF9D9" w14:textId="77777777" w:rsidTr="00DF092B">
        <w:trPr>
          <w:trHeight w:val="410"/>
        </w:trPr>
        <w:tc>
          <w:tcPr>
            <w:tcW w:w="581" w:type="dxa"/>
            <w:vMerge/>
            <w:tcBorders>
              <w:left w:val="single" w:sz="4" w:space="0" w:color="auto"/>
              <w:right w:val="single" w:sz="4" w:space="0" w:color="auto"/>
            </w:tcBorders>
            <w:vAlign w:val="center"/>
            <w:hideMark/>
          </w:tcPr>
          <w:p w14:paraId="1DEDE11E" w14:textId="77777777" w:rsidR="004870C5" w:rsidRPr="00D55EC4" w:rsidRDefault="004870C5">
            <w:pPr>
              <w:spacing w:after="0" w:line="240" w:lineRule="auto"/>
              <w:rPr>
                <w:rFonts w:ascii="Calibri" w:eastAsia="Times New Roman" w:hAnsi="Calibri" w:cs="Calibri"/>
                <w:b/>
                <w:bCs/>
                <w:color w:val="000000"/>
                <w:kern w:val="0"/>
                <w:sz w:val="24"/>
                <w:szCs w:val="24"/>
                <w:lang w:eastAsia="en-GB"/>
                <w14:ligatures w14:val="none"/>
              </w:rPr>
            </w:pPr>
          </w:p>
        </w:tc>
        <w:tc>
          <w:tcPr>
            <w:tcW w:w="1764" w:type="dxa"/>
            <w:tcBorders>
              <w:top w:val="nil"/>
              <w:left w:val="single" w:sz="4" w:space="0" w:color="auto"/>
              <w:bottom w:val="nil"/>
            </w:tcBorders>
            <w:vAlign w:val="center"/>
            <w:hideMark/>
          </w:tcPr>
          <w:p w14:paraId="49E1F19F" w14:textId="77777777" w:rsidR="004870C5" w:rsidRPr="002F7D91"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Anxiety</w:t>
            </w:r>
            <w:r>
              <w:rPr>
                <w:rFonts w:ascii="Calibri" w:eastAsia="Times New Roman" w:hAnsi="Calibri" w:cs="Calibri"/>
                <w:kern w:val="0"/>
                <w:lang w:eastAsia="en-GB"/>
                <w14:ligatures w14:val="none"/>
              </w:rPr>
              <w:t xml:space="preserve"> </w:t>
            </w:r>
          </w:p>
        </w:tc>
        <w:tc>
          <w:tcPr>
            <w:tcW w:w="1348" w:type="dxa"/>
            <w:tcBorders>
              <w:top w:val="nil"/>
              <w:bottom w:val="nil"/>
            </w:tcBorders>
            <w:vAlign w:val="center"/>
            <w:hideMark/>
          </w:tcPr>
          <w:p w14:paraId="7BFF43AA"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-9.4</w:t>
            </w:r>
          </w:p>
          <w:p w14:paraId="0AD3C7F9"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(-16.8, -2.8)</w:t>
            </w:r>
          </w:p>
        </w:tc>
        <w:tc>
          <w:tcPr>
            <w:tcW w:w="1348" w:type="dxa"/>
            <w:tcBorders>
              <w:top w:val="nil"/>
              <w:bottom w:val="nil"/>
            </w:tcBorders>
            <w:vAlign w:val="center"/>
            <w:hideMark/>
          </w:tcPr>
          <w:p w14:paraId="79AB4EA1"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47.8</w:t>
            </w:r>
          </w:p>
          <w:p w14:paraId="3BF47904"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(43.9, 51.2)</w:t>
            </w:r>
          </w:p>
        </w:tc>
        <w:tc>
          <w:tcPr>
            <w:tcW w:w="1348" w:type="dxa"/>
            <w:tcBorders>
              <w:top w:val="nil"/>
              <w:bottom w:val="nil"/>
            </w:tcBorders>
            <w:vAlign w:val="center"/>
            <w:hideMark/>
          </w:tcPr>
          <w:p w14:paraId="2CD3521D"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19.8</w:t>
            </w:r>
          </w:p>
          <w:p w14:paraId="4201FD33"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(14.9, 24)</w:t>
            </w:r>
          </w:p>
        </w:tc>
        <w:tc>
          <w:tcPr>
            <w:tcW w:w="1348" w:type="dxa"/>
            <w:tcBorders>
              <w:top w:val="nil"/>
              <w:bottom w:val="nil"/>
            </w:tcBorders>
            <w:vAlign w:val="center"/>
            <w:hideMark/>
          </w:tcPr>
          <w:p w14:paraId="615B5F1F"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41.8</w:t>
            </w:r>
          </w:p>
          <w:p w14:paraId="095D210D"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(38.7, 44.7)</w:t>
            </w:r>
          </w:p>
        </w:tc>
        <w:tc>
          <w:tcPr>
            <w:tcW w:w="1348" w:type="dxa"/>
            <w:tcBorders>
              <w:top w:val="nil"/>
              <w:bottom w:val="nil"/>
              <w:right w:val="single" w:sz="4" w:space="0" w:color="auto"/>
            </w:tcBorders>
            <w:vAlign w:val="center"/>
            <w:hideMark/>
          </w:tcPr>
          <w:p w14:paraId="54C99BB4"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17.1</w:t>
            </w:r>
          </w:p>
          <w:p w14:paraId="55673A21"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(11.6, 21.9)</w:t>
            </w:r>
          </w:p>
        </w:tc>
      </w:tr>
      <w:tr w:rsidR="004870C5" w:rsidRPr="00D55EC4" w14:paraId="65C10B22" w14:textId="77777777" w:rsidTr="00DF092B">
        <w:trPr>
          <w:trHeight w:val="522"/>
        </w:trPr>
        <w:tc>
          <w:tcPr>
            <w:tcW w:w="581" w:type="dxa"/>
            <w:vMerge/>
            <w:tcBorders>
              <w:left w:val="single" w:sz="4" w:space="0" w:color="auto"/>
              <w:bottom w:val="single" w:sz="4" w:space="0" w:color="auto"/>
              <w:right w:val="single" w:sz="4" w:space="0" w:color="auto"/>
            </w:tcBorders>
            <w:vAlign w:val="center"/>
            <w:hideMark/>
          </w:tcPr>
          <w:p w14:paraId="22D6EF52" w14:textId="77777777" w:rsidR="004870C5" w:rsidRPr="00D55EC4" w:rsidRDefault="004870C5">
            <w:pPr>
              <w:spacing w:after="0" w:line="240" w:lineRule="auto"/>
              <w:rPr>
                <w:rFonts w:ascii="Calibri" w:eastAsia="Times New Roman" w:hAnsi="Calibri" w:cs="Calibri"/>
                <w:b/>
                <w:bCs/>
                <w:color w:val="000000"/>
                <w:kern w:val="0"/>
                <w:sz w:val="24"/>
                <w:szCs w:val="24"/>
                <w:lang w:eastAsia="en-GB"/>
                <w14:ligatures w14:val="none"/>
              </w:rPr>
            </w:pPr>
          </w:p>
        </w:tc>
        <w:tc>
          <w:tcPr>
            <w:tcW w:w="1764" w:type="dxa"/>
            <w:tcBorders>
              <w:top w:val="nil"/>
              <w:left w:val="single" w:sz="4" w:space="0" w:color="auto"/>
              <w:bottom w:val="single" w:sz="4" w:space="0" w:color="auto"/>
            </w:tcBorders>
            <w:vAlign w:val="center"/>
            <w:hideMark/>
          </w:tcPr>
          <w:p w14:paraId="2AA7EF70" w14:textId="77777777" w:rsidR="004870C5" w:rsidRDefault="004870C5">
            <w:pPr>
              <w:spacing w:after="0" w:line="240" w:lineRule="auto"/>
              <w:jc w:val="center"/>
              <w:rPr>
                <w:rFonts w:ascii="Calibri" w:eastAsia="Times New Roman" w:hAnsi="Calibri" w:cs="Calibri"/>
                <w:kern w:val="0"/>
                <w:lang w:eastAsia="en-GB"/>
                <w14:ligatures w14:val="none"/>
              </w:rPr>
            </w:pPr>
            <w:r w:rsidRPr="002F7D91">
              <w:rPr>
                <w:rFonts w:ascii="Calibri" w:eastAsia="Times New Roman" w:hAnsi="Calibri" w:cs="Calibri"/>
                <w:kern w:val="0"/>
                <w:lang w:eastAsia="en-GB"/>
                <w14:ligatures w14:val="none"/>
              </w:rPr>
              <w:t>Depression</w:t>
            </w:r>
          </w:p>
          <w:p w14:paraId="07995C94" w14:textId="77777777" w:rsidR="004870C5" w:rsidRPr="002F7D91" w:rsidRDefault="004870C5">
            <w:pPr>
              <w:spacing w:after="0" w:line="240" w:lineRule="auto"/>
              <w:jc w:val="center"/>
              <w:rPr>
                <w:rFonts w:ascii="Calibri" w:eastAsia="Times New Roman" w:hAnsi="Calibri" w:cs="Calibri"/>
                <w:kern w:val="0"/>
                <w:lang w:eastAsia="en-GB"/>
                <w14:ligatures w14:val="none"/>
              </w:rPr>
            </w:pPr>
          </w:p>
        </w:tc>
        <w:tc>
          <w:tcPr>
            <w:tcW w:w="1348" w:type="dxa"/>
            <w:tcBorders>
              <w:top w:val="nil"/>
              <w:bottom w:val="single" w:sz="4" w:space="0" w:color="auto"/>
            </w:tcBorders>
            <w:vAlign w:val="center"/>
            <w:hideMark/>
          </w:tcPr>
          <w:p w14:paraId="218158C8"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-26.1</w:t>
            </w:r>
          </w:p>
          <w:p w14:paraId="7A37C147"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(-40.1, -14.6)</w:t>
            </w:r>
          </w:p>
        </w:tc>
        <w:tc>
          <w:tcPr>
            <w:tcW w:w="1348" w:type="dxa"/>
            <w:tcBorders>
              <w:top w:val="nil"/>
              <w:bottom w:val="single" w:sz="4" w:space="0" w:color="auto"/>
            </w:tcBorders>
            <w:vAlign w:val="center"/>
            <w:hideMark/>
          </w:tcPr>
          <w:p w14:paraId="47FEABB7" w14:textId="77777777" w:rsidR="004870C5" w:rsidRPr="002F7D91" w:rsidRDefault="004870C5">
            <w:pPr>
              <w:spacing w:after="0" w:line="240" w:lineRule="auto"/>
              <w:jc w:val="center"/>
              <w:rPr>
                <w:rFonts w:eastAsia="Times New Roman" w:cstheme="minorHAnsi"/>
                <w:color w:val="4472C4" w:themeColor="accent1"/>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-19.7</w:t>
            </w:r>
          </w:p>
          <w:p w14:paraId="100E6D1E"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4472C4" w:themeColor="accent1"/>
                <w:kern w:val="0"/>
                <w:sz w:val="20"/>
                <w:szCs w:val="20"/>
                <w:lang w:eastAsia="en-GB"/>
                <w14:ligatures w14:val="none"/>
              </w:rPr>
              <w:t>(-33.9, -8.2)</w:t>
            </w:r>
          </w:p>
        </w:tc>
        <w:tc>
          <w:tcPr>
            <w:tcW w:w="1348" w:type="dxa"/>
            <w:tcBorders>
              <w:top w:val="nil"/>
              <w:bottom w:val="single" w:sz="4" w:space="0" w:color="auto"/>
            </w:tcBorders>
            <w:vAlign w:val="center"/>
            <w:hideMark/>
          </w:tcPr>
          <w:p w14:paraId="147CBF04"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13.8</w:t>
            </w:r>
          </w:p>
          <w:p w14:paraId="10B8A8E4" w14:textId="77777777" w:rsidR="004870C5" w:rsidRPr="002F7D91" w:rsidRDefault="004870C5">
            <w:pPr>
              <w:spacing w:after="0" w:line="240" w:lineRule="auto"/>
              <w:jc w:val="center"/>
              <w:rPr>
                <w:rFonts w:eastAsia="Times New Roman" w:cstheme="minorHAnsi"/>
                <w:color w:val="000000"/>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(5.4, 20.8)</w:t>
            </w:r>
          </w:p>
        </w:tc>
        <w:tc>
          <w:tcPr>
            <w:tcW w:w="1348" w:type="dxa"/>
            <w:tcBorders>
              <w:top w:val="nil"/>
              <w:bottom w:val="single" w:sz="4" w:space="0" w:color="auto"/>
            </w:tcBorders>
            <w:vAlign w:val="center"/>
            <w:hideMark/>
          </w:tcPr>
          <w:p w14:paraId="1733DB4B"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39.5</w:t>
            </w:r>
          </w:p>
          <w:p w14:paraId="3B708305"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(34.2, 44.1)</w:t>
            </w:r>
          </w:p>
        </w:tc>
        <w:tc>
          <w:tcPr>
            <w:tcW w:w="1348" w:type="dxa"/>
            <w:tcBorders>
              <w:top w:val="nil"/>
              <w:bottom w:val="single" w:sz="4" w:space="0" w:color="auto"/>
              <w:right w:val="single" w:sz="4" w:space="0" w:color="auto"/>
            </w:tcBorders>
            <w:vAlign w:val="center"/>
            <w:hideMark/>
          </w:tcPr>
          <w:p w14:paraId="665F2830"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22.1</w:t>
            </w:r>
          </w:p>
          <w:p w14:paraId="6B959D51" w14:textId="77777777" w:rsidR="004870C5" w:rsidRPr="002F7D91" w:rsidRDefault="004870C5">
            <w:pPr>
              <w:spacing w:after="0" w:line="240" w:lineRule="auto"/>
              <w:jc w:val="center"/>
              <w:rPr>
                <w:rFonts w:eastAsia="Times New Roman" w:cstheme="minorHAnsi"/>
                <w:color w:val="ED7D31" w:themeColor="accent2"/>
                <w:kern w:val="0"/>
                <w:sz w:val="20"/>
                <w:szCs w:val="20"/>
                <w:lang w:eastAsia="en-GB"/>
                <w14:ligatures w14:val="none"/>
              </w:rPr>
            </w:pPr>
            <w:r w:rsidRPr="002F7D91">
              <w:rPr>
                <w:rFonts w:eastAsia="Times New Roman" w:cstheme="minorHAnsi"/>
                <w:color w:val="ED7D31" w:themeColor="accent2"/>
                <w:kern w:val="0"/>
                <w:sz w:val="20"/>
                <w:szCs w:val="20"/>
                <w:lang w:eastAsia="en-GB"/>
                <w14:ligatures w14:val="none"/>
              </w:rPr>
              <w:t>(13.8, 28.9)</w:t>
            </w:r>
          </w:p>
        </w:tc>
      </w:tr>
    </w:tbl>
    <w:p w14:paraId="5E84B0E6" w14:textId="77777777" w:rsidR="000A0402" w:rsidRDefault="000A0402" w:rsidP="00EC0D19">
      <w:pPr>
        <w:spacing w:after="0" w:line="240" w:lineRule="auto"/>
        <w:rPr>
          <w:b/>
          <w:bCs/>
          <w:sz w:val="20"/>
          <w:szCs w:val="20"/>
        </w:rPr>
      </w:pPr>
    </w:p>
    <w:p w14:paraId="59C0DFA5" w14:textId="66A555EC" w:rsidR="006D6FBE" w:rsidRPr="00354BF5" w:rsidRDefault="0E517536" w:rsidP="00EC0D19">
      <w:pPr>
        <w:spacing w:after="0" w:line="240" w:lineRule="auto"/>
        <w:rPr>
          <w:sz w:val="20"/>
          <w:szCs w:val="20"/>
        </w:rPr>
      </w:pPr>
      <w:r w:rsidRPr="00354BF5">
        <w:rPr>
          <w:b/>
          <w:bCs/>
          <w:sz w:val="20"/>
          <w:szCs w:val="20"/>
        </w:rPr>
        <w:t>Note</w:t>
      </w:r>
      <w:r w:rsidR="00E278EB" w:rsidRPr="00354BF5">
        <w:rPr>
          <w:b/>
          <w:bCs/>
          <w:sz w:val="20"/>
          <w:szCs w:val="20"/>
        </w:rPr>
        <w:t>s</w:t>
      </w:r>
      <w:r w:rsidRPr="00354BF5">
        <w:rPr>
          <w:b/>
          <w:bCs/>
          <w:sz w:val="20"/>
          <w:szCs w:val="20"/>
        </w:rPr>
        <w:t>:</w:t>
      </w:r>
      <w:r w:rsidRPr="00354BF5">
        <w:rPr>
          <w:sz w:val="20"/>
          <w:szCs w:val="20"/>
        </w:rPr>
        <w:t xml:space="preserve"> </w:t>
      </w:r>
      <w:r w:rsidR="132CE91E" w:rsidRPr="00354BF5">
        <w:rPr>
          <w:sz w:val="20"/>
          <w:szCs w:val="20"/>
        </w:rPr>
        <w:t xml:space="preserve"> </w:t>
      </w:r>
      <w:r w:rsidRPr="00354BF5">
        <w:rPr>
          <w:sz w:val="20"/>
          <w:szCs w:val="20"/>
        </w:rPr>
        <w:t xml:space="preserve">Values are % difference with 95% confidence intervals.  Orange or blue font items have 95% CI entirely above or below zero.  </w:t>
      </w:r>
      <w:r w:rsidRPr="00354BF5">
        <w:rPr>
          <w:color w:val="ED7D31" w:themeColor="accent2"/>
          <w:sz w:val="20"/>
          <w:szCs w:val="20"/>
        </w:rPr>
        <w:t>Orange font</w:t>
      </w:r>
      <w:r w:rsidRPr="00354BF5">
        <w:rPr>
          <w:sz w:val="20"/>
          <w:szCs w:val="20"/>
        </w:rPr>
        <w:t xml:space="preserve"> is higher </w:t>
      </w:r>
      <w:r w:rsidR="00C34FDC">
        <w:rPr>
          <w:sz w:val="20"/>
          <w:szCs w:val="20"/>
        </w:rPr>
        <w:t>utilisation</w:t>
      </w:r>
      <w:r w:rsidRPr="00354BF5">
        <w:rPr>
          <w:sz w:val="20"/>
          <w:szCs w:val="20"/>
        </w:rPr>
        <w:t xml:space="preserve"> than counterfactual; </w:t>
      </w:r>
      <w:r w:rsidRPr="00354BF5">
        <w:rPr>
          <w:color w:val="4472C4" w:themeColor="accent1"/>
          <w:sz w:val="20"/>
          <w:szCs w:val="20"/>
        </w:rPr>
        <w:t xml:space="preserve">blue font </w:t>
      </w:r>
      <w:r w:rsidRPr="00354BF5">
        <w:rPr>
          <w:sz w:val="20"/>
          <w:szCs w:val="20"/>
        </w:rPr>
        <w:t>highlights lower than expected presentations.</w:t>
      </w:r>
      <w:r w:rsidR="3FEC1F6B" w:rsidRPr="00354BF5">
        <w:rPr>
          <w:sz w:val="20"/>
          <w:szCs w:val="20"/>
        </w:rPr>
        <w:t xml:space="preserve"> </w:t>
      </w:r>
      <w:r w:rsidR="3CD91E67" w:rsidRPr="00354BF5">
        <w:rPr>
          <w:b/>
          <w:bCs/>
          <w:sz w:val="20"/>
          <w:szCs w:val="20"/>
        </w:rPr>
        <w:t>PRL1:</w:t>
      </w:r>
      <w:r w:rsidR="3E112F6A" w:rsidRPr="00354BF5">
        <w:rPr>
          <w:b/>
          <w:bCs/>
          <w:sz w:val="20"/>
          <w:szCs w:val="20"/>
        </w:rPr>
        <w:t xml:space="preserve"> </w:t>
      </w:r>
      <w:r w:rsidR="3E112F6A" w:rsidRPr="00354BF5">
        <w:rPr>
          <w:sz w:val="20"/>
          <w:szCs w:val="20"/>
        </w:rPr>
        <w:t>Pre-lockdown 1:</w:t>
      </w:r>
      <w:r w:rsidR="3CD91E67" w:rsidRPr="00354BF5">
        <w:rPr>
          <w:sz w:val="20"/>
          <w:szCs w:val="20"/>
        </w:rPr>
        <w:t xml:space="preserve"> </w:t>
      </w:r>
      <w:r w:rsidR="12EAD438" w:rsidRPr="00354BF5">
        <w:rPr>
          <w:sz w:val="20"/>
          <w:szCs w:val="20"/>
        </w:rPr>
        <w:t xml:space="preserve">February </w:t>
      </w:r>
      <w:r w:rsidR="5F03545F" w:rsidRPr="00354BF5">
        <w:rPr>
          <w:sz w:val="20"/>
          <w:szCs w:val="20"/>
        </w:rPr>
        <w:t>25</w:t>
      </w:r>
      <w:r w:rsidR="12EAD438" w:rsidRPr="00354BF5">
        <w:rPr>
          <w:sz w:val="20"/>
          <w:szCs w:val="20"/>
        </w:rPr>
        <w:t xml:space="preserve"> to March </w:t>
      </w:r>
      <w:r w:rsidR="04688CA6" w:rsidRPr="00354BF5">
        <w:rPr>
          <w:sz w:val="20"/>
          <w:szCs w:val="20"/>
        </w:rPr>
        <w:t>22, 2020</w:t>
      </w:r>
      <w:r w:rsidR="7B53C8B9" w:rsidRPr="00354BF5">
        <w:rPr>
          <w:sz w:val="20"/>
          <w:szCs w:val="20"/>
        </w:rPr>
        <w:t>;</w:t>
      </w:r>
      <w:r w:rsidR="3CD91E67" w:rsidRPr="00354BF5">
        <w:rPr>
          <w:sz w:val="20"/>
          <w:szCs w:val="20"/>
        </w:rPr>
        <w:t xml:space="preserve"> </w:t>
      </w:r>
      <w:r w:rsidR="3CD91E67" w:rsidRPr="00354BF5">
        <w:rPr>
          <w:b/>
          <w:bCs/>
          <w:sz w:val="20"/>
          <w:szCs w:val="20"/>
        </w:rPr>
        <w:t>L1:</w:t>
      </w:r>
      <w:r w:rsidR="7B53C8B9" w:rsidRPr="00354BF5">
        <w:rPr>
          <w:sz w:val="20"/>
          <w:szCs w:val="20"/>
        </w:rPr>
        <w:t xml:space="preserve"> </w:t>
      </w:r>
      <w:r w:rsidR="3E112F6A" w:rsidRPr="00354BF5">
        <w:rPr>
          <w:sz w:val="20"/>
          <w:szCs w:val="20"/>
        </w:rPr>
        <w:t xml:space="preserve">Lockdown 1: </w:t>
      </w:r>
      <w:r w:rsidR="04688CA6" w:rsidRPr="00354BF5">
        <w:rPr>
          <w:sz w:val="20"/>
          <w:szCs w:val="20"/>
        </w:rPr>
        <w:t xml:space="preserve">March </w:t>
      </w:r>
      <w:r w:rsidR="39666969" w:rsidRPr="00354BF5">
        <w:rPr>
          <w:sz w:val="20"/>
          <w:szCs w:val="20"/>
        </w:rPr>
        <w:t>23</w:t>
      </w:r>
      <w:r w:rsidR="04688CA6" w:rsidRPr="00354BF5">
        <w:rPr>
          <w:sz w:val="20"/>
          <w:szCs w:val="20"/>
        </w:rPr>
        <w:t xml:space="preserve"> to May 31, </w:t>
      </w:r>
      <w:r w:rsidR="39666969" w:rsidRPr="00354BF5">
        <w:rPr>
          <w:sz w:val="20"/>
          <w:szCs w:val="20"/>
        </w:rPr>
        <w:t>2020</w:t>
      </w:r>
      <w:r w:rsidR="7B53C8B9" w:rsidRPr="00354BF5">
        <w:rPr>
          <w:sz w:val="20"/>
          <w:szCs w:val="20"/>
        </w:rPr>
        <w:t>;</w:t>
      </w:r>
      <w:r w:rsidR="3CD91E67" w:rsidRPr="00354BF5">
        <w:rPr>
          <w:sz w:val="20"/>
          <w:szCs w:val="20"/>
        </w:rPr>
        <w:t xml:space="preserve"> </w:t>
      </w:r>
      <w:r w:rsidR="3CD91E67" w:rsidRPr="00354BF5">
        <w:rPr>
          <w:b/>
          <w:bCs/>
          <w:sz w:val="20"/>
          <w:szCs w:val="20"/>
        </w:rPr>
        <w:t>PL1</w:t>
      </w:r>
      <w:r w:rsidR="7B53C8B9" w:rsidRPr="00354BF5">
        <w:rPr>
          <w:b/>
          <w:bCs/>
          <w:sz w:val="20"/>
          <w:szCs w:val="20"/>
        </w:rPr>
        <w:t>:</w:t>
      </w:r>
      <w:r w:rsidR="7B53C8B9" w:rsidRPr="00354BF5">
        <w:rPr>
          <w:sz w:val="20"/>
          <w:szCs w:val="20"/>
        </w:rPr>
        <w:t xml:space="preserve"> </w:t>
      </w:r>
      <w:r w:rsidR="3E112F6A" w:rsidRPr="00354BF5">
        <w:rPr>
          <w:sz w:val="20"/>
          <w:szCs w:val="20"/>
        </w:rPr>
        <w:t xml:space="preserve">Post Lockdown 1: </w:t>
      </w:r>
      <w:r w:rsidR="04688CA6" w:rsidRPr="00354BF5">
        <w:rPr>
          <w:sz w:val="20"/>
          <w:szCs w:val="20"/>
        </w:rPr>
        <w:t xml:space="preserve">June 1 to November 4, </w:t>
      </w:r>
      <w:proofErr w:type="gramStart"/>
      <w:r w:rsidR="3C25DA1A" w:rsidRPr="00354BF5">
        <w:rPr>
          <w:sz w:val="20"/>
          <w:szCs w:val="20"/>
        </w:rPr>
        <w:t>2020</w:t>
      </w:r>
      <w:r w:rsidR="31527A95" w:rsidRPr="00354BF5">
        <w:rPr>
          <w:sz w:val="20"/>
          <w:szCs w:val="20"/>
        </w:rPr>
        <w:t>;</w:t>
      </w:r>
      <w:r w:rsidR="7B53C8B9" w:rsidRPr="00354BF5">
        <w:rPr>
          <w:sz w:val="20"/>
          <w:szCs w:val="20"/>
        </w:rPr>
        <w:t xml:space="preserve"> </w:t>
      </w:r>
      <w:r w:rsidR="3CD91E67" w:rsidRPr="00354BF5">
        <w:rPr>
          <w:sz w:val="20"/>
          <w:szCs w:val="20"/>
        </w:rPr>
        <w:t xml:space="preserve"> </w:t>
      </w:r>
      <w:r w:rsidR="3CD91E67" w:rsidRPr="00354BF5">
        <w:rPr>
          <w:b/>
          <w:bCs/>
          <w:sz w:val="20"/>
          <w:szCs w:val="20"/>
        </w:rPr>
        <w:t>L</w:t>
      </w:r>
      <w:proofErr w:type="gramEnd"/>
      <w:r w:rsidR="3CD91E67" w:rsidRPr="00354BF5">
        <w:rPr>
          <w:b/>
          <w:bCs/>
          <w:sz w:val="20"/>
          <w:szCs w:val="20"/>
        </w:rPr>
        <w:t>2:</w:t>
      </w:r>
      <w:r w:rsidR="7B53C8B9" w:rsidRPr="00354BF5">
        <w:rPr>
          <w:sz w:val="20"/>
          <w:szCs w:val="20"/>
        </w:rPr>
        <w:t xml:space="preserve"> </w:t>
      </w:r>
      <w:r w:rsidR="3E112F6A" w:rsidRPr="00354BF5">
        <w:rPr>
          <w:sz w:val="20"/>
          <w:szCs w:val="20"/>
        </w:rPr>
        <w:t xml:space="preserve">Lockdown 2: </w:t>
      </w:r>
      <w:r w:rsidR="04688CA6" w:rsidRPr="00354BF5">
        <w:rPr>
          <w:sz w:val="20"/>
          <w:szCs w:val="20"/>
        </w:rPr>
        <w:t xml:space="preserve">November 5, 2020 to March 7, </w:t>
      </w:r>
      <w:r w:rsidR="014B8A20" w:rsidRPr="00354BF5">
        <w:rPr>
          <w:sz w:val="20"/>
          <w:szCs w:val="20"/>
        </w:rPr>
        <w:t>2021</w:t>
      </w:r>
      <w:r w:rsidR="506ED7CE" w:rsidRPr="00354BF5">
        <w:rPr>
          <w:sz w:val="20"/>
          <w:szCs w:val="20"/>
        </w:rPr>
        <w:t>;</w:t>
      </w:r>
      <w:r w:rsidR="3CD91E67" w:rsidRPr="00354BF5">
        <w:rPr>
          <w:sz w:val="20"/>
          <w:szCs w:val="20"/>
        </w:rPr>
        <w:t xml:space="preserve"> </w:t>
      </w:r>
      <w:r w:rsidR="7B53C8B9" w:rsidRPr="00354BF5">
        <w:rPr>
          <w:sz w:val="20"/>
          <w:szCs w:val="20"/>
        </w:rPr>
        <w:t xml:space="preserve"> </w:t>
      </w:r>
      <w:r w:rsidR="3CD91E67" w:rsidRPr="00354BF5">
        <w:rPr>
          <w:b/>
          <w:bCs/>
          <w:sz w:val="20"/>
          <w:szCs w:val="20"/>
        </w:rPr>
        <w:t>PL2:</w:t>
      </w:r>
      <w:r w:rsidR="7B53C8B9" w:rsidRPr="00354BF5">
        <w:rPr>
          <w:sz w:val="20"/>
          <w:szCs w:val="20"/>
        </w:rPr>
        <w:t xml:space="preserve"> </w:t>
      </w:r>
      <w:r w:rsidR="3E112F6A" w:rsidRPr="00354BF5">
        <w:rPr>
          <w:sz w:val="20"/>
          <w:szCs w:val="20"/>
        </w:rPr>
        <w:t xml:space="preserve">Post-Lockdown 2: </w:t>
      </w:r>
      <w:r w:rsidR="04688CA6" w:rsidRPr="00354BF5">
        <w:rPr>
          <w:sz w:val="20"/>
          <w:szCs w:val="20"/>
        </w:rPr>
        <w:t xml:space="preserve">March 8 to July </w:t>
      </w:r>
      <w:r w:rsidR="6F08DC22" w:rsidRPr="00354BF5">
        <w:rPr>
          <w:sz w:val="20"/>
          <w:szCs w:val="20"/>
        </w:rPr>
        <w:t xml:space="preserve">7, </w:t>
      </w:r>
      <w:r w:rsidR="38403D6D" w:rsidRPr="00354BF5">
        <w:rPr>
          <w:sz w:val="20"/>
          <w:szCs w:val="20"/>
        </w:rPr>
        <w:t>2021</w:t>
      </w:r>
      <w:r w:rsidR="3CD91E67" w:rsidRPr="00354BF5">
        <w:rPr>
          <w:sz w:val="20"/>
          <w:szCs w:val="20"/>
        </w:rPr>
        <w:t>.</w:t>
      </w:r>
      <w:r w:rsidR="0022028F" w:rsidRPr="00354BF5">
        <w:rPr>
          <w:sz w:val="20"/>
          <w:szCs w:val="20"/>
        </w:rPr>
        <w:t xml:space="preserve"> </w:t>
      </w:r>
      <w:r w:rsidR="006E030D" w:rsidRPr="00354BF5">
        <w:rPr>
          <w:sz w:val="20"/>
          <w:szCs w:val="20"/>
        </w:rPr>
        <w:t>NHS111</w:t>
      </w:r>
      <w:r w:rsidR="0022028F" w:rsidRPr="00354BF5">
        <w:rPr>
          <w:sz w:val="20"/>
          <w:szCs w:val="20"/>
        </w:rPr>
        <w:t xml:space="preserve"> – National Health Service 111 telephone service; GPIH – General Practitioner In-Hours; GPOOH; General Practitioner Out-of-Hours; EDSSS – Emergency Department Syndromic Surveillance System</w:t>
      </w:r>
    </w:p>
    <w:p w14:paraId="33D0EE05" w14:textId="20DD7198" w:rsidR="0EEA11BE" w:rsidRDefault="0EEA11BE" w:rsidP="0EEA11BE">
      <w:pPr>
        <w:spacing w:after="0" w:line="240" w:lineRule="auto"/>
        <w:rPr>
          <w:sz w:val="24"/>
          <w:szCs w:val="24"/>
        </w:rPr>
      </w:pPr>
    </w:p>
    <w:p w14:paraId="70D716C9" w14:textId="3DDCAE5E" w:rsidR="0EEA11BE" w:rsidRDefault="0EEA11BE" w:rsidP="0EEA11BE">
      <w:pPr>
        <w:spacing w:after="0" w:line="240" w:lineRule="auto"/>
        <w:rPr>
          <w:sz w:val="24"/>
          <w:szCs w:val="24"/>
        </w:rPr>
      </w:pPr>
    </w:p>
    <w:p w14:paraId="1D7D76AA" w14:textId="77777777" w:rsidR="00415803" w:rsidRDefault="00415803" w:rsidP="0EEA11BE">
      <w:pPr>
        <w:spacing w:after="0" w:line="240" w:lineRule="auto"/>
        <w:rPr>
          <w:sz w:val="24"/>
          <w:szCs w:val="24"/>
        </w:rPr>
      </w:pPr>
    </w:p>
    <w:p w14:paraId="123414FC" w14:textId="77777777" w:rsidR="00E278EB" w:rsidRDefault="00E278EB" w:rsidP="0EEA11BE">
      <w:pPr>
        <w:spacing w:after="0" w:line="240" w:lineRule="auto"/>
        <w:rPr>
          <w:sz w:val="24"/>
          <w:szCs w:val="24"/>
        </w:rPr>
        <w:sectPr w:rsidR="00E278EB" w:rsidSect="00873A88">
          <w:footerReference w:type="default" r:id="rId11"/>
          <w:pgSz w:w="11906" w:h="16838"/>
          <w:pgMar w:top="1440" w:right="1440" w:bottom="1440" w:left="1440" w:header="708" w:footer="708" w:gutter="0"/>
          <w:cols w:space="708"/>
          <w:docGrid w:linePitch="360"/>
        </w:sectPr>
      </w:pPr>
    </w:p>
    <w:p w14:paraId="6786F3E6" w14:textId="0DFE4029" w:rsidR="00804A00" w:rsidRDefault="00804A00" w:rsidP="00804A00">
      <w:pPr>
        <w:spacing w:after="0" w:line="240" w:lineRule="auto"/>
        <w:rPr>
          <w:b/>
          <w:bCs/>
        </w:rPr>
      </w:pPr>
      <w:r>
        <w:rPr>
          <w:b/>
          <w:bCs/>
          <w:noProof/>
        </w:rPr>
        <w:lastRenderedPageBreak/>
        <w:drawing>
          <wp:anchor distT="0" distB="0" distL="114300" distR="114300" simplePos="0" relativeHeight="251659264" behindDoc="1" locked="0" layoutInCell="1" allowOverlap="1" wp14:anchorId="2C00E01C" wp14:editId="6B2FA83F">
            <wp:simplePos x="0" y="0"/>
            <wp:positionH relativeFrom="margin">
              <wp:align>left</wp:align>
            </wp:positionH>
            <wp:positionV relativeFrom="paragraph">
              <wp:posOffset>173471</wp:posOffset>
            </wp:positionV>
            <wp:extent cx="8636635" cy="4585335"/>
            <wp:effectExtent l="0" t="0" r="0" b="5715"/>
            <wp:wrapTight wrapText="bothSides">
              <wp:wrapPolygon edited="0">
                <wp:start x="0" y="0"/>
                <wp:lineTo x="0" y="21537"/>
                <wp:lineTo x="21535" y="21537"/>
                <wp:lineTo x="21535" y="0"/>
                <wp:lineTo x="0" y="0"/>
              </wp:wrapPolygon>
            </wp:wrapTight>
            <wp:docPr id="1257047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3518" cy="4594547"/>
                    </a:xfrm>
                    <a:prstGeom prst="rect">
                      <a:avLst/>
                    </a:prstGeom>
                    <a:noFill/>
                  </pic:spPr>
                </pic:pic>
              </a:graphicData>
            </a:graphic>
            <wp14:sizeRelH relativeFrom="page">
              <wp14:pctWidth>0</wp14:pctWidth>
            </wp14:sizeRelH>
            <wp14:sizeRelV relativeFrom="page">
              <wp14:pctHeight>0</wp14:pctHeight>
            </wp14:sizeRelV>
          </wp:anchor>
        </w:drawing>
      </w:r>
      <w:r w:rsidRPr="0014542C">
        <w:rPr>
          <w:rFonts w:cstheme="minorHAnsi"/>
          <w:b/>
          <w:bCs/>
        </w:rPr>
        <w:t xml:space="preserve">Figure </w:t>
      </w:r>
      <w:r>
        <w:rPr>
          <w:rFonts w:cstheme="minorHAnsi"/>
          <w:b/>
          <w:bCs/>
        </w:rPr>
        <w:t>1</w:t>
      </w:r>
      <w:r w:rsidRPr="0014542C">
        <w:rPr>
          <w:rFonts w:cstheme="minorHAnsi"/>
          <w:b/>
          <w:bCs/>
        </w:rPr>
        <w:t>.  Forest plot of selected mental health</w:t>
      </w:r>
      <w:r>
        <w:rPr>
          <w:rFonts w:cstheme="minorHAnsi"/>
          <w:b/>
          <w:bCs/>
        </w:rPr>
        <w:t xml:space="preserve"> and total</w:t>
      </w:r>
      <w:r w:rsidRPr="0014542C">
        <w:rPr>
          <w:rFonts w:cstheme="minorHAnsi"/>
          <w:b/>
          <w:bCs/>
        </w:rPr>
        <w:t xml:space="preserve"> indicators </w:t>
      </w:r>
      <w:r>
        <w:rPr>
          <w:rFonts w:cstheme="minorHAnsi"/>
          <w:b/>
          <w:bCs/>
        </w:rPr>
        <w:t xml:space="preserve">by </w:t>
      </w:r>
      <w:r w:rsidRPr="0014542C">
        <w:rPr>
          <w:rFonts w:cstheme="minorHAnsi"/>
          <w:b/>
          <w:bCs/>
        </w:rPr>
        <w:t>syndromic surveillance system</w:t>
      </w:r>
      <w:r w:rsidR="00970BCB">
        <w:rPr>
          <w:rFonts w:cstheme="minorHAnsi"/>
          <w:b/>
          <w:bCs/>
        </w:rPr>
        <w:t xml:space="preserve"> </w:t>
      </w:r>
    </w:p>
    <w:p w14:paraId="69EB0A1F" w14:textId="77777777" w:rsidR="00804A00" w:rsidRDefault="00804A00" w:rsidP="00EC0D19">
      <w:pPr>
        <w:spacing w:after="0" w:line="240" w:lineRule="auto"/>
        <w:rPr>
          <w:b/>
          <w:bCs/>
        </w:rPr>
      </w:pPr>
      <w:r w:rsidRPr="006945EC">
        <w:rPr>
          <w:b/>
          <w:bCs/>
        </w:rPr>
        <w:t>Notes</w:t>
      </w:r>
      <w:r w:rsidRPr="006945EC">
        <w:t>:  Percentage change comparing actual counts with counterfactual estimates is presented on the x-axis, with a dotted vertical line during each period representing 0% change.</w:t>
      </w:r>
      <w:r w:rsidRPr="0014542C">
        <w:rPr>
          <w:b/>
          <w:bCs/>
        </w:rPr>
        <w:t xml:space="preserve"> PRL1: </w:t>
      </w:r>
      <w:r w:rsidRPr="0014542C">
        <w:t xml:space="preserve">Pre-lockdown 1: February 25 to March 22, 2020; </w:t>
      </w:r>
      <w:r w:rsidRPr="0014542C">
        <w:rPr>
          <w:b/>
          <w:bCs/>
        </w:rPr>
        <w:t>L1:</w:t>
      </w:r>
      <w:r w:rsidRPr="0014542C">
        <w:t xml:space="preserve"> Lockdown 1: March 23 to May 31, 2020; </w:t>
      </w:r>
      <w:r w:rsidRPr="0014542C">
        <w:rPr>
          <w:b/>
          <w:bCs/>
        </w:rPr>
        <w:t>PL1:</w:t>
      </w:r>
      <w:r w:rsidRPr="0014542C">
        <w:t xml:space="preserve"> Post Lockdown 1: June 1 to November 4, </w:t>
      </w:r>
      <w:proofErr w:type="gramStart"/>
      <w:r w:rsidRPr="0014542C">
        <w:t xml:space="preserve">2020;  </w:t>
      </w:r>
      <w:r w:rsidRPr="0014542C">
        <w:rPr>
          <w:b/>
          <w:bCs/>
        </w:rPr>
        <w:t>L</w:t>
      </w:r>
      <w:proofErr w:type="gramEnd"/>
      <w:r w:rsidRPr="0014542C">
        <w:rPr>
          <w:b/>
          <w:bCs/>
        </w:rPr>
        <w:t>2:</w:t>
      </w:r>
      <w:r w:rsidRPr="0014542C">
        <w:t xml:space="preserve"> Lockdown 2: November 5, 2020 to March 7, 2021;  </w:t>
      </w:r>
      <w:r w:rsidRPr="0014542C">
        <w:rPr>
          <w:b/>
          <w:bCs/>
        </w:rPr>
        <w:t>PL2:</w:t>
      </w:r>
      <w:r w:rsidRPr="0014542C">
        <w:t xml:space="preserve"> Post-Lockdown 2: March 8 to July 7, 2021. NHS111 – National Health Service 111 telephone service; GPIH – General Practitioner In-Hours; GPOOH; General Practitioner Out-of-Hours; EDSSS – Emergency Department Syndromic Surveillance System</w:t>
      </w:r>
      <w:r w:rsidRPr="79A64D8A">
        <w:rPr>
          <w:highlight w:val="yellow"/>
        </w:rPr>
        <w:t xml:space="preserve"> </w:t>
      </w:r>
    </w:p>
    <w:p w14:paraId="3048D076" w14:textId="4536FF40" w:rsidR="0052232F" w:rsidRPr="00804A00" w:rsidRDefault="5C1A7D53" w:rsidP="00EC0D19">
      <w:pPr>
        <w:spacing w:after="0" w:line="240" w:lineRule="auto"/>
        <w:rPr>
          <w:b/>
          <w:bCs/>
        </w:rPr>
      </w:pPr>
      <w:r w:rsidRPr="7857F422">
        <w:rPr>
          <w:b/>
          <w:bCs/>
        </w:rPr>
        <w:lastRenderedPageBreak/>
        <w:t xml:space="preserve">Figure </w:t>
      </w:r>
      <w:r w:rsidR="00804A00">
        <w:rPr>
          <w:b/>
          <w:bCs/>
        </w:rPr>
        <w:t>2</w:t>
      </w:r>
      <w:r w:rsidRPr="7857F422">
        <w:rPr>
          <w:b/>
          <w:bCs/>
        </w:rPr>
        <w:t xml:space="preserve">.  </w:t>
      </w:r>
      <w:r w:rsidR="0BE04C94" w:rsidRPr="7857F422">
        <w:t>Indicators</w:t>
      </w:r>
      <w:r w:rsidRPr="7857F422">
        <w:t xml:space="preserve"> for all </w:t>
      </w:r>
      <w:r w:rsidR="00501A22">
        <w:t>mental health</w:t>
      </w:r>
      <w:r w:rsidRPr="7857F422">
        <w:t xml:space="preserve"> conditions</w:t>
      </w:r>
    </w:p>
    <w:p w14:paraId="0368E257" w14:textId="482E7E05" w:rsidR="00873A88" w:rsidRDefault="00873A88" w:rsidP="00EC0D19">
      <w:pPr>
        <w:spacing w:after="0" w:line="240" w:lineRule="auto"/>
        <w:rPr>
          <w:b/>
          <w:bCs/>
          <w:sz w:val="16"/>
          <w:szCs w:val="16"/>
        </w:rPr>
      </w:pPr>
    </w:p>
    <w:p w14:paraId="57DBCE8B" w14:textId="1E89301B" w:rsidR="00835C3C" w:rsidRDefault="001F5E2B" w:rsidP="000703B8">
      <w:pPr>
        <w:spacing w:after="0" w:line="240" w:lineRule="auto"/>
        <w:rPr>
          <w:rFonts w:cstheme="minorHAnsi"/>
          <w:b/>
          <w:bCs/>
          <w:sz w:val="16"/>
          <w:szCs w:val="16"/>
        </w:rPr>
      </w:pPr>
      <w:r w:rsidRPr="001F5E2B">
        <w:rPr>
          <w:noProof/>
        </w:rPr>
        <w:drawing>
          <wp:inline distT="0" distB="0" distL="0" distR="0" wp14:anchorId="4F89E8FE" wp14:editId="5F5648DE">
            <wp:extent cx="8863330" cy="448633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49"/>
                    <a:stretch/>
                  </pic:blipFill>
                  <pic:spPr bwMode="auto">
                    <a:xfrm>
                      <a:off x="0" y="0"/>
                      <a:ext cx="8863330" cy="4486330"/>
                    </a:xfrm>
                    <a:prstGeom prst="rect">
                      <a:avLst/>
                    </a:prstGeom>
                    <a:ln>
                      <a:noFill/>
                    </a:ln>
                    <a:extLst>
                      <a:ext uri="{53640926-AAD7-44D8-BBD7-CCE9431645EC}">
                        <a14:shadowObscured xmlns:a14="http://schemas.microsoft.com/office/drawing/2010/main"/>
                      </a:ext>
                    </a:extLst>
                  </pic:spPr>
                </pic:pic>
              </a:graphicData>
            </a:graphic>
          </wp:inline>
        </w:drawing>
      </w:r>
    </w:p>
    <w:p w14:paraId="726BA334" w14:textId="71548B4B" w:rsidR="00752F4D" w:rsidRDefault="005D7928" w:rsidP="0EEA11BE">
      <w:pPr>
        <w:spacing w:after="0" w:line="240" w:lineRule="auto"/>
        <w:rPr>
          <w:b/>
          <w:bCs/>
        </w:rPr>
      </w:pPr>
      <w:r w:rsidRPr="0EEA11BE">
        <w:rPr>
          <w:b/>
          <w:bCs/>
          <w:sz w:val="20"/>
          <w:szCs w:val="20"/>
        </w:rPr>
        <w:t xml:space="preserve">Notes:  </w:t>
      </w:r>
      <w:r w:rsidRPr="0EEA11BE">
        <w:rPr>
          <w:sz w:val="20"/>
          <w:szCs w:val="20"/>
        </w:rPr>
        <w:t xml:space="preserve">Black solid line represents actual indicator </w:t>
      </w:r>
      <w:proofErr w:type="gramStart"/>
      <w:r w:rsidRPr="0EEA11BE">
        <w:rPr>
          <w:sz w:val="20"/>
          <w:szCs w:val="20"/>
        </w:rPr>
        <w:t>counts,</w:t>
      </w:r>
      <w:proofErr w:type="gramEnd"/>
      <w:r w:rsidRPr="0EEA11BE">
        <w:rPr>
          <w:sz w:val="20"/>
          <w:szCs w:val="20"/>
        </w:rPr>
        <w:t xml:space="preserve"> </w:t>
      </w:r>
      <w:r w:rsidR="00752F4D">
        <w:rPr>
          <w:sz w:val="20"/>
          <w:szCs w:val="20"/>
        </w:rPr>
        <w:t>orange</w:t>
      </w:r>
      <w:r w:rsidRPr="0EEA11BE">
        <w:rPr>
          <w:sz w:val="20"/>
          <w:szCs w:val="20"/>
        </w:rPr>
        <w:t xml:space="preserve"> line represents the modelled (counterfactual) indicator counts with shading for 95% CI.  </w:t>
      </w:r>
      <w:r w:rsidR="000644D6" w:rsidRPr="0EEA11BE">
        <w:rPr>
          <w:sz w:val="20"/>
          <w:szCs w:val="20"/>
        </w:rPr>
        <w:t xml:space="preserve">The indicator counts are daily totals.  </w:t>
      </w:r>
      <w:r w:rsidRPr="0EEA11BE">
        <w:rPr>
          <w:sz w:val="20"/>
          <w:szCs w:val="20"/>
        </w:rPr>
        <w:t>Vertical lines indicate period boundaries.</w:t>
      </w:r>
      <w:r>
        <w:t xml:space="preserve"> </w:t>
      </w:r>
      <w:r w:rsidRPr="0EEA11BE">
        <w:rPr>
          <w:sz w:val="20"/>
          <w:szCs w:val="20"/>
        </w:rPr>
        <w:t>Counterfactual estimates and actual indicator counts are shown for ‘All mental health conditions’ from four of the NHS services</w:t>
      </w:r>
      <w:r w:rsidR="00752F4D">
        <w:rPr>
          <w:sz w:val="20"/>
          <w:szCs w:val="20"/>
        </w:rPr>
        <w:t>.</w:t>
      </w:r>
      <w:r w:rsidR="004B3674">
        <w:rPr>
          <w:sz w:val="20"/>
          <w:szCs w:val="20"/>
        </w:rPr>
        <w:t xml:space="preserve"> </w:t>
      </w:r>
      <w:r w:rsidR="006E030D">
        <w:rPr>
          <w:sz w:val="20"/>
          <w:szCs w:val="20"/>
        </w:rPr>
        <w:t>NHS111</w:t>
      </w:r>
      <w:r w:rsidR="004B3674">
        <w:rPr>
          <w:sz w:val="20"/>
          <w:szCs w:val="20"/>
        </w:rPr>
        <w:t xml:space="preserve"> – National Health Service 111 telephone service; GPIH – General Practitioner In-Hours; GPOOH; General Practitioner Out-of-Hours; EDSSS – Emergency Department Syndromic Surveillance System</w:t>
      </w:r>
    </w:p>
    <w:p w14:paraId="149AB39E" w14:textId="10195474" w:rsidR="00BD42F7" w:rsidRDefault="001408CB" w:rsidP="00EC0D19">
      <w:pPr>
        <w:spacing w:after="0" w:line="240" w:lineRule="auto"/>
        <w:rPr>
          <w:rFonts w:cstheme="minorHAnsi"/>
        </w:rPr>
      </w:pPr>
      <w:r>
        <w:rPr>
          <w:noProof/>
        </w:rPr>
        <w:lastRenderedPageBreak/>
        <w:drawing>
          <wp:anchor distT="0" distB="0" distL="114300" distR="114300" simplePos="0" relativeHeight="251658240" behindDoc="1" locked="0" layoutInCell="1" allowOverlap="1" wp14:anchorId="3351218D" wp14:editId="1DED782C">
            <wp:simplePos x="0" y="0"/>
            <wp:positionH relativeFrom="margin">
              <wp:align>left</wp:align>
            </wp:positionH>
            <wp:positionV relativeFrom="paragraph">
              <wp:posOffset>299843</wp:posOffset>
            </wp:positionV>
            <wp:extent cx="8938895" cy="4456430"/>
            <wp:effectExtent l="0" t="0" r="0" b="1270"/>
            <wp:wrapTight wrapText="bothSides">
              <wp:wrapPolygon edited="0">
                <wp:start x="0" y="0"/>
                <wp:lineTo x="0" y="21514"/>
                <wp:lineTo x="21543" y="21514"/>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968"/>
                    <a:stretch/>
                  </pic:blipFill>
                  <pic:spPr bwMode="auto">
                    <a:xfrm>
                      <a:off x="0" y="0"/>
                      <a:ext cx="8938895" cy="445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2F7" w:rsidRPr="00873A88">
        <w:rPr>
          <w:rFonts w:cstheme="minorHAnsi"/>
          <w:b/>
          <w:bCs/>
        </w:rPr>
        <w:t xml:space="preserve">Figure </w:t>
      </w:r>
      <w:r w:rsidR="00804A00">
        <w:rPr>
          <w:rFonts w:cstheme="minorHAnsi"/>
          <w:b/>
          <w:bCs/>
        </w:rPr>
        <w:t>3</w:t>
      </w:r>
      <w:r w:rsidR="00BD42F7" w:rsidRPr="00873A88">
        <w:rPr>
          <w:rFonts w:cstheme="minorHAnsi"/>
          <w:b/>
          <w:bCs/>
        </w:rPr>
        <w:t xml:space="preserve">.  </w:t>
      </w:r>
      <w:r w:rsidR="00BD42F7">
        <w:rPr>
          <w:rFonts w:cstheme="minorHAnsi"/>
        </w:rPr>
        <w:t xml:space="preserve"> Anxiety and </w:t>
      </w:r>
      <w:r w:rsidR="00501A22">
        <w:rPr>
          <w:rFonts w:cstheme="minorHAnsi"/>
        </w:rPr>
        <w:t>d</w:t>
      </w:r>
      <w:r w:rsidR="00BD42F7">
        <w:rPr>
          <w:rFonts w:cstheme="minorHAnsi"/>
        </w:rPr>
        <w:t xml:space="preserve">epression </w:t>
      </w:r>
      <w:r w:rsidR="00501A22">
        <w:rPr>
          <w:rFonts w:cstheme="minorHAnsi"/>
        </w:rPr>
        <w:t>i</w:t>
      </w:r>
      <w:r w:rsidR="00BD42F7">
        <w:rPr>
          <w:rFonts w:cstheme="minorHAnsi"/>
        </w:rPr>
        <w:t>ndicators</w:t>
      </w:r>
    </w:p>
    <w:p w14:paraId="6E56B83D" w14:textId="77777777" w:rsidR="001408CB" w:rsidRDefault="001408CB" w:rsidP="00EC0D19">
      <w:pPr>
        <w:spacing w:after="0" w:line="240" w:lineRule="auto"/>
        <w:rPr>
          <w:b/>
          <w:bCs/>
          <w:sz w:val="16"/>
          <w:szCs w:val="16"/>
        </w:rPr>
      </w:pPr>
    </w:p>
    <w:p w14:paraId="402AB4D3" w14:textId="77777777" w:rsidR="001408CB" w:rsidRDefault="001408CB" w:rsidP="00EC0D19">
      <w:pPr>
        <w:spacing w:after="0" w:line="240" w:lineRule="auto"/>
        <w:rPr>
          <w:b/>
          <w:bCs/>
          <w:sz w:val="16"/>
          <w:szCs w:val="16"/>
        </w:rPr>
      </w:pPr>
    </w:p>
    <w:p w14:paraId="5FDB9C46" w14:textId="43E5473B" w:rsidR="00C61679" w:rsidRDefault="00C61679" w:rsidP="58684434">
      <w:pPr>
        <w:spacing w:after="0" w:line="240" w:lineRule="auto"/>
        <w:rPr>
          <w:sz w:val="16"/>
          <w:szCs w:val="16"/>
        </w:rPr>
      </w:pPr>
      <w:r w:rsidRPr="58684434">
        <w:rPr>
          <w:b/>
          <w:bCs/>
          <w:sz w:val="20"/>
          <w:szCs w:val="20"/>
        </w:rPr>
        <w:t xml:space="preserve">Notes:  </w:t>
      </w:r>
      <w:r w:rsidRPr="58684434">
        <w:rPr>
          <w:sz w:val="20"/>
          <w:szCs w:val="20"/>
        </w:rPr>
        <w:t xml:space="preserve">Black solid line represents actual indicator </w:t>
      </w:r>
      <w:proofErr w:type="gramStart"/>
      <w:r w:rsidRPr="58684434">
        <w:rPr>
          <w:sz w:val="20"/>
          <w:szCs w:val="20"/>
        </w:rPr>
        <w:t>counts,</w:t>
      </w:r>
      <w:proofErr w:type="gramEnd"/>
      <w:r w:rsidRPr="58684434">
        <w:rPr>
          <w:sz w:val="20"/>
          <w:szCs w:val="20"/>
        </w:rPr>
        <w:t xml:space="preserve"> </w:t>
      </w:r>
      <w:r w:rsidR="00752F4D">
        <w:rPr>
          <w:sz w:val="20"/>
          <w:szCs w:val="20"/>
        </w:rPr>
        <w:t>orange</w:t>
      </w:r>
      <w:r w:rsidRPr="58684434">
        <w:rPr>
          <w:sz w:val="20"/>
          <w:szCs w:val="20"/>
        </w:rPr>
        <w:t xml:space="preserve"> line represents the modelled (counterfactual) indicators with shading for 95% CI.  </w:t>
      </w:r>
      <w:r w:rsidR="000644D6" w:rsidRPr="58684434">
        <w:rPr>
          <w:sz w:val="20"/>
          <w:szCs w:val="20"/>
        </w:rPr>
        <w:t xml:space="preserve">The indicator counts are daily totals.  </w:t>
      </w:r>
      <w:r w:rsidRPr="58684434">
        <w:rPr>
          <w:sz w:val="20"/>
          <w:szCs w:val="20"/>
        </w:rPr>
        <w:t>Vertical lines indicate monitoring period boundaries. Comparable all-population data for anxiety and depression indicators from the GPIH and GPOOH.</w:t>
      </w:r>
      <w:r w:rsidR="004B3674" w:rsidRPr="004B3674">
        <w:rPr>
          <w:sz w:val="20"/>
          <w:szCs w:val="20"/>
        </w:rPr>
        <w:t xml:space="preserve"> </w:t>
      </w:r>
      <w:r w:rsidR="006E030D">
        <w:rPr>
          <w:sz w:val="20"/>
          <w:szCs w:val="20"/>
        </w:rPr>
        <w:t>NHS111</w:t>
      </w:r>
      <w:r w:rsidR="004B3674">
        <w:rPr>
          <w:sz w:val="20"/>
          <w:szCs w:val="20"/>
        </w:rPr>
        <w:t xml:space="preserve"> – National Health Service 111 telephone service; GPIH – General Practitioner In-Hours; GPOOH; General Practitioner Out-of-Hours; EDSSS – Emergency Department Syndromic Surveillance System</w:t>
      </w:r>
    </w:p>
    <w:p w14:paraId="33D07F95" w14:textId="77777777" w:rsidR="006945EC" w:rsidRDefault="006945EC" w:rsidP="00752F4D">
      <w:pPr>
        <w:spacing w:after="0" w:line="240" w:lineRule="auto"/>
        <w:rPr>
          <w:b/>
          <w:bCs/>
          <w:sz w:val="16"/>
          <w:szCs w:val="16"/>
        </w:rPr>
      </w:pPr>
    </w:p>
    <w:p w14:paraId="197083AB" w14:textId="3C305C5E" w:rsidR="00717304" w:rsidRDefault="004D2200" w:rsidP="00EC0D19">
      <w:pPr>
        <w:pStyle w:val="ListParagraph"/>
        <w:spacing w:after="0" w:line="240" w:lineRule="auto"/>
        <w:ind w:left="370"/>
        <w:rPr>
          <w:rFonts w:asciiTheme="minorHAnsi" w:hAnsiTheme="minorHAnsi" w:cstheme="minorHAnsi"/>
          <w:b/>
          <w:bCs/>
          <w:szCs w:val="22"/>
        </w:rPr>
      </w:pPr>
      <w:r>
        <w:rPr>
          <w:rFonts w:cstheme="minorHAnsi"/>
          <w:b/>
          <w:bCs/>
          <w:noProof/>
          <w:szCs w:val="22"/>
        </w:rPr>
        <w:lastRenderedPageBreak/>
        <w:drawing>
          <wp:anchor distT="0" distB="0" distL="114300" distR="114300" simplePos="0" relativeHeight="251660288" behindDoc="1" locked="0" layoutInCell="1" allowOverlap="1" wp14:anchorId="09995826" wp14:editId="26D4A84B">
            <wp:simplePos x="0" y="0"/>
            <wp:positionH relativeFrom="column">
              <wp:posOffset>228600</wp:posOffset>
            </wp:positionH>
            <wp:positionV relativeFrom="paragraph">
              <wp:posOffset>171450</wp:posOffset>
            </wp:positionV>
            <wp:extent cx="9068435" cy="4819650"/>
            <wp:effectExtent l="0" t="0" r="0" b="0"/>
            <wp:wrapTight wrapText="bothSides">
              <wp:wrapPolygon edited="0">
                <wp:start x="0" y="0"/>
                <wp:lineTo x="0" y="21515"/>
                <wp:lineTo x="21553" y="21515"/>
                <wp:lineTo x="21553" y="0"/>
                <wp:lineTo x="0" y="0"/>
              </wp:wrapPolygon>
            </wp:wrapTight>
            <wp:docPr id="42587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306"/>
                    <a:stretch>
                      <a:fillRect/>
                    </a:stretch>
                  </pic:blipFill>
                  <pic:spPr bwMode="auto">
                    <a:xfrm>
                      <a:off x="0" y="0"/>
                      <a:ext cx="9068435" cy="481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304" w:rsidRPr="002509C1">
        <w:rPr>
          <w:rFonts w:asciiTheme="minorHAnsi" w:hAnsiTheme="minorHAnsi" w:cstheme="minorHAnsi"/>
          <w:b/>
          <w:bCs/>
          <w:szCs w:val="22"/>
        </w:rPr>
        <w:t xml:space="preserve">Figure </w:t>
      </w:r>
      <w:r w:rsidR="00B47696">
        <w:rPr>
          <w:rFonts w:asciiTheme="minorHAnsi" w:hAnsiTheme="minorHAnsi" w:cstheme="minorHAnsi"/>
          <w:b/>
          <w:bCs/>
          <w:szCs w:val="22"/>
        </w:rPr>
        <w:t>4</w:t>
      </w:r>
      <w:r w:rsidR="000F3AE7" w:rsidRPr="002509C1">
        <w:rPr>
          <w:rFonts w:asciiTheme="minorHAnsi" w:hAnsiTheme="minorHAnsi" w:cstheme="minorHAnsi"/>
          <w:b/>
          <w:bCs/>
          <w:szCs w:val="22"/>
        </w:rPr>
        <w:t xml:space="preserve">. </w:t>
      </w:r>
      <w:r w:rsidR="00717304" w:rsidRPr="002509C1">
        <w:rPr>
          <w:rFonts w:asciiTheme="minorHAnsi" w:hAnsiTheme="minorHAnsi" w:cstheme="minorHAnsi"/>
          <w:b/>
          <w:bCs/>
          <w:szCs w:val="22"/>
        </w:rPr>
        <w:t xml:space="preserve"> Forest </w:t>
      </w:r>
      <w:r w:rsidR="000F3AE7" w:rsidRPr="002509C1">
        <w:rPr>
          <w:rFonts w:asciiTheme="minorHAnsi" w:hAnsiTheme="minorHAnsi" w:cstheme="minorHAnsi"/>
          <w:b/>
          <w:bCs/>
          <w:szCs w:val="22"/>
        </w:rPr>
        <w:t>p</w:t>
      </w:r>
      <w:r w:rsidR="00717304" w:rsidRPr="002509C1">
        <w:rPr>
          <w:rFonts w:asciiTheme="minorHAnsi" w:hAnsiTheme="minorHAnsi" w:cstheme="minorHAnsi"/>
          <w:b/>
          <w:bCs/>
          <w:szCs w:val="22"/>
        </w:rPr>
        <w:t xml:space="preserve">lot of </w:t>
      </w:r>
      <w:r w:rsidR="000F3AE7" w:rsidRPr="002509C1">
        <w:rPr>
          <w:rFonts w:asciiTheme="minorHAnsi" w:hAnsiTheme="minorHAnsi" w:cstheme="minorHAnsi"/>
          <w:b/>
          <w:bCs/>
          <w:szCs w:val="22"/>
        </w:rPr>
        <w:t>mental health</w:t>
      </w:r>
      <w:r w:rsidR="00717304" w:rsidRPr="002509C1">
        <w:rPr>
          <w:rFonts w:asciiTheme="minorHAnsi" w:hAnsiTheme="minorHAnsi" w:cstheme="minorHAnsi"/>
          <w:b/>
          <w:bCs/>
          <w:szCs w:val="22"/>
        </w:rPr>
        <w:t xml:space="preserve"> </w:t>
      </w:r>
      <w:r w:rsidR="000F3AE7" w:rsidRPr="002509C1">
        <w:rPr>
          <w:rFonts w:asciiTheme="minorHAnsi" w:hAnsiTheme="minorHAnsi" w:cstheme="minorHAnsi"/>
          <w:b/>
          <w:bCs/>
          <w:szCs w:val="22"/>
        </w:rPr>
        <w:t>i</w:t>
      </w:r>
      <w:r w:rsidR="00717304" w:rsidRPr="002509C1">
        <w:rPr>
          <w:rFonts w:asciiTheme="minorHAnsi" w:hAnsiTheme="minorHAnsi" w:cstheme="minorHAnsi"/>
          <w:b/>
          <w:bCs/>
          <w:szCs w:val="22"/>
        </w:rPr>
        <w:t xml:space="preserve">ndicators </w:t>
      </w:r>
      <w:r w:rsidR="000F3AE7" w:rsidRPr="002509C1">
        <w:rPr>
          <w:rFonts w:asciiTheme="minorHAnsi" w:hAnsiTheme="minorHAnsi" w:cstheme="minorHAnsi"/>
          <w:b/>
          <w:bCs/>
          <w:szCs w:val="22"/>
        </w:rPr>
        <w:t>s</w:t>
      </w:r>
      <w:r w:rsidR="00717304" w:rsidRPr="002509C1">
        <w:rPr>
          <w:rFonts w:asciiTheme="minorHAnsi" w:hAnsiTheme="minorHAnsi" w:cstheme="minorHAnsi"/>
          <w:b/>
          <w:bCs/>
          <w:szCs w:val="22"/>
        </w:rPr>
        <w:t xml:space="preserve">tratified by </w:t>
      </w:r>
      <w:r w:rsidR="00C175E2">
        <w:rPr>
          <w:rFonts w:asciiTheme="minorHAnsi" w:hAnsiTheme="minorHAnsi" w:cstheme="minorHAnsi"/>
          <w:b/>
          <w:bCs/>
          <w:szCs w:val="22"/>
        </w:rPr>
        <w:t>age group</w:t>
      </w:r>
      <w:r w:rsidR="00340F76" w:rsidRPr="002509C1">
        <w:rPr>
          <w:rFonts w:asciiTheme="minorHAnsi" w:hAnsiTheme="minorHAnsi" w:cstheme="minorHAnsi"/>
          <w:b/>
          <w:bCs/>
          <w:szCs w:val="22"/>
        </w:rPr>
        <w:t xml:space="preserve">  </w:t>
      </w:r>
    </w:p>
    <w:p w14:paraId="2BB3F66E" w14:textId="54181D7E" w:rsidR="0035642F" w:rsidRPr="004D2200" w:rsidRDefault="30522FA1" w:rsidP="004D2200">
      <w:pPr>
        <w:spacing w:after="0" w:line="240" w:lineRule="auto"/>
        <w:rPr>
          <w:rFonts w:cstheme="minorHAnsi"/>
          <w:b/>
          <w:bCs/>
          <w:noProof/>
        </w:rPr>
        <w:sectPr w:rsidR="0035642F" w:rsidRPr="004D2200" w:rsidSect="00873A88">
          <w:headerReference w:type="default" r:id="rId16"/>
          <w:pgSz w:w="16838" w:h="11906" w:orient="landscape"/>
          <w:pgMar w:top="1440" w:right="1440" w:bottom="1440" w:left="1440" w:header="708" w:footer="708" w:gutter="0"/>
          <w:cols w:space="708"/>
          <w:docGrid w:linePitch="360"/>
        </w:sectPr>
      </w:pPr>
      <w:r w:rsidRPr="004D2200">
        <w:rPr>
          <w:b/>
          <w:bCs/>
          <w:sz w:val="20"/>
          <w:szCs w:val="20"/>
        </w:rPr>
        <w:t>Notes</w:t>
      </w:r>
      <w:r w:rsidRPr="004D2200">
        <w:rPr>
          <w:sz w:val="20"/>
          <w:szCs w:val="20"/>
        </w:rPr>
        <w:t>:  Percent</w:t>
      </w:r>
      <w:r w:rsidR="0050248B" w:rsidRPr="004D2200">
        <w:rPr>
          <w:sz w:val="20"/>
          <w:szCs w:val="20"/>
        </w:rPr>
        <w:t>age</w:t>
      </w:r>
      <w:r w:rsidRPr="004D2200">
        <w:rPr>
          <w:sz w:val="20"/>
          <w:szCs w:val="20"/>
        </w:rPr>
        <w:t xml:space="preserve"> change comparing actual counts with counterfactual estimates is presented on the x-axis, with a dotted vertical line during each period representing 0% change. </w:t>
      </w:r>
      <w:r w:rsidR="00A35EB2" w:rsidRPr="004D2200">
        <w:rPr>
          <w:b/>
          <w:bCs/>
          <w:sz w:val="20"/>
          <w:szCs w:val="20"/>
        </w:rPr>
        <w:t xml:space="preserve">PRL1: </w:t>
      </w:r>
      <w:r w:rsidR="00A35EB2" w:rsidRPr="004D2200">
        <w:rPr>
          <w:sz w:val="20"/>
          <w:szCs w:val="20"/>
        </w:rPr>
        <w:t xml:space="preserve">Pre-lockdown 1: February 25 to March 22, 2020; </w:t>
      </w:r>
      <w:r w:rsidR="00A35EB2" w:rsidRPr="004D2200">
        <w:rPr>
          <w:b/>
          <w:bCs/>
          <w:sz w:val="20"/>
          <w:szCs w:val="20"/>
        </w:rPr>
        <w:t>L1:</w:t>
      </w:r>
      <w:r w:rsidR="00A35EB2" w:rsidRPr="004D2200">
        <w:rPr>
          <w:sz w:val="20"/>
          <w:szCs w:val="20"/>
        </w:rPr>
        <w:t xml:space="preserve"> Lockdown 1: March 23 to May 31, 2020; </w:t>
      </w:r>
      <w:r w:rsidR="00A35EB2" w:rsidRPr="004D2200">
        <w:rPr>
          <w:b/>
          <w:bCs/>
          <w:sz w:val="20"/>
          <w:szCs w:val="20"/>
        </w:rPr>
        <w:t>PL1:</w:t>
      </w:r>
      <w:r w:rsidR="00A35EB2" w:rsidRPr="004D2200">
        <w:rPr>
          <w:sz w:val="20"/>
          <w:szCs w:val="20"/>
        </w:rPr>
        <w:t xml:space="preserve"> Post Lockdown 1: June 1 to November 4, </w:t>
      </w:r>
      <w:proofErr w:type="gramStart"/>
      <w:r w:rsidR="00A35EB2" w:rsidRPr="004D2200">
        <w:rPr>
          <w:sz w:val="20"/>
          <w:szCs w:val="20"/>
        </w:rPr>
        <w:t xml:space="preserve">2020;  </w:t>
      </w:r>
      <w:r w:rsidR="00A35EB2" w:rsidRPr="004D2200">
        <w:rPr>
          <w:b/>
          <w:bCs/>
          <w:sz w:val="20"/>
          <w:szCs w:val="20"/>
        </w:rPr>
        <w:t>L</w:t>
      </w:r>
      <w:proofErr w:type="gramEnd"/>
      <w:r w:rsidR="00A35EB2" w:rsidRPr="004D2200">
        <w:rPr>
          <w:b/>
          <w:bCs/>
          <w:sz w:val="20"/>
          <w:szCs w:val="20"/>
        </w:rPr>
        <w:t>2:</w:t>
      </w:r>
      <w:r w:rsidR="00A35EB2" w:rsidRPr="004D2200">
        <w:rPr>
          <w:sz w:val="20"/>
          <w:szCs w:val="20"/>
        </w:rPr>
        <w:t xml:space="preserve"> Lockdown 2: November 5, 2020 to March 7, 2021;  </w:t>
      </w:r>
      <w:r w:rsidR="00A35EB2" w:rsidRPr="004D2200">
        <w:rPr>
          <w:b/>
          <w:bCs/>
          <w:sz w:val="20"/>
          <w:szCs w:val="20"/>
        </w:rPr>
        <w:t>PL2:</w:t>
      </w:r>
      <w:r w:rsidR="00A35EB2" w:rsidRPr="004D2200">
        <w:rPr>
          <w:sz w:val="20"/>
          <w:szCs w:val="20"/>
        </w:rPr>
        <w:t xml:space="preserve"> Post-Lockdown 2: March 8 to July 7, 2021.</w:t>
      </w:r>
      <w:r w:rsidR="004B3674" w:rsidRPr="004D2200">
        <w:rPr>
          <w:sz w:val="20"/>
          <w:szCs w:val="20"/>
        </w:rPr>
        <w:t xml:space="preserve"> </w:t>
      </w:r>
      <w:r w:rsidR="006E030D" w:rsidRPr="004D2200">
        <w:rPr>
          <w:sz w:val="20"/>
          <w:szCs w:val="20"/>
        </w:rPr>
        <w:t>NHS111</w:t>
      </w:r>
      <w:r w:rsidR="004B3674" w:rsidRPr="004D2200">
        <w:rPr>
          <w:sz w:val="20"/>
          <w:szCs w:val="20"/>
        </w:rPr>
        <w:t xml:space="preserve"> – National Health Service 111 telephone service; GPIH – General Practitioner In-Hours; GPOOH; General Practitioner Out-of-Hours; EDSSS – Emergency Department Syndromic Surveillance System</w:t>
      </w:r>
    </w:p>
    <w:p w14:paraId="51E18180" w14:textId="42E94505" w:rsidR="00F60DD8" w:rsidRPr="00320ABB" w:rsidRDefault="00320ABB" w:rsidP="00B4303F">
      <w:pPr>
        <w:spacing w:after="0" w:line="360" w:lineRule="auto"/>
      </w:pPr>
      <w:r>
        <w:lastRenderedPageBreak/>
        <w:t xml:space="preserve">Figure 4 shows </w:t>
      </w:r>
      <w:r w:rsidR="00C867DC">
        <w:t>MH</w:t>
      </w:r>
      <w:r>
        <w:t xml:space="preserve"> indicators stratified by age group.</w:t>
      </w:r>
      <w:r w:rsidR="00C14F65" w:rsidRPr="00C14F65">
        <w:t xml:space="preserve"> This analysis was only undertaken when there were sufficient numbers in each age category (Table 1).</w:t>
      </w:r>
      <w:r w:rsidR="00C14F65">
        <w:t xml:space="preserve"> </w:t>
      </w:r>
      <w:r w:rsidR="00501A22">
        <w:t>I</w:t>
      </w:r>
      <w:r w:rsidR="000E07B5">
        <w:t xml:space="preserve">n most periods, there are </w:t>
      </w:r>
      <w:r w:rsidR="00982815">
        <w:t>few</w:t>
      </w:r>
      <w:r w:rsidR="000E07B5">
        <w:t xml:space="preserve"> apparent differences for age subgroup</w:t>
      </w:r>
      <w:r w:rsidR="00982815">
        <w:t>s</w:t>
      </w:r>
      <w:r w:rsidR="00F82CC7">
        <w:t xml:space="preserve">. </w:t>
      </w:r>
      <w:r w:rsidR="00982815">
        <w:t>T</w:t>
      </w:r>
      <w:r w:rsidR="00AD7E06">
        <w:t xml:space="preserve">he most striking age-related differences </w:t>
      </w:r>
      <w:r w:rsidR="00904A5E">
        <w:t xml:space="preserve">were </w:t>
      </w:r>
      <w:r w:rsidR="00AD7E06">
        <w:t>for persons age</w:t>
      </w:r>
      <w:r w:rsidR="00741CA4">
        <w:t>d</w:t>
      </w:r>
      <w:r w:rsidR="00AD7E06">
        <w:t xml:space="preserve"> 15-24</w:t>
      </w:r>
      <w:r w:rsidR="00904A5E">
        <w:t xml:space="preserve"> years</w:t>
      </w:r>
      <w:r w:rsidR="00151E4C">
        <w:t xml:space="preserve"> compared to other age</w:t>
      </w:r>
      <w:r w:rsidR="00982815">
        <w:t>s</w:t>
      </w:r>
      <w:r w:rsidR="00151E4C">
        <w:t>. Persons age</w:t>
      </w:r>
      <w:r w:rsidR="00904A5E">
        <w:t>d</w:t>
      </w:r>
      <w:r w:rsidR="00151E4C">
        <w:t xml:space="preserve"> 15-24</w:t>
      </w:r>
      <w:r w:rsidR="00904A5E">
        <w:t xml:space="preserve"> years</w:t>
      </w:r>
      <w:r w:rsidR="00151E4C">
        <w:t xml:space="preserve"> </w:t>
      </w:r>
      <w:r w:rsidR="00D313F4">
        <w:t xml:space="preserve">in L1 </w:t>
      </w:r>
      <w:r w:rsidR="00151E4C">
        <w:t xml:space="preserve">had especially low </w:t>
      </w:r>
      <w:r w:rsidR="00725497">
        <w:t xml:space="preserve">ED attendances </w:t>
      </w:r>
      <w:r w:rsidR="009713E9">
        <w:t xml:space="preserve">for all </w:t>
      </w:r>
      <w:r w:rsidR="00643FFC">
        <w:t>MH</w:t>
      </w:r>
      <w:r w:rsidR="009713E9">
        <w:t xml:space="preserve"> conditions and low </w:t>
      </w:r>
      <w:r w:rsidR="00725497">
        <w:t xml:space="preserve">GPIH attendances </w:t>
      </w:r>
      <w:r w:rsidR="000E07B5">
        <w:t xml:space="preserve">for </w:t>
      </w:r>
      <w:r w:rsidR="009713E9">
        <w:t>anxiety</w:t>
      </w:r>
      <w:r w:rsidR="00123C48">
        <w:t xml:space="preserve"> during L1</w:t>
      </w:r>
      <w:r w:rsidR="000E07B5">
        <w:t xml:space="preserve">, </w:t>
      </w:r>
      <w:r w:rsidR="009713E9">
        <w:t xml:space="preserve">but </w:t>
      </w:r>
      <w:r w:rsidR="000E07B5">
        <w:t xml:space="preserve">especially high GPIH consultations for anxiety </w:t>
      </w:r>
      <w:r w:rsidR="000514A6">
        <w:t xml:space="preserve">during </w:t>
      </w:r>
      <w:r w:rsidR="009713E9">
        <w:t>PL2</w:t>
      </w:r>
      <w:r w:rsidR="00F82CC7">
        <w:t>. Consultations for depression are also substantially reduced in the 65 – 74 group during the PRL1 period.</w:t>
      </w:r>
    </w:p>
    <w:p w14:paraId="526431E1" w14:textId="77777777" w:rsidR="00165C7B" w:rsidRDefault="00165C7B" w:rsidP="00B4303F">
      <w:pPr>
        <w:spacing w:after="0" w:line="360" w:lineRule="auto"/>
      </w:pPr>
    </w:p>
    <w:p w14:paraId="0A578780" w14:textId="4C433D19" w:rsidR="00A15FB8" w:rsidRDefault="00F82CC7" w:rsidP="00B4303F">
      <w:pPr>
        <w:spacing w:after="0" w:line="360" w:lineRule="auto"/>
      </w:pPr>
      <w:r w:rsidRPr="001B7F72">
        <w:t>Forest plots for other MH indicators subdivided by age group can be viewed in the supplementary material</w:t>
      </w:r>
      <w:r w:rsidR="001B7F72" w:rsidRPr="001B7F72">
        <w:t>, Figure S3</w:t>
      </w:r>
      <w:r w:rsidRPr="001B7F72">
        <w:t>. MH indicators subdivided by sex can be viewed in the supplementary material</w:t>
      </w:r>
      <w:r w:rsidR="001B7F72" w:rsidRPr="001B7F72">
        <w:t xml:space="preserve">, Figure S4 </w:t>
      </w:r>
      <w:r w:rsidR="00837113">
        <w:t>and</w:t>
      </w:r>
      <w:r w:rsidR="001B7F72" w:rsidRPr="001B7F72">
        <w:t xml:space="preserve"> S5.</w:t>
      </w:r>
      <w:r w:rsidR="001B7F72">
        <w:t xml:space="preserve"> </w:t>
      </w:r>
      <w:r w:rsidR="00D612E9">
        <w:t>There is evidence of increased anxiety consultations among females in the GPIH system during the study period, although these differences are not statistically significantly different</w:t>
      </w:r>
      <w:r w:rsidR="00D706E0">
        <w:t xml:space="preserve"> from male consultations</w:t>
      </w:r>
      <w:r w:rsidR="00D612E9">
        <w:t xml:space="preserve">. </w:t>
      </w:r>
    </w:p>
    <w:p w14:paraId="6B71DDD1" w14:textId="77777777" w:rsidR="00A15FB8" w:rsidRDefault="00A15FB8" w:rsidP="00B4303F">
      <w:pPr>
        <w:spacing w:after="0" w:line="360" w:lineRule="auto"/>
      </w:pPr>
    </w:p>
    <w:p w14:paraId="77E5597B" w14:textId="74B84DA2" w:rsidR="00C05743" w:rsidRPr="00F54D17" w:rsidRDefault="00C05743" w:rsidP="00B4303F">
      <w:pPr>
        <w:spacing w:after="0" w:line="360" w:lineRule="auto"/>
        <w:rPr>
          <w:rFonts w:cstheme="minorHAnsi"/>
          <w:color w:val="FF0000"/>
        </w:rPr>
      </w:pPr>
    </w:p>
    <w:p w14:paraId="34A6C0BD" w14:textId="77777777" w:rsidR="00C05743" w:rsidRPr="004423DB" w:rsidRDefault="00C05743" w:rsidP="00B4303F">
      <w:pPr>
        <w:pStyle w:val="Heading2"/>
        <w:spacing w:before="0" w:line="360" w:lineRule="auto"/>
        <w:rPr>
          <w:rFonts w:cstheme="majorHAnsi"/>
          <w:b/>
          <w:bCs/>
          <w:color w:val="auto"/>
        </w:rPr>
      </w:pPr>
      <w:r w:rsidRPr="004423DB">
        <w:rPr>
          <w:rFonts w:cstheme="majorHAnsi"/>
          <w:b/>
          <w:bCs/>
          <w:color w:val="auto"/>
        </w:rPr>
        <w:t>Discussion</w:t>
      </w:r>
    </w:p>
    <w:p w14:paraId="2485665C" w14:textId="0A09B393" w:rsidR="00990177" w:rsidRPr="00990177" w:rsidRDefault="00FB3AB6" w:rsidP="00990177">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r>
        <w:rPr>
          <w:rFonts w:asciiTheme="minorHAnsi" w:hAnsiTheme="minorHAnsi" w:cstheme="minorBidi"/>
          <w:sz w:val="22"/>
          <w:szCs w:val="22"/>
        </w:rPr>
        <w:t xml:space="preserve">We show </w:t>
      </w:r>
      <w:r w:rsidR="7BCB8AAD" w:rsidRPr="72792264">
        <w:rPr>
          <w:rFonts w:asciiTheme="minorHAnsi" w:hAnsiTheme="minorHAnsi" w:cstheme="minorBidi"/>
          <w:sz w:val="22"/>
          <w:szCs w:val="22"/>
        </w:rPr>
        <w:t>a</w:t>
      </w:r>
      <w:r w:rsidR="0060139F">
        <w:rPr>
          <w:rFonts w:asciiTheme="minorHAnsi" w:hAnsiTheme="minorHAnsi" w:cstheme="minorBidi"/>
          <w:sz w:val="22"/>
          <w:szCs w:val="22"/>
        </w:rPr>
        <w:t>n overall</w:t>
      </w:r>
      <w:r w:rsidR="7BCB8AAD" w:rsidRPr="72792264">
        <w:rPr>
          <w:rFonts w:asciiTheme="minorHAnsi" w:hAnsiTheme="minorHAnsi" w:cstheme="minorBidi"/>
          <w:sz w:val="22"/>
          <w:szCs w:val="22"/>
        </w:rPr>
        <w:t xml:space="preserve"> decline in</w:t>
      </w:r>
      <w:r w:rsidR="0060139F">
        <w:rPr>
          <w:rFonts w:asciiTheme="minorHAnsi" w:hAnsiTheme="minorHAnsi" w:cstheme="minorBidi"/>
          <w:sz w:val="22"/>
          <w:szCs w:val="22"/>
        </w:rPr>
        <w:t xml:space="preserve"> utilisation of MH services</w:t>
      </w:r>
      <w:r w:rsidR="2FB02BAF" w:rsidRPr="72792264">
        <w:rPr>
          <w:rFonts w:asciiTheme="minorHAnsi" w:hAnsiTheme="minorHAnsi" w:cstheme="minorBidi"/>
          <w:sz w:val="22"/>
          <w:szCs w:val="22"/>
        </w:rPr>
        <w:t xml:space="preserve"> during </w:t>
      </w:r>
      <w:r w:rsidR="00D0193C">
        <w:rPr>
          <w:rFonts w:asciiTheme="minorHAnsi" w:hAnsiTheme="minorHAnsi" w:cstheme="minorBidi"/>
          <w:sz w:val="22"/>
          <w:szCs w:val="22"/>
        </w:rPr>
        <w:t>COVID-19</w:t>
      </w:r>
      <w:r w:rsidR="0060139F">
        <w:rPr>
          <w:rFonts w:asciiTheme="minorHAnsi" w:hAnsiTheme="minorHAnsi" w:cstheme="minorBidi"/>
          <w:sz w:val="22"/>
          <w:szCs w:val="22"/>
        </w:rPr>
        <w:t xml:space="preserve"> restrictions within England</w:t>
      </w:r>
      <w:r w:rsidR="00A90EB8" w:rsidRPr="72792264">
        <w:rPr>
          <w:rFonts w:asciiTheme="minorHAnsi" w:hAnsiTheme="minorHAnsi" w:cstheme="minorBidi"/>
          <w:sz w:val="22"/>
          <w:szCs w:val="22"/>
        </w:rPr>
        <w:t>.</w:t>
      </w:r>
      <w:r w:rsidR="007B4259">
        <w:rPr>
          <w:rFonts w:asciiTheme="minorHAnsi" w:hAnsiTheme="minorHAnsi" w:cstheme="minorBidi"/>
          <w:sz w:val="22"/>
          <w:szCs w:val="22"/>
        </w:rPr>
        <w:t xml:space="preserve"> </w:t>
      </w:r>
      <w:r w:rsidR="003968E8">
        <w:rPr>
          <w:rFonts w:asciiTheme="minorHAnsi" w:hAnsiTheme="minorHAnsi" w:cstheme="minorBidi"/>
          <w:sz w:val="22"/>
          <w:szCs w:val="22"/>
        </w:rPr>
        <w:t>As</w:t>
      </w:r>
      <w:r w:rsidR="001331D1">
        <w:rPr>
          <w:rFonts w:asciiTheme="minorHAnsi" w:hAnsiTheme="minorHAnsi" w:cstheme="minorBidi"/>
          <w:sz w:val="22"/>
          <w:szCs w:val="22"/>
        </w:rPr>
        <w:t xml:space="preserve"> </w:t>
      </w:r>
      <w:r w:rsidR="007C28B0">
        <w:rPr>
          <w:rFonts w:asciiTheme="minorHAnsi" w:hAnsiTheme="minorHAnsi" w:cstheme="minorBidi"/>
          <w:sz w:val="22"/>
          <w:szCs w:val="22"/>
        </w:rPr>
        <w:t>COVID-19</w:t>
      </w:r>
      <w:r w:rsidR="003968E8">
        <w:rPr>
          <w:rFonts w:asciiTheme="minorHAnsi" w:hAnsiTheme="minorHAnsi" w:cstheme="minorBidi"/>
          <w:sz w:val="22"/>
          <w:szCs w:val="22"/>
        </w:rPr>
        <w:t xml:space="preserve"> restrictions</w:t>
      </w:r>
      <w:r w:rsidR="007C28B0">
        <w:rPr>
          <w:rFonts w:asciiTheme="minorHAnsi" w:hAnsiTheme="minorHAnsi" w:cstheme="minorBidi"/>
          <w:sz w:val="22"/>
          <w:szCs w:val="22"/>
        </w:rPr>
        <w:t xml:space="preserve"> </w:t>
      </w:r>
      <w:r w:rsidR="001331D1">
        <w:rPr>
          <w:rFonts w:asciiTheme="minorHAnsi" w:hAnsiTheme="minorHAnsi" w:cstheme="minorBidi"/>
          <w:sz w:val="22"/>
          <w:szCs w:val="22"/>
        </w:rPr>
        <w:t>progressed there was</w:t>
      </w:r>
      <w:r w:rsidR="007B4259">
        <w:rPr>
          <w:rFonts w:asciiTheme="minorHAnsi" w:hAnsiTheme="minorHAnsi" w:cstheme="minorBidi"/>
          <w:sz w:val="22"/>
          <w:szCs w:val="22"/>
        </w:rPr>
        <w:t xml:space="preserve"> </w:t>
      </w:r>
      <w:r w:rsidR="00126FF4">
        <w:rPr>
          <w:rFonts w:asciiTheme="minorHAnsi" w:hAnsiTheme="minorHAnsi" w:cstheme="minorBidi"/>
          <w:sz w:val="22"/>
          <w:szCs w:val="22"/>
        </w:rPr>
        <w:t>a</w:t>
      </w:r>
      <w:r w:rsidR="00126FF4" w:rsidRPr="00012E90">
        <w:rPr>
          <w:rFonts w:asciiTheme="minorHAnsi" w:hAnsiTheme="minorHAnsi" w:cstheme="minorBidi"/>
          <w:sz w:val="22"/>
          <w:szCs w:val="22"/>
        </w:rPr>
        <w:t xml:space="preserve"> shift</w:t>
      </w:r>
      <w:r w:rsidR="00012E90" w:rsidRPr="00012E90">
        <w:rPr>
          <w:rFonts w:asciiTheme="minorHAnsi" w:hAnsiTheme="minorHAnsi" w:cstheme="minorBidi"/>
          <w:sz w:val="22"/>
          <w:szCs w:val="22"/>
        </w:rPr>
        <w:t xml:space="preserve"> </w:t>
      </w:r>
      <w:r w:rsidR="00AD7616">
        <w:rPr>
          <w:rFonts w:asciiTheme="minorHAnsi" w:hAnsiTheme="minorHAnsi" w:cstheme="minorBidi"/>
          <w:sz w:val="22"/>
          <w:szCs w:val="22"/>
        </w:rPr>
        <w:t xml:space="preserve">in utilisation </w:t>
      </w:r>
      <w:r w:rsidR="00012E90" w:rsidRPr="00012E90">
        <w:rPr>
          <w:rFonts w:asciiTheme="minorHAnsi" w:hAnsiTheme="minorHAnsi" w:cstheme="minorBidi"/>
          <w:sz w:val="22"/>
          <w:szCs w:val="22"/>
        </w:rPr>
        <w:t>from in</w:t>
      </w:r>
      <w:r w:rsidR="00E20DAE">
        <w:rPr>
          <w:rFonts w:asciiTheme="minorHAnsi" w:hAnsiTheme="minorHAnsi" w:cstheme="minorBidi"/>
          <w:sz w:val="22"/>
          <w:szCs w:val="22"/>
        </w:rPr>
        <w:t>-</w:t>
      </w:r>
      <w:r w:rsidR="00012E90" w:rsidRPr="00012E90">
        <w:rPr>
          <w:rFonts w:asciiTheme="minorHAnsi" w:hAnsiTheme="minorHAnsi" w:cstheme="minorBidi"/>
          <w:sz w:val="22"/>
          <w:szCs w:val="22"/>
        </w:rPr>
        <w:t>person services (GPIH, EDSSS) to remote services (NHS111, GPOOH)</w:t>
      </w:r>
      <w:r w:rsidR="00012E90">
        <w:rPr>
          <w:rFonts w:asciiTheme="minorHAnsi" w:hAnsiTheme="minorHAnsi" w:cstheme="minorBidi"/>
          <w:sz w:val="22"/>
          <w:szCs w:val="22"/>
        </w:rPr>
        <w:t xml:space="preserve">. </w:t>
      </w:r>
      <w:r w:rsidR="00D6248A">
        <w:rPr>
          <w:rFonts w:asciiTheme="minorHAnsi" w:hAnsiTheme="minorHAnsi" w:cstheme="minorBidi"/>
          <w:sz w:val="22"/>
          <w:szCs w:val="22"/>
        </w:rPr>
        <w:t xml:space="preserve">The final period of restrictions (PL2) demonstrates that MH indicators for NHS 111, GPOOH, and EDSSS are all elevated above </w:t>
      </w:r>
      <w:r w:rsidR="00907B6A">
        <w:rPr>
          <w:rFonts w:asciiTheme="minorHAnsi" w:hAnsiTheme="minorHAnsi" w:cstheme="minorBidi"/>
          <w:sz w:val="22"/>
          <w:szCs w:val="22"/>
        </w:rPr>
        <w:t xml:space="preserve">expected levels – which may be due to delayed seeking </w:t>
      </w:r>
      <w:r w:rsidR="00C867DC">
        <w:rPr>
          <w:rFonts w:asciiTheme="minorHAnsi" w:hAnsiTheme="minorHAnsi" w:cstheme="minorBidi"/>
          <w:sz w:val="22"/>
          <w:szCs w:val="22"/>
        </w:rPr>
        <w:t>MH</w:t>
      </w:r>
      <w:r w:rsidR="00907B6A">
        <w:rPr>
          <w:rFonts w:asciiTheme="minorHAnsi" w:hAnsiTheme="minorHAnsi" w:cstheme="minorBidi"/>
          <w:sz w:val="22"/>
          <w:szCs w:val="22"/>
        </w:rPr>
        <w:t xml:space="preserve"> support from earlier periods. However, </w:t>
      </w:r>
      <w:r w:rsidR="0094452C">
        <w:rPr>
          <w:rFonts w:asciiTheme="minorHAnsi" w:hAnsiTheme="minorHAnsi" w:cstheme="minorBidi"/>
          <w:sz w:val="22"/>
          <w:szCs w:val="22"/>
        </w:rPr>
        <w:t>total indicators</w:t>
      </w:r>
      <w:r w:rsidR="00907B6A">
        <w:rPr>
          <w:rFonts w:asciiTheme="minorHAnsi" w:hAnsiTheme="minorHAnsi" w:cstheme="minorBidi"/>
          <w:sz w:val="22"/>
          <w:szCs w:val="22"/>
        </w:rPr>
        <w:t xml:space="preserve"> for both NHS 111 and GPOOH are not significantly different from MH </w:t>
      </w:r>
      <w:r w:rsidR="0094452C">
        <w:rPr>
          <w:rFonts w:asciiTheme="minorHAnsi" w:hAnsiTheme="minorHAnsi" w:cstheme="minorBidi"/>
          <w:sz w:val="22"/>
          <w:szCs w:val="22"/>
        </w:rPr>
        <w:t>indicators, which may indicate delayed healthcare seeking behaviour in general instead of a specific impact on MH.</w:t>
      </w:r>
      <w:r w:rsidR="00D06F02">
        <w:rPr>
          <w:rFonts w:asciiTheme="minorHAnsi" w:hAnsiTheme="minorHAnsi" w:cstheme="minorBidi"/>
          <w:sz w:val="22"/>
          <w:szCs w:val="22"/>
        </w:rPr>
        <w:t xml:space="preserve"> </w:t>
      </w:r>
      <w:r w:rsidR="00990177" w:rsidRPr="00990177">
        <w:rPr>
          <w:rFonts w:asciiTheme="minorHAnsi" w:hAnsiTheme="minorHAnsi" w:cstheme="minorBidi"/>
          <w:sz w:val="22"/>
          <w:szCs w:val="22"/>
        </w:rPr>
        <w:t xml:space="preserve">Shifts from in-person services to remote services, highlight the importance of MH services having complementary in-person and remote access points during health crises. </w:t>
      </w:r>
      <w:r w:rsidR="00A4681E">
        <w:rPr>
          <w:rFonts w:asciiTheme="minorHAnsi" w:hAnsiTheme="minorHAnsi" w:cstheme="minorBidi"/>
          <w:sz w:val="22"/>
          <w:szCs w:val="22"/>
        </w:rPr>
        <w:t>I</w:t>
      </w:r>
      <w:r w:rsidR="00A4681E" w:rsidRPr="00A4681E">
        <w:rPr>
          <w:rFonts w:asciiTheme="minorHAnsi" w:hAnsiTheme="minorHAnsi" w:cstheme="minorBidi"/>
          <w:sz w:val="22"/>
          <w:szCs w:val="22"/>
        </w:rPr>
        <w:t>ncreases in COVID-19-related and acute respiratory presentations during the pandemic were associated with substantial pressures on service capacity and care pathways</w:t>
      </w:r>
      <w:r w:rsidR="00A4681E" w:rsidRPr="00456E35">
        <w:rPr>
          <w:rFonts w:asciiTheme="minorHAnsi" w:hAnsiTheme="minorHAnsi" w:cstheme="minorBidi"/>
          <w:sz w:val="22"/>
          <w:szCs w:val="22"/>
          <w:vertAlign w:val="superscript"/>
        </w:rPr>
        <w:t>19</w:t>
      </w:r>
      <w:r w:rsidR="00A4681E" w:rsidRPr="00A4681E">
        <w:rPr>
          <w:rFonts w:asciiTheme="minorHAnsi" w:hAnsiTheme="minorHAnsi" w:cstheme="minorBidi"/>
          <w:sz w:val="22"/>
          <w:szCs w:val="22"/>
        </w:rPr>
        <w:t xml:space="preserve">. Such system-level disruptions may have contributed to reductions in non-COVID presentations, including </w:t>
      </w:r>
      <w:r w:rsidR="005802EE">
        <w:rPr>
          <w:rFonts w:asciiTheme="minorHAnsi" w:hAnsiTheme="minorHAnsi" w:cstheme="minorBidi"/>
          <w:sz w:val="22"/>
          <w:szCs w:val="22"/>
        </w:rPr>
        <w:t>MH</w:t>
      </w:r>
      <w:r w:rsidR="00A4681E" w:rsidRPr="00A4681E">
        <w:rPr>
          <w:rFonts w:asciiTheme="minorHAnsi" w:hAnsiTheme="minorHAnsi" w:cstheme="minorBidi"/>
          <w:sz w:val="22"/>
          <w:szCs w:val="22"/>
        </w:rPr>
        <w:t xml:space="preserve"> attendances</w:t>
      </w:r>
      <w:r w:rsidR="0058498A">
        <w:rPr>
          <w:rFonts w:asciiTheme="minorHAnsi" w:hAnsiTheme="minorHAnsi" w:cstheme="minorBidi"/>
          <w:sz w:val="22"/>
          <w:szCs w:val="22"/>
        </w:rPr>
        <w:t xml:space="preserve"> particularly during the early phases of the pandemic</w:t>
      </w:r>
      <w:r w:rsidR="00A4681E" w:rsidRPr="00A4681E">
        <w:rPr>
          <w:rFonts w:asciiTheme="minorHAnsi" w:hAnsiTheme="minorHAnsi" w:cstheme="minorBidi"/>
          <w:sz w:val="22"/>
          <w:szCs w:val="22"/>
        </w:rPr>
        <w:t>.</w:t>
      </w:r>
    </w:p>
    <w:p w14:paraId="6E6D5597" w14:textId="77777777" w:rsidR="002A43FE" w:rsidRDefault="002A43FE" w:rsidP="00012E90">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p>
    <w:p w14:paraId="7B94B39D" w14:textId="2D1CD37E" w:rsidR="00C31337" w:rsidRDefault="00D06F02" w:rsidP="00012E90">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r>
        <w:rPr>
          <w:rFonts w:asciiTheme="minorHAnsi" w:hAnsiTheme="minorHAnsi" w:cstheme="minorBidi"/>
          <w:sz w:val="22"/>
          <w:szCs w:val="22"/>
        </w:rPr>
        <w:t>Considering</w:t>
      </w:r>
      <w:r w:rsidR="00F15CCF">
        <w:rPr>
          <w:rFonts w:asciiTheme="minorHAnsi" w:hAnsiTheme="minorHAnsi" w:cstheme="minorBidi"/>
          <w:sz w:val="22"/>
          <w:szCs w:val="22"/>
        </w:rPr>
        <w:t xml:space="preserve"> overall</w:t>
      </w:r>
      <w:r>
        <w:rPr>
          <w:rFonts w:asciiTheme="minorHAnsi" w:hAnsiTheme="minorHAnsi" w:cstheme="minorBidi"/>
          <w:sz w:val="22"/>
          <w:szCs w:val="22"/>
        </w:rPr>
        <w:t xml:space="preserve"> </w:t>
      </w:r>
      <w:r w:rsidR="00F15CCF">
        <w:rPr>
          <w:rFonts w:asciiTheme="minorHAnsi" w:hAnsiTheme="minorHAnsi" w:cstheme="minorBidi"/>
          <w:sz w:val="22"/>
          <w:szCs w:val="22"/>
        </w:rPr>
        <w:t>in</w:t>
      </w:r>
      <w:r w:rsidR="008D045C">
        <w:rPr>
          <w:rFonts w:asciiTheme="minorHAnsi" w:hAnsiTheme="minorHAnsi" w:cstheme="minorBidi"/>
          <w:sz w:val="22"/>
          <w:szCs w:val="22"/>
        </w:rPr>
        <w:t>-</w:t>
      </w:r>
      <w:r w:rsidR="00F15CCF">
        <w:rPr>
          <w:rFonts w:asciiTheme="minorHAnsi" w:hAnsiTheme="minorHAnsi" w:cstheme="minorBidi"/>
          <w:sz w:val="22"/>
          <w:szCs w:val="22"/>
        </w:rPr>
        <w:t xml:space="preserve">hours primary care saw a reduction during restrictions, consultations for anxiety were relatively stable during most periods of restrictions and were increased in the GPOOH service. </w:t>
      </w:r>
      <w:r w:rsidR="002D6242" w:rsidRPr="002D6242">
        <w:rPr>
          <w:rFonts w:asciiTheme="minorHAnsi" w:hAnsiTheme="minorHAnsi" w:cstheme="minorBidi"/>
          <w:sz w:val="22"/>
          <w:szCs w:val="22"/>
        </w:rPr>
        <w:t xml:space="preserve">This may indicate increased anxiety prevalence in the general population during COVID-19 restrictions, as seen in primary care </w:t>
      </w:r>
      <w:r w:rsidR="00A847A9" w:rsidRPr="002D6242">
        <w:rPr>
          <w:rFonts w:asciiTheme="minorHAnsi" w:hAnsiTheme="minorHAnsi" w:cstheme="minorBidi"/>
          <w:sz w:val="22"/>
          <w:szCs w:val="22"/>
        </w:rPr>
        <w:t>consultations</w:t>
      </w:r>
      <w:r w:rsidR="00A847A9">
        <w:rPr>
          <w:rFonts w:asciiTheme="minorHAnsi" w:hAnsiTheme="minorHAnsi" w:cstheme="minorBidi"/>
          <w:sz w:val="22"/>
          <w:szCs w:val="22"/>
        </w:rPr>
        <w:t xml:space="preserve"> </w:t>
      </w:r>
      <w:r w:rsidR="00A847A9" w:rsidRPr="002D6242">
        <w:rPr>
          <w:rFonts w:asciiTheme="minorHAnsi" w:hAnsiTheme="minorHAnsi" w:cstheme="minorBidi"/>
          <w:sz w:val="22"/>
          <w:szCs w:val="22"/>
        </w:rPr>
        <w:t>–</w:t>
      </w:r>
      <w:r w:rsidR="00F15CCF">
        <w:rPr>
          <w:rFonts w:asciiTheme="minorHAnsi" w:hAnsiTheme="minorHAnsi" w:cstheme="minorBidi"/>
          <w:sz w:val="22"/>
          <w:szCs w:val="22"/>
        </w:rPr>
        <w:t xml:space="preserve"> </w:t>
      </w:r>
      <w:r w:rsidR="00560C39">
        <w:rPr>
          <w:rFonts w:asciiTheme="minorHAnsi" w:hAnsiTheme="minorHAnsi" w:cstheme="minorBidi"/>
          <w:sz w:val="22"/>
          <w:szCs w:val="22"/>
        </w:rPr>
        <w:t xml:space="preserve">a systematic review involving multiple countries </w:t>
      </w:r>
      <w:r w:rsidR="00560C39">
        <w:rPr>
          <w:rFonts w:asciiTheme="minorHAnsi" w:hAnsiTheme="minorHAnsi" w:cstheme="minorBidi"/>
          <w:sz w:val="22"/>
          <w:szCs w:val="22"/>
        </w:rPr>
        <w:lastRenderedPageBreak/>
        <w:t>found increased social anxiety during the COVID-19 pandemic</w:t>
      </w:r>
      <w:r w:rsidR="00351A78" w:rsidRPr="00351A78">
        <w:rPr>
          <w:rFonts w:asciiTheme="minorHAnsi" w:hAnsiTheme="minorHAnsi" w:cstheme="minorBidi"/>
          <w:sz w:val="22"/>
          <w:szCs w:val="22"/>
          <w:vertAlign w:val="superscript"/>
        </w:rPr>
        <w:t>32</w:t>
      </w:r>
      <w:r w:rsidR="00560C39">
        <w:rPr>
          <w:rFonts w:asciiTheme="minorHAnsi" w:hAnsiTheme="minorHAnsi" w:cstheme="minorBidi"/>
          <w:sz w:val="22"/>
          <w:szCs w:val="22"/>
        </w:rPr>
        <w:t xml:space="preserve">. Conversely, primary care consultations for depression </w:t>
      </w:r>
      <w:r w:rsidR="007F68AF">
        <w:rPr>
          <w:rFonts w:asciiTheme="minorHAnsi" w:hAnsiTheme="minorHAnsi" w:cstheme="minorBidi"/>
          <w:sz w:val="22"/>
          <w:szCs w:val="22"/>
        </w:rPr>
        <w:t xml:space="preserve">witnessed large reductions during all periods of restrictions and it is unlikely the increase in consultations within GPOOH offset this reduction. </w:t>
      </w:r>
      <w:r w:rsidR="00DE4214">
        <w:rPr>
          <w:rFonts w:asciiTheme="minorHAnsi" w:hAnsiTheme="minorHAnsi" w:cstheme="minorBidi"/>
          <w:sz w:val="22"/>
          <w:szCs w:val="22"/>
        </w:rPr>
        <w:t xml:space="preserve">This indicates unmet demand for individuals seeking consultations for depression within primary care – untreated depression for long periods of time is associated with </w:t>
      </w:r>
      <w:r w:rsidR="00990177">
        <w:rPr>
          <w:rFonts w:asciiTheme="minorHAnsi" w:hAnsiTheme="minorHAnsi" w:cstheme="minorBidi"/>
          <w:sz w:val="22"/>
          <w:szCs w:val="22"/>
        </w:rPr>
        <w:t>exacerbation of symptoms as well as less effective outcomes when treatment is received</w:t>
      </w:r>
      <w:r w:rsidR="00351A78" w:rsidRPr="00351A78">
        <w:rPr>
          <w:rFonts w:asciiTheme="minorHAnsi" w:hAnsiTheme="minorHAnsi" w:cstheme="minorBidi"/>
          <w:sz w:val="22"/>
          <w:szCs w:val="22"/>
          <w:vertAlign w:val="superscript"/>
        </w:rPr>
        <w:t>33</w:t>
      </w:r>
      <w:r w:rsidR="004965F3" w:rsidRPr="004965F3">
        <w:rPr>
          <w:rFonts w:asciiTheme="minorHAnsi" w:hAnsiTheme="minorHAnsi" w:cstheme="minorBidi"/>
          <w:sz w:val="22"/>
          <w:szCs w:val="22"/>
        </w:rPr>
        <w:t>.</w:t>
      </w:r>
    </w:p>
    <w:p w14:paraId="47F8C1BE" w14:textId="77777777" w:rsidR="00BC4C47" w:rsidRDefault="00BC4C47" w:rsidP="00012E90">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p>
    <w:p w14:paraId="5F9C3811" w14:textId="313AD151" w:rsidR="009A0F0F" w:rsidRDefault="00970250" w:rsidP="00012E90">
      <w:pPr>
        <w:pStyle w:val="NormalWeb"/>
        <w:shd w:val="clear" w:color="auto" w:fill="FFFFFF" w:themeFill="background1"/>
        <w:spacing w:before="0" w:beforeAutospacing="0" w:after="0" w:afterAutospacing="0" w:line="360" w:lineRule="auto"/>
        <w:rPr>
          <w:rFonts w:asciiTheme="minorHAnsi" w:hAnsiTheme="minorHAnsi" w:cstheme="minorHAnsi"/>
          <w:sz w:val="22"/>
          <w:szCs w:val="22"/>
        </w:rPr>
      </w:pPr>
      <w:r>
        <w:rPr>
          <w:rFonts w:asciiTheme="minorHAnsi" w:hAnsiTheme="minorHAnsi" w:cstheme="minorBidi"/>
          <w:sz w:val="22"/>
          <w:szCs w:val="22"/>
        </w:rPr>
        <w:t>There was evidence for</w:t>
      </w:r>
      <w:r w:rsidR="009150B1">
        <w:rPr>
          <w:rFonts w:asciiTheme="minorHAnsi" w:hAnsiTheme="minorHAnsi" w:cstheme="minorBidi"/>
          <w:sz w:val="22"/>
          <w:szCs w:val="22"/>
        </w:rPr>
        <w:t xml:space="preserve"> age specific differences in utilisation of MH services in this study. Notably there appears to be a large reduction in the 15 – 24 group within primary care for all MH and anxiety</w:t>
      </w:r>
      <w:r w:rsidR="00C31337">
        <w:rPr>
          <w:rFonts w:asciiTheme="minorHAnsi" w:hAnsiTheme="minorHAnsi" w:cstheme="minorBidi"/>
          <w:sz w:val="22"/>
          <w:szCs w:val="22"/>
        </w:rPr>
        <w:t xml:space="preserve"> during the first lockdown</w:t>
      </w:r>
      <w:r w:rsidR="009150B1">
        <w:rPr>
          <w:rFonts w:asciiTheme="minorHAnsi" w:hAnsiTheme="minorHAnsi" w:cstheme="minorBidi"/>
          <w:sz w:val="22"/>
          <w:szCs w:val="22"/>
        </w:rPr>
        <w:t>.</w:t>
      </w:r>
      <w:r w:rsidR="008F252D">
        <w:rPr>
          <w:rFonts w:asciiTheme="minorHAnsi" w:hAnsiTheme="minorHAnsi" w:cstheme="minorBidi"/>
          <w:sz w:val="22"/>
          <w:szCs w:val="22"/>
        </w:rPr>
        <w:t xml:space="preserve"> The final period of restriction</w:t>
      </w:r>
      <w:r w:rsidR="00DC5D51">
        <w:rPr>
          <w:rFonts w:asciiTheme="minorHAnsi" w:hAnsiTheme="minorHAnsi" w:cstheme="minorBidi"/>
          <w:sz w:val="22"/>
          <w:szCs w:val="22"/>
        </w:rPr>
        <w:t>s</w:t>
      </w:r>
      <w:r w:rsidR="008F252D">
        <w:rPr>
          <w:rFonts w:asciiTheme="minorHAnsi" w:hAnsiTheme="minorHAnsi" w:cstheme="minorBidi"/>
          <w:sz w:val="22"/>
          <w:szCs w:val="22"/>
        </w:rPr>
        <w:t xml:space="preserve"> (PL2) show</w:t>
      </w:r>
      <w:r w:rsidR="003968E8">
        <w:rPr>
          <w:rFonts w:asciiTheme="minorHAnsi" w:hAnsiTheme="minorHAnsi" w:cstheme="minorBidi"/>
          <w:sz w:val="22"/>
          <w:szCs w:val="22"/>
        </w:rPr>
        <w:t>ed</w:t>
      </w:r>
      <w:r w:rsidR="008F252D">
        <w:rPr>
          <w:rFonts w:asciiTheme="minorHAnsi" w:hAnsiTheme="minorHAnsi" w:cstheme="minorBidi"/>
          <w:sz w:val="22"/>
          <w:szCs w:val="22"/>
        </w:rPr>
        <w:t xml:space="preserve"> primary care consultations for anxiety </w:t>
      </w:r>
      <w:r w:rsidR="003968E8">
        <w:rPr>
          <w:rFonts w:asciiTheme="minorHAnsi" w:hAnsiTheme="minorHAnsi" w:cstheme="minorBidi"/>
          <w:sz w:val="22"/>
          <w:szCs w:val="22"/>
        </w:rPr>
        <w:t>were</w:t>
      </w:r>
      <w:r w:rsidR="008F252D">
        <w:rPr>
          <w:rFonts w:asciiTheme="minorHAnsi" w:hAnsiTheme="minorHAnsi" w:cstheme="minorBidi"/>
          <w:sz w:val="22"/>
          <w:szCs w:val="22"/>
        </w:rPr>
        <w:t xml:space="preserve"> substantially higher in the 15 – 24 age group, this effect is also seen to a </w:t>
      </w:r>
      <w:r w:rsidR="003968E8">
        <w:rPr>
          <w:rFonts w:asciiTheme="minorHAnsi" w:hAnsiTheme="minorHAnsi" w:cstheme="minorBidi"/>
          <w:sz w:val="22"/>
          <w:szCs w:val="22"/>
        </w:rPr>
        <w:t>lesser</w:t>
      </w:r>
      <w:r w:rsidR="008F252D">
        <w:rPr>
          <w:rFonts w:asciiTheme="minorHAnsi" w:hAnsiTheme="minorHAnsi" w:cstheme="minorBidi"/>
          <w:sz w:val="22"/>
          <w:szCs w:val="22"/>
        </w:rPr>
        <w:t xml:space="preserve"> extent with all MH. </w:t>
      </w:r>
      <w:r w:rsidR="00AD7616" w:rsidRPr="00AD7616">
        <w:rPr>
          <w:rFonts w:asciiTheme="minorHAnsi" w:hAnsiTheme="minorHAnsi" w:cstheme="minorBidi"/>
          <w:sz w:val="22"/>
          <w:szCs w:val="22"/>
        </w:rPr>
        <w:t xml:space="preserve">The reasons for this effect in the youngest age group is unclear but may be that this age group was disproportionately impacted by service changes within primary care earlier in the pandemic, which resulted in a surge in seeking </w:t>
      </w:r>
      <w:r w:rsidR="00C867DC">
        <w:rPr>
          <w:rFonts w:asciiTheme="minorHAnsi" w:hAnsiTheme="minorHAnsi" w:cstheme="minorBidi"/>
          <w:sz w:val="22"/>
          <w:szCs w:val="22"/>
        </w:rPr>
        <w:t>MH</w:t>
      </w:r>
      <w:r w:rsidR="00AD7616" w:rsidRPr="00AD7616">
        <w:rPr>
          <w:rFonts w:asciiTheme="minorHAnsi" w:hAnsiTheme="minorHAnsi" w:cstheme="minorBidi"/>
          <w:sz w:val="22"/>
          <w:szCs w:val="22"/>
        </w:rPr>
        <w:t xml:space="preserve"> support during the final phase of restrictions</w:t>
      </w:r>
      <w:r w:rsidR="009A0F0F">
        <w:rPr>
          <w:rFonts w:asciiTheme="minorHAnsi" w:hAnsiTheme="minorHAnsi" w:cstheme="minorBidi"/>
          <w:sz w:val="22"/>
          <w:szCs w:val="22"/>
        </w:rPr>
        <w:t>. It may also indicate the culminative effect of social restrictions or</w:t>
      </w:r>
      <w:r w:rsidR="009A0F0F" w:rsidRPr="00B14214">
        <w:rPr>
          <w:rFonts w:asciiTheme="minorHAnsi" w:hAnsiTheme="minorHAnsi" w:cstheme="minorHAnsi"/>
          <w:sz w:val="22"/>
          <w:szCs w:val="22"/>
        </w:rPr>
        <w:t xml:space="preserve"> a rise in social anxiety as normal interactions and responsibilities resume.</w:t>
      </w:r>
      <w:r w:rsidR="00352CD5">
        <w:rPr>
          <w:rFonts w:asciiTheme="minorHAnsi" w:hAnsiTheme="minorHAnsi" w:cstheme="minorHAnsi"/>
          <w:sz w:val="22"/>
          <w:szCs w:val="22"/>
        </w:rPr>
        <w:t xml:space="preserve"> Results from an Australian cohort study found that prevalence of psychological distress during the COVID-19 pandemic was highest amongst young </w:t>
      </w:r>
      <w:r w:rsidR="005B7E93">
        <w:rPr>
          <w:rFonts w:asciiTheme="minorHAnsi" w:hAnsiTheme="minorHAnsi" w:cstheme="minorHAnsi"/>
          <w:sz w:val="22"/>
          <w:szCs w:val="22"/>
        </w:rPr>
        <w:t>people</w:t>
      </w:r>
      <w:r w:rsidR="00352CD5">
        <w:rPr>
          <w:rFonts w:asciiTheme="minorHAnsi" w:hAnsiTheme="minorHAnsi" w:cstheme="minorHAnsi"/>
          <w:sz w:val="22"/>
          <w:szCs w:val="22"/>
        </w:rPr>
        <w:t>,</w:t>
      </w:r>
      <w:r w:rsidR="005B7E93">
        <w:rPr>
          <w:rFonts w:asciiTheme="minorHAnsi" w:hAnsiTheme="minorHAnsi" w:cstheme="minorHAnsi"/>
          <w:sz w:val="22"/>
          <w:szCs w:val="22"/>
        </w:rPr>
        <w:t xml:space="preserve"> particularly females. Some explanations for this may be due to</w:t>
      </w:r>
      <w:r w:rsidR="00352CD5">
        <w:rPr>
          <w:rFonts w:asciiTheme="minorHAnsi" w:hAnsiTheme="minorHAnsi" w:cstheme="minorHAnsi"/>
          <w:sz w:val="22"/>
          <w:szCs w:val="22"/>
        </w:rPr>
        <w:t xml:space="preserve"> unemployment, financial insecurity, </w:t>
      </w:r>
      <w:r w:rsidR="005B7E93">
        <w:rPr>
          <w:rFonts w:asciiTheme="minorHAnsi" w:hAnsiTheme="minorHAnsi" w:cstheme="minorHAnsi"/>
          <w:sz w:val="22"/>
          <w:szCs w:val="22"/>
        </w:rPr>
        <w:t xml:space="preserve">education disruption, </w:t>
      </w:r>
      <w:r w:rsidR="00352CD5">
        <w:rPr>
          <w:rFonts w:asciiTheme="minorHAnsi" w:hAnsiTheme="minorHAnsi" w:cstheme="minorHAnsi"/>
          <w:sz w:val="22"/>
          <w:szCs w:val="22"/>
        </w:rPr>
        <w:t>lack of social support</w:t>
      </w:r>
      <w:r w:rsidR="005B7E93">
        <w:rPr>
          <w:rFonts w:asciiTheme="minorHAnsi" w:hAnsiTheme="minorHAnsi" w:cstheme="minorHAnsi"/>
          <w:sz w:val="22"/>
          <w:szCs w:val="22"/>
        </w:rPr>
        <w:t>,</w:t>
      </w:r>
      <w:r w:rsidR="00352CD5">
        <w:rPr>
          <w:rFonts w:asciiTheme="minorHAnsi" w:hAnsiTheme="minorHAnsi" w:cstheme="minorHAnsi"/>
          <w:sz w:val="22"/>
          <w:szCs w:val="22"/>
        </w:rPr>
        <w:t xml:space="preserve"> and physical and social isolation as factors that disproportionately impacted </w:t>
      </w:r>
      <w:r w:rsidR="005B7E93">
        <w:rPr>
          <w:rFonts w:asciiTheme="minorHAnsi" w:hAnsiTheme="minorHAnsi" w:cstheme="minorHAnsi"/>
          <w:sz w:val="22"/>
          <w:szCs w:val="22"/>
        </w:rPr>
        <w:t>younger people</w:t>
      </w:r>
      <w:r w:rsidR="00DA6221" w:rsidRPr="00456E35">
        <w:rPr>
          <w:rFonts w:asciiTheme="minorHAnsi" w:hAnsiTheme="minorHAnsi" w:cstheme="minorHAnsi"/>
          <w:sz w:val="22"/>
          <w:szCs w:val="22"/>
          <w:vertAlign w:val="superscript"/>
        </w:rPr>
        <w:t>34</w:t>
      </w:r>
      <w:r w:rsidR="00352CD5">
        <w:rPr>
          <w:rFonts w:asciiTheme="minorHAnsi" w:hAnsiTheme="minorHAnsi" w:cstheme="minorHAnsi"/>
          <w:sz w:val="22"/>
          <w:szCs w:val="22"/>
        </w:rPr>
        <w:t xml:space="preserve">. </w:t>
      </w:r>
      <w:r w:rsidR="00560E73">
        <w:rPr>
          <w:rFonts w:asciiTheme="minorHAnsi" w:hAnsiTheme="minorHAnsi" w:cstheme="minorHAnsi"/>
          <w:sz w:val="22"/>
          <w:szCs w:val="22"/>
        </w:rPr>
        <w:t xml:space="preserve"> </w:t>
      </w:r>
    </w:p>
    <w:p w14:paraId="4E79B46B" w14:textId="77777777" w:rsidR="00385B6D" w:rsidRDefault="00385B6D" w:rsidP="00012E90">
      <w:pPr>
        <w:pStyle w:val="NormalWeb"/>
        <w:shd w:val="clear" w:color="auto" w:fill="FFFFFF" w:themeFill="background1"/>
        <w:spacing w:before="0" w:beforeAutospacing="0" w:after="0" w:afterAutospacing="0" w:line="360" w:lineRule="auto"/>
        <w:rPr>
          <w:rFonts w:asciiTheme="minorHAnsi" w:hAnsiTheme="minorHAnsi" w:cstheme="minorHAnsi"/>
          <w:sz w:val="22"/>
          <w:szCs w:val="22"/>
        </w:rPr>
      </w:pPr>
    </w:p>
    <w:p w14:paraId="2FD10904" w14:textId="6180C327" w:rsidR="00DC5D51" w:rsidRDefault="007014ED" w:rsidP="007014ED">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r w:rsidRPr="00E95D12">
        <w:rPr>
          <w:rFonts w:asciiTheme="minorHAnsi" w:hAnsiTheme="minorHAnsi" w:cstheme="minorBidi"/>
          <w:sz w:val="22"/>
          <w:szCs w:val="22"/>
        </w:rPr>
        <w:t xml:space="preserve">A decrease in </w:t>
      </w:r>
      <w:r>
        <w:rPr>
          <w:rFonts w:asciiTheme="minorHAnsi" w:hAnsiTheme="minorHAnsi" w:cstheme="minorBidi"/>
          <w:sz w:val="22"/>
          <w:szCs w:val="22"/>
        </w:rPr>
        <w:t>utilisation of MH</w:t>
      </w:r>
      <w:r w:rsidRPr="00E95D12">
        <w:rPr>
          <w:rFonts w:asciiTheme="minorHAnsi" w:hAnsiTheme="minorHAnsi" w:cstheme="minorBidi"/>
          <w:sz w:val="22"/>
          <w:szCs w:val="22"/>
        </w:rPr>
        <w:t xml:space="preserve"> </w:t>
      </w:r>
      <w:r>
        <w:rPr>
          <w:rFonts w:asciiTheme="minorHAnsi" w:hAnsiTheme="minorHAnsi" w:cstheme="minorBidi"/>
          <w:sz w:val="22"/>
          <w:szCs w:val="22"/>
        </w:rPr>
        <w:t>services</w:t>
      </w:r>
      <w:r w:rsidRPr="00E95D12">
        <w:rPr>
          <w:rFonts w:asciiTheme="minorHAnsi" w:hAnsiTheme="minorHAnsi" w:cstheme="minorBidi"/>
          <w:sz w:val="22"/>
          <w:szCs w:val="22"/>
        </w:rPr>
        <w:t xml:space="preserve"> within </w:t>
      </w:r>
      <w:r>
        <w:rPr>
          <w:rFonts w:asciiTheme="minorHAnsi" w:hAnsiTheme="minorHAnsi" w:cstheme="minorBidi"/>
          <w:sz w:val="22"/>
          <w:szCs w:val="22"/>
        </w:rPr>
        <w:t xml:space="preserve">the </w:t>
      </w:r>
      <w:r w:rsidRPr="00E95D12">
        <w:rPr>
          <w:rFonts w:asciiTheme="minorHAnsi" w:hAnsiTheme="minorHAnsi" w:cstheme="minorBidi"/>
          <w:sz w:val="22"/>
          <w:szCs w:val="22"/>
        </w:rPr>
        <w:t xml:space="preserve">UK </w:t>
      </w:r>
      <w:r>
        <w:rPr>
          <w:rFonts w:asciiTheme="minorHAnsi" w:hAnsiTheme="minorHAnsi" w:cstheme="minorBidi"/>
          <w:sz w:val="22"/>
          <w:szCs w:val="22"/>
        </w:rPr>
        <w:t>during early</w:t>
      </w:r>
      <w:r w:rsidRPr="00E95D12">
        <w:rPr>
          <w:rFonts w:asciiTheme="minorHAnsi" w:hAnsiTheme="minorHAnsi" w:cstheme="minorBidi"/>
          <w:sz w:val="22"/>
          <w:szCs w:val="22"/>
        </w:rPr>
        <w:t xml:space="preserve"> COVID-19 </w:t>
      </w:r>
      <w:r>
        <w:rPr>
          <w:rFonts w:asciiTheme="minorHAnsi" w:hAnsiTheme="minorHAnsi" w:cstheme="minorBidi"/>
          <w:sz w:val="22"/>
          <w:szCs w:val="22"/>
        </w:rPr>
        <w:t xml:space="preserve">restrictions has been </w:t>
      </w:r>
      <w:r w:rsidRPr="00E95D12">
        <w:rPr>
          <w:rFonts w:asciiTheme="minorHAnsi" w:hAnsiTheme="minorHAnsi" w:cstheme="minorBidi"/>
          <w:sz w:val="22"/>
          <w:szCs w:val="22"/>
        </w:rPr>
        <w:t xml:space="preserve">documented </w:t>
      </w:r>
      <w:r>
        <w:rPr>
          <w:rFonts w:asciiTheme="minorHAnsi" w:hAnsiTheme="minorHAnsi" w:cstheme="minorBidi"/>
          <w:sz w:val="22"/>
          <w:szCs w:val="22"/>
        </w:rPr>
        <w:t>elsewhere</w:t>
      </w:r>
      <w:r w:rsidR="00B64DF6" w:rsidRPr="00B64DF6">
        <w:rPr>
          <w:rFonts w:asciiTheme="minorHAnsi" w:hAnsiTheme="minorHAnsi" w:cstheme="minorBidi"/>
          <w:sz w:val="22"/>
          <w:szCs w:val="22"/>
          <w:vertAlign w:val="superscript"/>
        </w:rPr>
        <w:t>17</w:t>
      </w:r>
      <w:r w:rsidR="004965F3" w:rsidRPr="00B64DF6">
        <w:rPr>
          <w:rFonts w:asciiTheme="minorHAnsi" w:hAnsiTheme="minorHAnsi" w:cstheme="minorBidi"/>
          <w:sz w:val="22"/>
          <w:szCs w:val="22"/>
          <w:vertAlign w:val="superscript"/>
        </w:rPr>
        <w:t>,</w:t>
      </w:r>
      <w:r w:rsidR="00B64DF6" w:rsidRPr="00B64DF6">
        <w:rPr>
          <w:rFonts w:asciiTheme="minorHAnsi" w:hAnsiTheme="minorHAnsi" w:cstheme="minorBidi"/>
          <w:sz w:val="22"/>
          <w:szCs w:val="22"/>
          <w:vertAlign w:val="superscript"/>
        </w:rPr>
        <w:t>18</w:t>
      </w:r>
      <w:r w:rsidR="004965F3" w:rsidRPr="00B64DF6">
        <w:rPr>
          <w:rFonts w:asciiTheme="minorHAnsi" w:hAnsiTheme="minorHAnsi" w:cstheme="minorBidi"/>
          <w:sz w:val="22"/>
          <w:szCs w:val="22"/>
          <w:vertAlign w:val="superscript"/>
        </w:rPr>
        <w:t>,</w:t>
      </w:r>
      <w:r w:rsidR="00B64DF6" w:rsidRPr="00B64DF6">
        <w:rPr>
          <w:rFonts w:asciiTheme="minorHAnsi" w:hAnsiTheme="minorHAnsi" w:cstheme="minorBidi"/>
          <w:sz w:val="22"/>
          <w:szCs w:val="22"/>
          <w:vertAlign w:val="superscript"/>
        </w:rPr>
        <w:t>19</w:t>
      </w:r>
      <w:r w:rsidR="004965F3" w:rsidRPr="00B64DF6">
        <w:rPr>
          <w:rFonts w:asciiTheme="minorHAnsi" w:hAnsiTheme="minorHAnsi" w:cstheme="minorBidi"/>
          <w:sz w:val="22"/>
          <w:szCs w:val="22"/>
          <w:vertAlign w:val="superscript"/>
        </w:rPr>
        <w:t>,</w:t>
      </w:r>
      <w:r w:rsidR="00B64DF6" w:rsidRPr="00B64DF6">
        <w:rPr>
          <w:rFonts w:asciiTheme="minorHAnsi" w:hAnsiTheme="minorHAnsi" w:cstheme="minorBidi"/>
          <w:sz w:val="22"/>
          <w:szCs w:val="22"/>
          <w:vertAlign w:val="superscript"/>
        </w:rPr>
        <w:t>20</w:t>
      </w:r>
      <w:r w:rsidR="004965F3" w:rsidRPr="00B64DF6">
        <w:rPr>
          <w:rFonts w:asciiTheme="minorHAnsi" w:hAnsiTheme="minorHAnsi" w:cstheme="minorBidi"/>
          <w:sz w:val="22"/>
          <w:szCs w:val="22"/>
          <w:vertAlign w:val="superscript"/>
        </w:rPr>
        <w:t>,</w:t>
      </w:r>
      <w:r w:rsidR="00B64DF6" w:rsidRPr="00B64DF6">
        <w:rPr>
          <w:rFonts w:asciiTheme="minorHAnsi" w:hAnsiTheme="minorHAnsi" w:cstheme="minorBidi"/>
          <w:sz w:val="22"/>
          <w:szCs w:val="22"/>
          <w:vertAlign w:val="superscript"/>
        </w:rPr>
        <w:t>21</w:t>
      </w:r>
      <w:r w:rsidR="004965F3" w:rsidRPr="00B64DF6">
        <w:rPr>
          <w:rFonts w:asciiTheme="minorHAnsi" w:hAnsiTheme="minorHAnsi" w:cstheme="minorBidi"/>
          <w:sz w:val="22"/>
          <w:szCs w:val="22"/>
          <w:vertAlign w:val="superscript"/>
        </w:rPr>
        <w:t>,</w:t>
      </w:r>
      <w:r w:rsidR="00B64DF6" w:rsidRPr="00B64DF6">
        <w:rPr>
          <w:rFonts w:asciiTheme="minorHAnsi" w:hAnsiTheme="minorHAnsi" w:cstheme="minorBidi"/>
          <w:sz w:val="22"/>
          <w:szCs w:val="22"/>
          <w:vertAlign w:val="superscript"/>
        </w:rPr>
        <w:t>35,36</w:t>
      </w:r>
      <w:r>
        <w:rPr>
          <w:rFonts w:asciiTheme="minorHAnsi" w:hAnsiTheme="minorHAnsi" w:cstheme="minorBidi"/>
          <w:sz w:val="22"/>
          <w:szCs w:val="22"/>
        </w:rPr>
        <w:t xml:space="preserve">. </w:t>
      </w:r>
      <w:r w:rsidR="00AD7616">
        <w:rPr>
          <w:rFonts w:asciiTheme="minorHAnsi" w:hAnsiTheme="minorHAnsi" w:cstheme="minorBidi"/>
          <w:sz w:val="22"/>
          <w:szCs w:val="22"/>
        </w:rPr>
        <w:t>However, t</w:t>
      </w:r>
      <w:r>
        <w:rPr>
          <w:rFonts w:asciiTheme="minorHAnsi" w:hAnsiTheme="minorHAnsi" w:cstheme="minorBidi"/>
          <w:sz w:val="22"/>
          <w:szCs w:val="22"/>
        </w:rPr>
        <w:t xml:space="preserve">he increase in MH presentations to remote services </w:t>
      </w:r>
      <w:r w:rsidR="00BE2706">
        <w:rPr>
          <w:rFonts w:asciiTheme="minorHAnsi" w:hAnsiTheme="minorHAnsi" w:cstheme="minorBidi"/>
          <w:sz w:val="22"/>
          <w:szCs w:val="22"/>
        </w:rPr>
        <w:t xml:space="preserve">during </w:t>
      </w:r>
      <w:r>
        <w:rPr>
          <w:rFonts w:asciiTheme="minorHAnsi" w:hAnsiTheme="minorHAnsi" w:cstheme="minorBidi"/>
          <w:sz w:val="22"/>
          <w:szCs w:val="22"/>
        </w:rPr>
        <w:t>later</w:t>
      </w:r>
      <w:r w:rsidR="00BE2706">
        <w:rPr>
          <w:rFonts w:asciiTheme="minorHAnsi" w:hAnsiTheme="minorHAnsi" w:cstheme="minorBidi"/>
          <w:sz w:val="22"/>
          <w:szCs w:val="22"/>
        </w:rPr>
        <w:t xml:space="preserve"> restrictions</w:t>
      </w:r>
      <w:r>
        <w:rPr>
          <w:rFonts w:asciiTheme="minorHAnsi" w:hAnsiTheme="minorHAnsi" w:cstheme="minorBidi"/>
          <w:sz w:val="22"/>
          <w:szCs w:val="22"/>
        </w:rPr>
        <w:t>, alongside the increase in MH and anxiety presentations in the young were not</w:t>
      </w:r>
      <w:r w:rsidR="00BE2706">
        <w:rPr>
          <w:rFonts w:asciiTheme="minorHAnsi" w:hAnsiTheme="minorHAnsi" w:cstheme="minorBidi"/>
          <w:sz w:val="22"/>
          <w:szCs w:val="22"/>
        </w:rPr>
        <w:t xml:space="preserve"> p</w:t>
      </w:r>
      <w:r w:rsidR="003968E8">
        <w:rPr>
          <w:rFonts w:asciiTheme="minorHAnsi" w:hAnsiTheme="minorHAnsi" w:cstheme="minorBidi"/>
          <w:sz w:val="22"/>
          <w:szCs w:val="22"/>
        </w:rPr>
        <w:t>reviously documented.</w:t>
      </w:r>
      <w:r w:rsidRPr="00E95D12">
        <w:rPr>
          <w:rFonts w:asciiTheme="minorHAnsi" w:hAnsiTheme="minorHAnsi" w:cstheme="minorBidi"/>
          <w:sz w:val="22"/>
          <w:szCs w:val="22"/>
        </w:rPr>
        <w:t xml:space="preserve"> In contrast to our research, few other studies used datasets from </w:t>
      </w:r>
      <w:r>
        <w:rPr>
          <w:rFonts w:asciiTheme="minorHAnsi" w:hAnsiTheme="minorHAnsi" w:cstheme="minorBidi"/>
          <w:sz w:val="22"/>
          <w:szCs w:val="22"/>
        </w:rPr>
        <w:t xml:space="preserve">multiple </w:t>
      </w:r>
      <w:r w:rsidRPr="00E95D12">
        <w:rPr>
          <w:rFonts w:asciiTheme="minorHAnsi" w:hAnsiTheme="minorHAnsi" w:cstheme="minorBidi"/>
          <w:sz w:val="22"/>
          <w:szCs w:val="22"/>
        </w:rPr>
        <w:t xml:space="preserve">healthcare services to observe </w:t>
      </w:r>
      <w:r w:rsidR="00903792">
        <w:rPr>
          <w:rFonts w:asciiTheme="minorHAnsi" w:hAnsiTheme="minorHAnsi" w:cstheme="minorBidi"/>
          <w:sz w:val="22"/>
          <w:szCs w:val="22"/>
        </w:rPr>
        <w:t>changes in utilisation</w:t>
      </w:r>
      <w:r w:rsidRPr="00E95D12">
        <w:rPr>
          <w:rFonts w:asciiTheme="minorHAnsi" w:hAnsiTheme="minorHAnsi" w:cstheme="minorBidi"/>
          <w:sz w:val="22"/>
          <w:szCs w:val="22"/>
        </w:rPr>
        <w:t xml:space="preserve"> during COVID-19</w:t>
      </w:r>
      <w:r>
        <w:rPr>
          <w:rFonts w:asciiTheme="minorHAnsi" w:hAnsiTheme="minorHAnsi" w:cstheme="minorBidi"/>
          <w:sz w:val="22"/>
          <w:szCs w:val="22"/>
        </w:rPr>
        <w:t xml:space="preserve"> restrictions</w:t>
      </w:r>
      <w:r w:rsidR="00AD7616">
        <w:rPr>
          <w:rFonts w:asciiTheme="minorHAnsi" w:hAnsiTheme="minorHAnsi" w:cstheme="minorBidi"/>
          <w:sz w:val="22"/>
          <w:szCs w:val="22"/>
        </w:rPr>
        <w:t xml:space="preserve"> and many studies have not explored impacts over the entire period of restrictions</w:t>
      </w:r>
      <w:r w:rsidRPr="00E95D12">
        <w:rPr>
          <w:rFonts w:asciiTheme="minorHAnsi" w:hAnsiTheme="minorHAnsi" w:cstheme="minorBidi"/>
          <w:sz w:val="22"/>
          <w:szCs w:val="22"/>
        </w:rPr>
        <w:t xml:space="preserve">. </w:t>
      </w:r>
    </w:p>
    <w:p w14:paraId="182FE173" w14:textId="77777777" w:rsidR="00252044" w:rsidRPr="003968E8" w:rsidRDefault="00252044" w:rsidP="007014ED">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p>
    <w:p w14:paraId="2D639917" w14:textId="39B50BFE" w:rsidR="000B6493" w:rsidRDefault="004965F3" w:rsidP="0072795C">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r w:rsidRPr="004965F3">
        <w:rPr>
          <w:rFonts w:asciiTheme="minorHAnsi" w:hAnsiTheme="minorHAnsi" w:cstheme="minorBidi"/>
          <w:sz w:val="22"/>
          <w:szCs w:val="22"/>
        </w:rPr>
        <w:t>Silva-Valencia et al.</w:t>
      </w:r>
      <w:r w:rsidR="00B64DF6" w:rsidRPr="00B64DF6">
        <w:rPr>
          <w:rFonts w:asciiTheme="minorHAnsi" w:hAnsiTheme="minorHAnsi" w:cstheme="minorBidi"/>
          <w:sz w:val="22"/>
          <w:szCs w:val="22"/>
          <w:vertAlign w:val="superscript"/>
        </w:rPr>
        <w:t>37</w:t>
      </w:r>
      <w:r w:rsidR="00DC5D51" w:rsidRPr="3FE0DE75">
        <w:rPr>
          <w:rFonts w:asciiTheme="minorHAnsi" w:hAnsiTheme="minorHAnsi" w:cstheme="minorBidi"/>
          <w:sz w:val="22"/>
          <w:szCs w:val="22"/>
        </w:rPr>
        <w:t xml:space="preserve"> conducted an interrupted time-series analysis of MH presentations to primary care across nine countries</w:t>
      </w:r>
      <w:r w:rsidR="00DC5D51">
        <w:rPr>
          <w:rFonts w:asciiTheme="minorHAnsi" w:hAnsiTheme="minorHAnsi" w:cstheme="minorBidi"/>
          <w:sz w:val="22"/>
          <w:szCs w:val="22"/>
        </w:rPr>
        <w:t xml:space="preserve"> (excluding </w:t>
      </w:r>
      <w:r w:rsidR="00DC5D51" w:rsidRPr="3FE0DE75">
        <w:rPr>
          <w:rFonts w:asciiTheme="minorHAnsi" w:hAnsiTheme="minorHAnsi" w:cstheme="minorBidi"/>
          <w:sz w:val="22"/>
          <w:szCs w:val="22"/>
        </w:rPr>
        <w:t>UK</w:t>
      </w:r>
      <w:r w:rsidR="00DC5D51">
        <w:rPr>
          <w:rFonts w:asciiTheme="minorHAnsi" w:hAnsiTheme="minorHAnsi" w:cstheme="minorBidi"/>
          <w:sz w:val="22"/>
          <w:szCs w:val="22"/>
        </w:rPr>
        <w:t>)</w:t>
      </w:r>
      <w:r w:rsidR="00DC5D51" w:rsidRPr="3FE0DE75">
        <w:rPr>
          <w:rFonts w:asciiTheme="minorHAnsi" w:hAnsiTheme="minorHAnsi" w:cstheme="minorBidi"/>
          <w:sz w:val="22"/>
          <w:szCs w:val="22"/>
        </w:rPr>
        <w:t xml:space="preserve">. Their study found increased </w:t>
      </w:r>
      <w:r w:rsidR="00DC5D51">
        <w:rPr>
          <w:rFonts w:asciiTheme="minorHAnsi" w:hAnsiTheme="minorHAnsi" w:cstheme="minorBidi"/>
          <w:sz w:val="22"/>
          <w:szCs w:val="22"/>
        </w:rPr>
        <w:t>demand for MH</w:t>
      </w:r>
      <w:r w:rsidR="00DC5D51" w:rsidRPr="3FE0DE75">
        <w:rPr>
          <w:rFonts w:asciiTheme="minorHAnsi" w:hAnsiTheme="minorHAnsi" w:cstheme="minorBidi"/>
          <w:sz w:val="22"/>
          <w:szCs w:val="22"/>
        </w:rPr>
        <w:t xml:space="preserve"> </w:t>
      </w:r>
      <w:r w:rsidR="00DC5D51">
        <w:rPr>
          <w:rFonts w:asciiTheme="minorHAnsi" w:hAnsiTheme="minorHAnsi" w:cstheme="minorBidi"/>
          <w:sz w:val="22"/>
          <w:szCs w:val="22"/>
        </w:rPr>
        <w:t>services</w:t>
      </w:r>
      <w:r w:rsidR="00DC5D51" w:rsidRPr="3FE0DE75">
        <w:rPr>
          <w:rFonts w:asciiTheme="minorHAnsi" w:hAnsiTheme="minorHAnsi" w:cstheme="minorBidi"/>
          <w:sz w:val="22"/>
          <w:szCs w:val="22"/>
        </w:rPr>
        <w:t xml:space="preserve">, contrasting </w:t>
      </w:r>
      <w:r w:rsidR="003968E8">
        <w:rPr>
          <w:rFonts w:asciiTheme="minorHAnsi" w:hAnsiTheme="minorHAnsi" w:cstheme="minorBidi"/>
          <w:sz w:val="22"/>
          <w:szCs w:val="22"/>
        </w:rPr>
        <w:t>with o</w:t>
      </w:r>
      <w:r w:rsidR="00DC5D51" w:rsidRPr="3FE0DE75">
        <w:rPr>
          <w:rFonts w:asciiTheme="minorHAnsi" w:hAnsiTheme="minorHAnsi" w:cstheme="minorBidi"/>
          <w:sz w:val="22"/>
          <w:szCs w:val="22"/>
        </w:rPr>
        <w:t xml:space="preserve">ur findings of decreases within primary care during </w:t>
      </w:r>
      <w:r w:rsidR="00DC5D51">
        <w:rPr>
          <w:rFonts w:asciiTheme="minorHAnsi" w:hAnsiTheme="minorHAnsi" w:cstheme="minorBidi"/>
          <w:sz w:val="22"/>
          <w:szCs w:val="22"/>
        </w:rPr>
        <w:t>COVID-19</w:t>
      </w:r>
      <w:r w:rsidR="00DC5D51" w:rsidRPr="3FE0DE75">
        <w:rPr>
          <w:rFonts w:asciiTheme="minorHAnsi" w:hAnsiTheme="minorHAnsi" w:cstheme="minorBidi"/>
          <w:sz w:val="22"/>
          <w:szCs w:val="22"/>
        </w:rPr>
        <w:t>.</w:t>
      </w:r>
      <w:r w:rsidR="00DC5D51">
        <w:rPr>
          <w:rFonts w:asciiTheme="minorHAnsi" w:hAnsiTheme="minorHAnsi" w:cstheme="minorBidi"/>
          <w:sz w:val="22"/>
          <w:szCs w:val="22"/>
        </w:rPr>
        <w:t xml:space="preserve"> </w:t>
      </w:r>
      <w:r w:rsidR="00DC5D51" w:rsidRPr="3FE0DE75">
        <w:rPr>
          <w:rFonts w:asciiTheme="minorHAnsi" w:hAnsiTheme="minorHAnsi" w:cstheme="minorBidi"/>
          <w:sz w:val="22"/>
          <w:szCs w:val="22"/>
        </w:rPr>
        <w:t xml:space="preserve">Silva-Valencia </w:t>
      </w:r>
      <w:r w:rsidR="00DC5D51" w:rsidRPr="3FE0DE75">
        <w:rPr>
          <w:rFonts w:asciiTheme="minorHAnsi" w:hAnsiTheme="minorHAnsi" w:cstheme="minorBidi"/>
          <w:i/>
          <w:iCs/>
          <w:sz w:val="22"/>
          <w:szCs w:val="22"/>
        </w:rPr>
        <w:t>et al</w:t>
      </w:r>
      <w:r w:rsidR="00B64DF6">
        <w:rPr>
          <w:rFonts w:asciiTheme="minorHAnsi" w:hAnsiTheme="minorHAnsi" w:cstheme="minorBidi"/>
          <w:i/>
          <w:iCs/>
          <w:sz w:val="22"/>
          <w:szCs w:val="22"/>
        </w:rPr>
        <w:t xml:space="preserve"> </w:t>
      </w:r>
      <w:r w:rsidR="00B64DF6" w:rsidRPr="00B64DF6">
        <w:rPr>
          <w:rFonts w:asciiTheme="minorHAnsi" w:hAnsiTheme="minorHAnsi" w:cstheme="minorBidi"/>
          <w:i/>
          <w:iCs/>
          <w:sz w:val="22"/>
          <w:szCs w:val="22"/>
          <w:vertAlign w:val="superscript"/>
        </w:rPr>
        <w:t>37</w:t>
      </w:r>
      <w:r w:rsidR="00DC5D51" w:rsidRPr="3FE0DE75">
        <w:rPr>
          <w:rFonts w:asciiTheme="minorHAnsi" w:hAnsiTheme="minorHAnsi" w:cstheme="minorBidi"/>
          <w:sz w:val="22"/>
          <w:szCs w:val="22"/>
        </w:rPr>
        <w:t xml:space="preserve">. employed monthly MH visit rates </w:t>
      </w:r>
      <w:r w:rsidR="00DC5D51">
        <w:rPr>
          <w:rFonts w:asciiTheme="minorHAnsi" w:hAnsiTheme="minorHAnsi" w:cstheme="minorBidi"/>
          <w:sz w:val="22"/>
          <w:szCs w:val="22"/>
        </w:rPr>
        <w:t xml:space="preserve">compared to total visits </w:t>
      </w:r>
      <w:r w:rsidR="00DC5D51" w:rsidRPr="3FE0DE75">
        <w:rPr>
          <w:rFonts w:asciiTheme="minorHAnsi" w:hAnsiTheme="minorHAnsi" w:cstheme="minorBidi"/>
          <w:sz w:val="22"/>
          <w:szCs w:val="22"/>
        </w:rPr>
        <w:t>as the</w:t>
      </w:r>
      <w:r w:rsidR="00DC5D51">
        <w:rPr>
          <w:rFonts w:asciiTheme="minorHAnsi" w:hAnsiTheme="minorHAnsi" w:cstheme="minorBidi"/>
          <w:sz w:val="22"/>
          <w:szCs w:val="22"/>
        </w:rPr>
        <w:t>ir</w:t>
      </w:r>
      <w:r w:rsidR="00DC5D51" w:rsidRPr="3FE0DE75">
        <w:rPr>
          <w:rFonts w:asciiTheme="minorHAnsi" w:hAnsiTheme="minorHAnsi" w:cstheme="minorBidi"/>
          <w:sz w:val="22"/>
          <w:szCs w:val="22"/>
        </w:rPr>
        <w:t xml:space="preserve"> primary outcom</w:t>
      </w:r>
      <w:r w:rsidR="00DC5D51">
        <w:rPr>
          <w:rFonts w:asciiTheme="minorHAnsi" w:hAnsiTheme="minorHAnsi" w:cstheme="minorBidi"/>
          <w:sz w:val="22"/>
          <w:szCs w:val="22"/>
        </w:rPr>
        <w:t xml:space="preserve">e. This </w:t>
      </w:r>
      <w:r w:rsidR="00DC5D51" w:rsidRPr="3FE0DE75">
        <w:rPr>
          <w:rFonts w:asciiTheme="minorHAnsi" w:hAnsiTheme="minorHAnsi" w:cstheme="minorBidi"/>
          <w:sz w:val="22"/>
          <w:szCs w:val="22"/>
        </w:rPr>
        <w:t>allow</w:t>
      </w:r>
      <w:r w:rsidR="00DC5D51">
        <w:rPr>
          <w:rFonts w:asciiTheme="minorHAnsi" w:hAnsiTheme="minorHAnsi" w:cstheme="minorBidi"/>
          <w:sz w:val="22"/>
          <w:szCs w:val="22"/>
        </w:rPr>
        <w:t>ed</w:t>
      </w:r>
      <w:r w:rsidR="00DC5D51" w:rsidRPr="3FE0DE75">
        <w:rPr>
          <w:rFonts w:asciiTheme="minorHAnsi" w:hAnsiTheme="minorHAnsi" w:cstheme="minorBidi"/>
          <w:sz w:val="22"/>
          <w:szCs w:val="22"/>
        </w:rPr>
        <w:t xml:space="preserve"> international comparisons</w:t>
      </w:r>
      <w:r w:rsidR="00DC5D51">
        <w:rPr>
          <w:rFonts w:asciiTheme="minorHAnsi" w:hAnsiTheme="minorHAnsi" w:cstheme="minorBidi"/>
          <w:sz w:val="22"/>
          <w:szCs w:val="22"/>
        </w:rPr>
        <w:t>,</w:t>
      </w:r>
      <w:r w:rsidR="00DC5D51" w:rsidRPr="3FE0DE75">
        <w:rPr>
          <w:rFonts w:asciiTheme="minorHAnsi" w:hAnsiTheme="minorHAnsi" w:cstheme="minorBidi"/>
          <w:sz w:val="22"/>
          <w:szCs w:val="22"/>
        </w:rPr>
        <w:t xml:space="preserve"> but potentially inflat</w:t>
      </w:r>
      <w:r w:rsidR="00DC5D51">
        <w:rPr>
          <w:rFonts w:asciiTheme="minorHAnsi" w:hAnsiTheme="minorHAnsi" w:cstheme="minorBidi"/>
          <w:sz w:val="22"/>
          <w:szCs w:val="22"/>
        </w:rPr>
        <w:t>ed</w:t>
      </w:r>
      <w:r w:rsidR="00DC5D51" w:rsidRPr="3FE0DE75">
        <w:rPr>
          <w:rFonts w:asciiTheme="minorHAnsi" w:hAnsiTheme="minorHAnsi" w:cstheme="minorBidi"/>
          <w:sz w:val="22"/>
          <w:szCs w:val="22"/>
        </w:rPr>
        <w:t xml:space="preserve"> rates</w:t>
      </w:r>
      <w:r w:rsidR="00DC5D51">
        <w:rPr>
          <w:rFonts w:asciiTheme="minorHAnsi" w:hAnsiTheme="minorHAnsi" w:cstheme="minorBidi"/>
          <w:sz w:val="22"/>
          <w:szCs w:val="22"/>
        </w:rPr>
        <w:t xml:space="preserve"> if total primary care consultations reduced</w:t>
      </w:r>
      <w:r w:rsidR="00D06F02">
        <w:rPr>
          <w:rFonts w:asciiTheme="minorHAnsi" w:hAnsiTheme="minorHAnsi" w:cstheme="minorBidi"/>
          <w:sz w:val="22"/>
          <w:szCs w:val="22"/>
        </w:rPr>
        <w:t xml:space="preserve"> at a higher rate. This can </w:t>
      </w:r>
      <w:r w:rsidR="00644C59">
        <w:rPr>
          <w:rFonts w:asciiTheme="minorHAnsi" w:hAnsiTheme="minorHAnsi" w:cstheme="minorBidi"/>
          <w:sz w:val="22"/>
          <w:szCs w:val="22"/>
        </w:rPr>
        <w:t>be</w:t>
      </w:r>
      <w:r w:rsidR="00D06F02">
        <w:rPr>
          <w:rFonts w:asciiTheme="minorHAnsi" w:hAnsiTheme="minorHAnsi" w:cstheme="minorBidi"/>
          <w:sz w:val="22"/>
          <w:szCs w:val="22"/>
        </w:rPr>
        <w:t xml:space="preserve"> seen in our analysis for the EDSSS – where MH attendances are reduced </w:t>
      </w:r>
      <w:r w:rsidR="00D06F02">
        <w:rPr>
          <w:rFonts w:asciiTheme="minorHAnsi" w:hAnsiTheme="minorHAnsi" w:cstheme="minorBidi"/>
          <w:sz w:val="22"/>
          <w:szCs w:val="22"/>
        </w:rPr>
        <w:lastRenderedPageBreak/>
        <w:t>but are still higher than total attendances</w:t>
      </w:r>
      <w:r w:rsidR="00DC5D51" w:rsidRPr="3FE0DE75">
        <w:rPr>
          <w:rFonts w:asciiTheme="minorHAnsi" w:hAnsiTheme="minorHAnsi" w:cstheme="minorBidi"/>
          <w:sz w:val="22"/>
          <w:szCs w:val="22"/>
        </w:rPr>
        <w:t>.</w:t>
      </w:r>
      <w:r w:rsidR="00DC5D51" w:rsidRPr="00025E5C">
        <w:rPr>
          <w:rFonts w:asciiTheme="minorHAnsi" w:eastAsiaTheme="minorHAnsi" w:hAnsiTheme="minorHAnsi" w:cstheme="minorBidi"/>
          <w:kern w:val="2"/>
          <w:sz w:val="22"/>
          <w:szCs w:val="22"/>
          <w:lang w:eastAsia="en-US"/>
        </w:rPr>
        <w:t xml:space="preserve"> </w:t>
      </w:r>
      <w:r w:rsidR="003968E8" w:rsidRPr="003968E8">
        <w:rPr>
          <w:rFonts w:asciiTheme="minorHAnsi" w:hAnsiTheme="minorHAnsi" w:cstheme="minorBidi"/>
          <w:sz w:val="22"/>
          <w:szCs w:val="22"/>
        </w:rPr>
        <w:t xml:space="preserve">Alternatively, our use of absolute counts rather than visit-rate ratios may have underestimated </w:t>
      </w:r>
      <w:r w:rsidR="003968E8">
        <w:rPr>
          <w:rFonts w:asciiTheme="minorHAnsi" w:hAnsiTheme="minorHAnsi" w:cstheme="minorBidi"/>
          <w:sz w:val="22"/>
          <w:szCs w:val="22"/>
        </w:rPr>
        <w:t>MH</w:t>
      </w:r>
      <w:r w:rsidR="003968E8" w:rsidRPr="003968E8">
        <w:rPr>
          <w:rFonts w:asciiTheme="minorHAnsi" w:hAnsiTheme="minorHAnsi" w:cstheme="minorBidi"/>
          <w:sz w:val="22"/>
          <w:szCs w:val="22"/>
        </w:rPr>
        <w:t xml:space="preserve"> service demand, as we analy</w:t>
      </w:r>
      <w:r w:rsidR="003968E8">
        <w:rPr>
          <w:rFonts w:asciiTheme="minorHAnsi" w:hAnsiTheme="minorHAnsi" w:cstheme="minorBidi"/>
          <w:sz w:val="22"/>
          <w:szCs w:val="22"/>
        </w:rPr>
        <w:t>s</w:t>
      </w:r>
      <w:r w:rsidR="003968E8" w:rsidRPr="003968E8">
        <w:rPr>
          <w:rFonts w:asciiTheme="minorHAnsi" w:hAnsiTheme="minorHAnsi" w:cstheme="minorBidi"/>
          <w:sz w:val="22"/>
          <w:szCs w:val="22"/>
        </w:rPr>
        <w:t>ed raw presentation numbers rather than their proportion to total visits - though we did account for overall attendance trends by including total presentations across most services</w:t>
      </w:r>
      <w:r w:rsidR="003968E8">
        <w:rPr>
          <w:rFonts w:asciiTheme="minorHAnsi" w:hAnsiTheme="minorHAnsi" w:cstheme="minorBidi"/>
          <w:sz w:val="22"/>
          <w:szCs w:val="22"/>
        </w:rPr>
        <w:t xml:space="preserve"> where possible.</w:t>
      </w:r>
    </w:p>
    <w:p w14:paraId="26671226" w14:textId="77777777" w:rsidR="005B7E93" w:rsidRDefault="005B7E93" w:rsidP="0072795C">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p>
    <w:p w14:paraId="3C73AD9E" w14:textId="65B3AA05" w:rsidR="000E109D" w:rsidRDefault="000E109D" w:rsidP="0072795C">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r w:rsidRPr="000E109D">
        <w:rPr>
          <w:rFonts w:asciiTheme="minorHAnsi" w:hAnsiTheme="minorHAnsi" w:cstheme="minorBidi"/>
          <w:sz w:val="22"/>
          <w:szCs w:val="22"/>
        </w:rPr>
        <w:t xml:space="preserve">Future studies should investigate the impact of the MH service reductions documented in this study. While we focused on the immediate impact of social restrictions, it is likely that COVID-19 continued to affect services after restrictions lifted in England, or that individuals experienced a delayed </w:t>
      </w:r>
      <w:r w:rsidR="00C867DC">
        <w:rPr>
          <w:rFonts w:asciiTheme="minorHAnsi" w:hAnsiTheme="minorHAnsi" w:cstheme="minorBidi"/>
          <w:sz w:val="22"/>
          <w:szCs w:val="22"/>
        </w:rPr>
        <w:t>MH</w:t>
      </w:r>
      <w:r w:rsidRPr="000E109D">
        <w:rPr>
          <w:rFonts w:asciiTheme="minorHAnsi" w:hAnsiTheme="minorHAnsi" w:cstheme="minorBidi"/>
          <w:sz w:val="22"/>
          <w:szCs w:val="22"/>
        </w:rPr>
        <w:t xml:space="preserve"> response – a recogni</w:t>
      </w:r>
      <w:r>
        <w:rPr>
          <w:rFonts w:asciiTheme="minorHAnsi" w:hAnsiTheme="minorHAnsi" w:cstheme="minorBidi"/>
          <w:sz w:val="22"/>
          <w:szCs w:val="22"/>
        </w:rPr>
        <w:t>s</w:t>
      </w:r>
      <w:r w:rsidRPr="000E109D">
        <w:rPr>
          <w:rFonts w:asciiTheme="minorHAnsi" w:hAnsiTheme="minorHAnsi" w:cstheme="minorBidi"/>
          <w:sz w:val="22"/>
          <w:szCs w:val="22"/>
        </w:rPr>
        <w:t>ed phenomenon following potential trauma or crises</w:t>
      </w:r>
      <w:r w:rsidR="00B64DF6" w:rsidRPr="00B64DF6">
        <w:rPr>
          <w:rFonts w:asciiTheme="minorHAnsi" w:hAnsiTheme="minorHAnsi" w:cstheme="minorBidi"/>
          <w:sz w:val="22"/>
          <w:szCs w:val="22"/>
          <w:vertAlign w:val="superscript"/>
        </w:rPr>
        <w:t>38</w:t>
      </w:r>
      <w:r w:rsidRPr="000E109D">
        <w:rPr>
          <w:rFonts w:asciiTheme="minorHAnsi" w:hAnsiTheme="minorHAnsi" w:cstheme="minorBidi"/>
          <w:sz w:val="22"/>
          <w:szCs w:val="22"/>
        </w:rPr>
        <w:t xml:space="preserve">. The Adult Psychiatric Morbidity Survey (APMS), the gold standard for </w:t>
      </w:r>
      <w:r w:rsidR="00C867DC">
        <w:rPr>
          <w:rFonts w:asciiTheme="minorHAnsi" w:hAnsiTheme="minorHAnsi" w:cstheme="minorBidi"/>
          <w:sz w:val="22"/>
          <w:szCs w:val="22"/>
        </w:rPr>
        <w:t>MH</w:t>
      </w:r>
      <w:r w:rsidRPr="000E109D">
        <w:rPr>
          <w:rFonts w:asciiTheme="minorHAnsi" w:hAnsiTheme="minorHAnsi" w:cstheme="minorBidi"/>
          <w:sz w:val="22"/>
          <w:szCs w:val="22"/>
        </w:rPr>
        <w:t xml:space="preserve"> prevalence data in England, shows a disproportionate rise in common </w:t>
      </w:r>
      <w:r w:rsidR="00336D26">
        <w:rPr>
          <w:rFonts w:asciiTheme="minorHAnsi" w:hAnsiTheme="minorHAnsi" w:cstheme="minorBidi"/>
          <w:sz w:val="22"/>
          <w:szCs w:val="22"/>
        </w:rPr>
        <w:t xml:space="preserve">MH </w:t>
      </w:r>
      <w:r w:rsidRPr="000E109D">
        <w:rPr>
          <w:rFonts w:asciiTheme="minorHAnsi" w:hAnsiTheme="minorHAnsi" w:cstheme="minorBidi"/>
          <w:sz w:val="22"/>
          <w:szCs w:val="22"/>
        </w:rPr>
        <w:t xml:space="preserve">conditions among </w:t>
      </w:r>
      <w:proofErr w:type="gramStart"/>
      <w:r w:rsidRPr="000E109D">
        <w:rPr>
          <w:rFonts w:asciiTheme="minorHAnsi" w:hAnsiTheme="minorHAnsi" w:cstheme="minorBidi"/>
          <w:sz w:val="22"/>
          <w:szCs w:val="22"/>
        </w:rPr>
        <w:t>16-24 year olds</w:t>
      </w:r>
      <w:proofErr w:type="gramEnd"/>
      <w:r w:rsidRPr="000E109D">
        <w:rPr>
          <w:rFonts w:asciiTheme="minorHAnsi" w:hAnsiTheme="minorHAnsi" w:cstheme="minorBidi"/>
          <w:sz w:val="22"/>
          <w:szCs w:val="22"/>
        </w:rPr>
        <w:t>, increasing from 18.9% in 2014 to 25.8% in 2023/4</w:t>
      </w:r>
      <w:r w:rsidR="00B64DF6" w:rsidRPr="00B64DF6">
        <w:rPr>
          <w:rFonts w:asciiTheme="minorHAnsi" w:hAnsiTheme="minorHAnsi" w:cstheme="minorBidi"/>
          <w:sz w:val="22"/>
          <w:szCs w:val="22"/>
          <w:vertAlign w:val="superscript"/>
        </w:rPr>
        <w:t>39</w:t>
      </w:r>
      <w:r w:rsidRPr="000E109D">
        <w:rPr>
          <w:rFonts w:asciiTheme="minorHAnsi" w:hAnsiTheme="minorHAnsi" w:cstheme="minorBidi"/>
          <w:sz w:val="22"/>
          <w:szCs w:val="22"/>
        </w:rPr>
        <w:t>.</w:t>
      </w:r>
      <w:r w:rsidR="00D95607">
        <w:rPr>
          <w:rFonts w:asciiTheme="minorHAnsi" w:hAnsiTheme="minorHAnsi" w:cstheme="minorBidi"/>
          <w:sz w:val="22"/>
          <w:szCs w:val="22"/>
        </w:rPr>
        <w:t xml:space="preserve"> This increase is likely due to a multitude of factors </w:t>
      </w:r>
      <w:r>
        <w:rPr>
          <w:rFonts w:asciiTheme="minorHAnsi" w:hAnsiTheme="minorHAnsi" w:cstheme="minorBidi"/>
          <w:sz w:val="22"/>
          <w:szCs w:val="22"/>
        </w:rPr>
        <w:t>beyond</w:t>
      </w:r>
      <w:r w:rsidR="00D95607">
        <w:rPr>
          <w:rFonts w:asciiTheme="minorHAnsi" w:hAnsiTheme="minorHAnsi" w:cstheme="minorBidi"/>
          <w:sz w:val="22"/>
          <w:szCs w:val="22"/>
        </w:rPr>
        <w:t xml:space="preserve"> the scope of this research – </w:t>
      </w:r>
      <w:r w:rsidR="009F58B4">
        <w:rPr>
          <w:rFonts w:asciiTheme="minorHAnsi" w:hAnsiTheme="minorHAnsi" w:cstheme="minorBidi"/>
          <w:sz w:val="22"/>
          <w:szCs w:val="22"/>
        </w:rPr>
        <w:t xml:space="preserve">however, </w:t>
      </w:r>
      <w:r>
        <w:rPr>
          <w:rFonts w:asciiTheme="minorHAnsi" w:hAnsiTheme="minorHAnsi" w:cstheme="minorBidi"/>
          <w:sz w:val="22"/>
          <w:szCs w:val="22"/>
        </w:rPr>
        <w:t>our findings of</w:t>
      </w:r>
      <w:r w:rsidR="00D95607">
        <w:rPr>
          <w:rFonts w:asciiTheme="minorHAnsi" w:hAnsiTheme="minorHAnsi" w:cstheme="minorBidi"/>
          <w:sz w:val="22"/>
          <w:szCs w:val="22"/>
        </w:rPr>
        <w:t xml:space="preserve"> disproportionate primary care reductions and subsequent increases in this age group</w:t>
      </w:r>
      <w:r>
        <w:rPr>
          <w:rFonts w:asciiTheme="minorHAnsi" w:hAnsiTheme="minorHAnsi" w:cstheme="minorBidi"/>
          <w:sz w:val="22"/>
          <w:szCs w:val="22"/>
        </w:rPr>
        <w:t xml:space="preserve"> suggest that </w:t>
      </w:r>
      <w:r w:rsidR="00D95607">
        <w:rPr>
          <w:rFonts w:asciiTheme="minorHAnsi" w:hAnsiTheme="minorHAnsi" w:cstheme="minorBidi"/>
          <w:sz w:val="22"/>
          <w:szCs w:val="22"/>
        </w:rPr>
        <w:t>future research is essential to determine the specific impact of service availability on MH prevalence rates</w:t>
      </w:r>
      <w:bookmarkStart w:id="7" w:name="_Hlk222751914"/>
      <w:r w:rsidR="00D95607">
        <w:rPr>
          <w:rFonts w:asciiTheme="minorHAnsi" w:hAnsiTheme="minorHAnsi" w:cstheme="minorBidi"/>
          <w:sz w:val="22"/>
          <w:szCs w:val="22"/>
        </w:rPr>
        <w:t>.</w:t>
      </w:r>
      <w:r w:rsidR="009858D6">
        <w:rPr>
          <w:rFonts w:asciiTheme="minorHAnsi" w:hAnsiTheme="minorHAnsi" w:cstheme="minorBidi"/>
          <w:sz w:val="22"/>
          <w:szCs w:val="22"/>
        </w:rPr>
        <w:t xml:space="preserve"> Additionally, research should employ intersectional analysis, looking at the interplay of age group and sex, as well as important social </w:t>
      </w:r>
      <w:r w:rsidR="00377F1F">
        <w:rPr>
          <w:rFonts w:asciiTheme="minorHAnsi" w:hAnsiTheme="minorHAnsi" w:cstheme="minorBidi"/>
          <w:sz w:val="22"/>
          <w:szCs w:val="22"/>
        </w:rPr>
        <w:t>demographic and determinant factors</w:t>
      </w:r>
      <w:bookmarkEnd w:id="7"/>
      <w:r w:rsidR="00377F1F">
        <w:rPr>
          <w:rFonts w:asciiTheme="minorHAnsi" w:hAnsiTheme="minorHAnsi" w:cstheme="minorBidi"/>
          <w:sz w:val="22"/>
          <w:szCs w:val="22"/>
        </w:rPr>
        <w:t xml:space="preserve">. </w:t>
      </w:r>
    </w:p>
    <w:p w14:paraId="3207316C" w14:textId="69D887AB" w:rsidR="000E109D" w:rsidRDefault="000E109D" w:rsidP="0072795C">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p>
    <w:p w14:paraId="0AB3C3EE" w14:textId="5D874ADD" w:rsidR="006D7BD7" w:rsidRDefault="000E109D" w:rsidP="00B4303F">
      <w:pPr>
        <w:pStyle w:val="NormalWeb"/>
        <w:shd w:val="clear" w:color="auto" w:fill="FFFFFF" w:themeFill="background1"/>
        <w:spacing w:before="0" w:beforeAutospacing="0" w:after="0" w:afterAutospacing="0" w:line="360" w:lineRule="auto"/>
        <w:rPr>
          <w:rFonts w:asciiTheme="minorHAnsi" w:hAnsiTheme="minorHAnsi" w:cstheme="minorBidi"/>
          <w:sz w:val="22"/>
          <w:szCs w:val="22"/>
        </w:rPr>
      </w:pPr>
      <w:r>
        <w:rPr>
          <w:rFonts w:asciiTheme="minorHAnsi" w:hAnsiTheme="minorHAnsi" w:cstheme="minorBidi"/>
          <w:sz w:val="22"/>
          <w:szCs w:val="22"/>
        </w:rPr>
        <w:t xml:space="preserve">The main strength of this study is the use of diverse healthcare settings to represent </w:t>
      </w:r>
      <w:r w:rsidR="00CD2660">
        <w:rPr>
          <w:rFonts w:asciiTheme="minorHAnsi" w:hAnsiTheme="minorHAnsi" w:cstheme="minorBidi"/>
          <w:sz w:val="22"/>
          <w:szCs w:val="22"/>
        </w:rPr>
        <w:t>how the general population utilised MH services within England – with the in hours primary care consisting of nearly 10 million patients and the NHS 111 system being available at a national level. Th</w:t>
      </w:r>
      <w:r w:rsidR="003968E8">
        <w:rPr>
          <w:rFonts w:asciiTheme="minorHAnsi" w:hAnsiTheme="minorHAnsi" w:cstheme="minorBidi"/>
          <w:sz w:val="22"/>
          <w:szCs w:val="22"/>
        </w:rPr>
        <w:t>ese datasets</w:t>
      </w:r>
      <w:r w:rsidR="00CD2660">
        <w:rPr>
          <w:rFonts w:asciiTheme="minorHAnsi" w:hAnsiTheme="minorHAnsi" w:cstheme="minorBidi"/>
          <w:sz w:val="22"/>
          <w:szCs w:val="22"/>
        </w:rPr>
        <w:t xml:space="preserve"> allowed us to witness shifts in how people were utilising MH services during COVID-19 restrictions. </w:t>
      </w:r>
      <w:r w:rsidR="00C07912">
        <w:rPr>
          <w:rFonts w:asciiTheme="minorHAnsi" w:hAnsiTheme="minorHAnsi" w:cstheme="minorBidi"/>
          <w:sz w:val="22"/>
          <w:szCs w:val="22"/>
        </w:rPr>
        <w:t>A</w:t>
      </w:r>
      <w:r w:rsidR="004C3715" w:rsidRPr="72792264">
        <w:rPr>
          <w:rFonts w:asciiTheme="minorHAnsi" w:hAnsiTheme="minorHAnsi" w:cstheme="minorBidi"/>
          <w:sz w:val="22"/>
          <w:szCs w:val="22"/>
        </w:rPr>
        <w:t xml:space="preserve">nalysis </w:t>
      </w:r>
      <w:r w:rsidR="00CD2660">
        <w:rPr>
          <w:rFonts w:asciiTheme="minorHAnsi" w:hAnsiTheme="minorHAnsi" w:cstheme="minorBidi"/>
          <w:sz w:val="22"/>
          <w:szCs w:val="22"/>
        </w:rPr>
        <w:t xml:space="preserve">also </w:t>
      </w:r>
      <w:r w:rsidR="004C3715" w:rsidRPr="72792264">
        <w:rPr>
          <w:rFonts w:asciiTheme="minorHAnsi" w:hAnsiTheme="minorHAnsi" w:cstheme="minorBidi"/>
          <w:sz w:val="22"/>
          <w:szCs w:val="22"/>
        </w:rPr>
        <w:t>benefited from high consistency in data collection methods over the period</w:t>
      </w:r>
      <w:r w:rsidR="00FC73DC">
        <w:rPr>
          <w:rFonts w:asciiTheme="minorHAnsi" w:hAnsiTheme="minorHAnsi" w:cstheme="minorBidi"/>
          <w:sz w:val="22"/>
          <w:szCs w:val="22"/>
        </w:rPr>
        <w:t>, enabling us to capture trends from before and after COVID-19 restrictions</w:t>
      </w:r>
      <w:r w:rsidR="005111F6" w:rsidRPr="72792264">
        <w:rPr>
          <w:rFonts w:asciiTheme="minorHAnsi" w:hAnsiTheme="minorHAnsi" w:cstheme="minorBidi"/>
          <w:sz w:val="22"/>
          <w:szCs w:val="22"/>
        </w:rPr>
        <w:t>.</w:t>
      </w:r>
      <w:r w:rsidR="004C3715" w:rsidRPr="004C3715">
        <w:rPr>
          <w:rFonts w:asciiTheme="minorHAnsi" w:hAnsiTheme="minorHAnsi" w:cstheme="minorBidi"/>
          <w:sz w:val="22"/>
          <w:szCs w:val="22"/>
        </w:rPr>
        <w:t xml:space="preserve"> </w:t>
      </w:r>
      <w:r w:rsidR="00FC73DC" w:rsidRPr="00FC73DC">
        <w:rPr>
          <w:rFonts w:asciiTheme="minorHAnsi" w:hAnsiTheme="minorHAnsi" w:cstheme="minorBidi"/>
          <w:sz w:val="22"/>
          <w:szCs w:val="22"/>
        </w:rPr>
        <w:t>A further strength is that the majority of MH indicators employed were derived from clinical need, reflecting MH outcomes following formal consultations.</w:t>
      </w:r>
      <w:r w:rsidR="00FC73DC">
        <w:rPr>
          <w:rFonts w:asciiTheme="minorHAnsi" w:hAnsiTheme="minorHAnsi" w:cstheme="minorBidi"/>
          <w:sz w:val="22"/>
          <w:szCs w:val="22"/>
        </w:rPr>
        <w:t xml:space="preserve"> </w:t>
      </w:r>
      <w:r w:rsidR="00FC73DC" w:rsidRPr="00FC73DC">
        <w:rPr>
          <w:rFonts w:asciiTheme="minorHAnsi" w:hAnsiTheme="minorHAnsi" w:cstheme="minorBidi"/>
          <w:sz w:val="22"/>
          <w:szCs w:val="22"/>
        </w:rPr>
        <w:t xml:space="preserve">However, it is important to note that </w:t>
      </w:r>
      <w:r w:rsidR="00AD7616">
        <w:rPr>
          <w:rFonts w:asciiTheme="minorHAnsi" w:hAnsiTheme="minorHAnsi" w:cstheme="minorBidi"/>
          <w:sz w:val="22"/>
          <w:szCs w:val="22"/>
        </w:rPr>
        <w:t xml:space="preserve">particularly </w:t>
      </w:r>
      <w:r w:rsidR="00FC73DC" w:rsidRPr="00FC73DC">
        <w:rPr>
          <w:rFonts w:asciiTheme="minorHAnsi" w:hAnsiTheme="minorHAnsi" w:cstheme="minorBidi"/>
          <w:sz w:val="22"/>
          <w:szCs w:val="22"/>
        </w:rPr>
        <w:t>NHS 111 data reflects advice-seeking behaviour rather than formal clinical consultations</w:t>
      </w:r>
      <w:r w:rsidR="00FC73DC">
        <w:rPr>
          <w:rFonts w:asciiTheme="minorHAnsi" w:hAnsiTheme="minorHAnsi" w:cstheme="minorBidi"/>
          <w:sz w:val="22"/>
          <w:szCs w:val="22"/>
        </w:rPr>
        <w:t>.</w:t>
      </w:r>
      <w:r w:rsidR="00AE6EA4">
        <w:rPr>
          <w:rFonts w:asciiTheme="minorHAnsi" w:hAnsiTheme="minorHAnsi" w:cstheme="minorBidi"/>
          <w:sz w:val="22"/>
          <w:szCs w:val="22"/>
        </w:rPr>
        <w:t xml:space="preserve"> </w:t>
      </w:r>
    </w:p>
    <w:p w14:paraId="115F136E" w14:textId="64B3AD52" w:rsidR="004D3FD2" w:rsidRDefault="004D3FD2" w:rsidP="00AE6EA4">
      <w:pPr>
        <w:pStyle w:val="NormalWeb"/>
        <w:shd w:val="clear" w:color="auto" w:fill="FFFFFF" w:themeFill="background1"/>
        <w:spacing w:after="0" w:line="360" w:lineRule="auto"/>
        <w:rPr>
          <w:rFonts w:asciiTheme="minorHAnsi" w:hAnsiTheme="minorHAnsi" w:cstheme="minorBidi"/>
          <w:sz w:val="22"/>
          <w:szCs w:val="22"/>
        </w:rPr>
      </w:pPr>
      <w:r>
        <w:rPr>
          <w:rFonts w:asciiTheme="minorHAnsi" w:hAnsiTheme="minorHAnsi" w:cstheme="minorBidi"/>
          <w:sz w:val="22"/>
          <w:szCs w:val="22"/>
        </w:rPr>
        <w:t xml:space="preserve">There are a number of limitations associated with this study. As mentioned previously, we only analyse utilisation during periods of </w:t>
      </w:r>
      <w:r w:rsidR="0003564A">
        <w:rPr>
          <w:rFonts w:asciiTheme="minorHAnsi" w:hAnsiTheme="minorHAnsi" w:cstheme="minorBidi"/>
          <w:sz w:val="22"/>
          <w:szCs w:val="22"/>
        </w:rPr>
        <w:t xml:space="preserve">COVID-19 </w:t>
      </w:r>
      <w:r>
        <w:rPr>
          <w:rFonts w:asciiTheme="minorHAnsi" w:hAnsiTheme="minorHAnsi" w:cstheme="minorBidi"/>
          <w:sz w:val="22"/>
          <w:szCs w:val="22"/>
        </w:rPr>
        <w:t xml:space="preserve">restrictions and do not analyse after these restrictions </w:t>
      </w:r>
      <w:r w:rsidR="0003564A">
        <w:rPr>
          <w:rFonts w:asciiTheme="minorHAnsi" w:hAnsiTheme="minorHAnsi" w:cstheme="minorBidi"/>
          <w:sz w:val="22"/>
          <w:szCs w:val="22"/>
        </w:rPr>
        <w:t>were</w:t>
      </w:r>
      <w:r>
        <w:rPr>
          <w:rFonts w:asciiTheme="minorHAnsi" w:hAnsiTheme="minorHAnsi" w:cstheme="minorBidi"/>
          <w:sz w:val="22"/>
          <w:szCs w:val="22"/>
        </w:rPr>
        <w:t xml:space="preserve"> lifted. </w:t>
      </w:r>
      <w:bookmarkStart w:id="8" w:name="_Hlk222750171"/>
      <w:r w:rsidRPr="004D3FD2">
        <w:rPr>
          <w:rFonts w:asciiTheme="minorHAnsi" w:hAnsiTheme="minorHAnsi" w:cstheme="minorBidi"/>
          <w:sz w:val="22"/>
          <w:szCs w:val="22"/>
        </w:rPr>
        <w:t>Furthermore, although this study included a number of different healthcare</w:t>
      </w:r>
      <w:r>
        <w:rPr>
          <w:rFonts w:asciiTheme="minorHAnsi" w:hAnsiTheme="minorHAnsi" w:cstheme="minorBidi"/>
          <w:sz w:val="22"/>
          <w:szCs w:val="22"/>
        </w:rPr>
        <w:t xml:space="preserve"> s</w:t>
      </w:r>
      <w:r w:rsidRPr="004D3FD2">
        <w:rPr>
          <w:rFonts w:asciiTheme="minorHAnsi" w:hAnsiTheme="minorHAnsi" w:cstheme="minorBidi"/>
          <w:sz w:val="22"/>
          <w:szCs w:val="22"/>
        </w:rPr>
        <w:t>ettings</w:t>
      </w:r>
      <w:r w:rsidR="00252044">
        <w:rPr>
          <w:rFonts w:asciiTheme="minorHAnsi" w:hAnsiTheme="minorHAnsi" w:cstheme="minorBidi"/>
          <w:sz w:val="22"/>
          <w:szCs w:val="22"/>
        </w:rPr>
        <w:t>,</w:t>
      </w:r>
      <w:r w:rsidRPr="004D3FD2">
        <w:rPr>
          <w:rFonts w:asciiTheme="minorHAnsi" w:hAnsiTheme="minorHAnsi" w:cstheme="minorBidi"/>
          <w:sz w:val="22"/>
          <w:szCs w:val="22"/>
        </w:rPr>
        <w:t xml:space="preserve"> </w:t>
      </w:r>
      <w:r w:rsidR="005802EE" w:rsidRPr="005802EE">
        <w:rPr>
          <w:rFonts w:asciiTheme="minorHAnsi" w:hAnsiTheme="minorHAnsi" w:cstheme="minorBidi"/>
          <w:sz w:val="22"/>
          <w:szCs w:val="22"/>
        </w:rPr>
        <w:t xml:space="preserve">individuals may have accessed care through alternative settings, including digital </w:t>
      </w:r>
      <w:r w:rsidR="00C867DC">
        <w:rPr>
          <w:rFonts w:asciiTheme="minorHAnsi" w:hAnsiTheme="minorHAnsi" w:cstheme="minorBidi"/>
          <w:sz w:val="22"/>
          <w:szCs w:val="22"/>
        </w:rPr>
        <w:t>MH</w:t>
      </w:r>
      <w:r w:rsidR="005802EE" w:rsidRPr="005802EE">
        <w:rPr>
          <w:rFonts w:asciiTheme="minorHAnsi" w:hAnsiTheme="minorHAnsi" w:cstheme="minorBidi"/>
          <w:sz w:val="22"/>
          <w:szCs w:val="22"/>
        </w:rPr>
        <w:t xml:space="preserve"> tools or third-sector services, and the datasets used will not capture those who avoided or delayed seeking support</w:t>
      </w:r>
      <w:bookmarkEnd w:id="8"/>
      <w:r w:rsidR="00604E2B">
        <w:rPr>
          <w:rFonts w:asciiTheme="minorHAnsi" w:hAnsiTheme="minorHAnsi" w:cstheme="minorBidi"/>
          <w:sz w:val="22"/>
          <w:szCs w:val="22"/>
        </w:rPr>
        <w:t xml:space="preserve"> after the study </w:t>
      </w:r>
      <w:proofErr w:type="spellStart"/>
      <w:r w:rsidR="00604E2B">
        <w:rPr>
          <w:rFonts w:asciiTheme="minorHAnsi" w:hAnsiTheme="minorHAnsi" w:cstheme="minorBidi"/>
          <w:sz w:val="22"/>
          <w:szCs w:val="22"/>
        </w:rPr>
        <w:t>period</w:t>
      </w:r>
      <w:r>
        <w:rPr>
          <w:rFonts w:asciiTheme="minorHAnsi" w:hAnsiTheme="minorHAnsi" w:cstheme="minorBidi"/>
          <w:sz w:val="22"/>
          <w:szCs w:val="22"/>
        </w:rPr>
        <w:t>.We</w:t>
      </w:r>
      <w:proofErr w:type="spellEnd"/>
      <w:r>
        <w:rPr>
          <w:rFonts w:asciiTheme="minorHAnsi" w:hAnsiTheme="minorHAnsi" w:cstheme="minorBidi"/>
          <w:sz w:val="22"/>
          <w:szCs w:val="22"/>
        </w:rPr>
        <w:t xml:space="preserve"> noted inconsistencies in coding for some systems, such as GPOOH, o</w:t>
      </w:r>
      <w:r w:rsidRPr="004D3FD2">
        <w:rPr>
          <w:rFonts w:asciiTheme="minorHAnsi" w:hAnsiTheme="minorHAnsi" w:cstheme="minorBidi"/>
          <w:sz w:val="22"/>
          <w:szCs w:val="22"/>
        </w:rPr>
        <w:t xml:space="preserve">nly 38% of </w:t>
      </w:r>
      <w:r>
        <w:rPr>
          <w:rFonts w:asciiTheme="minorHAnsi" w:hAnsiTheme="minorHAnsi" w:cstheme="minorBidi"/>
          <w:sz w:val="22"/>
          <w:szCs w:val="22"/>
        </w:rPr>
        <w:t>presentations</w:t>
      </w:r>
      <w:r w:rsidRPr="004D3FD2">
        <w:rPr>
          <w:rFonts w:asciiTheme="minorHAnsi" w:hAnsiTheme="minorHAnsi" w:cstheme="minorBidi"/>
          <w:sz w:val="22"/>
          <w:szCs w:val="22"/>
        </w:rPr>
        <w:t xml:space="preserve"> contain</w:t>
      </w:r>
      <w:r>
        <w:rPr>
          <w:rFonts w:asciiTheme="minorHAnsi" w:hAnsiTheme="minorHAnsi" w:cstheme="minorBidi"/>
          <w:sz w:val="22"/>
          <w:szCs w:val="22"/>
        </w:rPr>
        <w:t>ed</w:t>
      </w:r>
      <w:r w:rsidRPr="004D3FD2">
        <w:rPr>
          <w:rFonts w:asciiTheme="minorHAnsi" w:hAnsiTheme="minorHAnsi" w:cstheme="minorBidi"/>
          <w:sz w:val="22"/>
          <w:szCs w:val="22"/>
        </w:rPr>
        <w:t xml:space="preserve"> a diagnosis code, meaning a considerable number of </w:t>
      </w:r>
      <w:r>
        <w:rPr>
          <w:rFonts w:asciiTheme="minorHAnsi" w:hAnsiTheme="minorHAnsi" w:cstheme="minorBidi"/>
          <w:sz w:val="22"/>
          <w:szCs w:val="22"/>
        </w:rPr>
        <w:lastRenderedPageBreak/>
        <w:t>MH</w:t>
      </w:r>
      <w:r w:rsidRPr="004D3FD2">
        <w:rPr>
          <w:rFonts w:asciiTheme="minorHAnsi" w:hAnsiTheme="minorHAnsi" w:cstheme="minorBidi"/>
          <w:sz w:val="22"/>
          <w:szCs w:val="22"/>
        </w:rPr>
        <w:t xml:space="preserve"> consultations may have been lost in this system due to coding </w:t>
      </w:r>
      <w:r w:rsidR="004E172C" w:rsidRPr="004D3FD2">
        <w:rPr>
          <w:rFonts w:asciiTheme="minorHAnsi" w:hAnsiTheme="minorHAnsi" w:cstheme="minorBidi"/>
          <w:sz w:val="22"/>
          <w:szCs w:val="22"/>
        </w:rPr>
        <w:t>error.</w:t>
      </w:r>
      <w:r w:rsidR="008216A4">
        <w:rPr>
          <w:rFonts w:asciiTheme="minorHAnsi" w:hAnsiTheme="minorHAnsi" w:cstheme="minorBidi"/>
          <w:sz w:val="22"/>
          <w:szCs w:val="22"/>
        </w:rPr>
        <w:t xml:space="preserve"> </w:t>
      </w:r>
      <w:bookmarkStart w:id="9" w:name="_Hlk222754104"/>
      <w:r w:rsidR="008216A4">
        <w:rPr>
          <w:rFonts w:asciiTheme="minorHAnsi" w:hAnsiTheme="minorHAnsi" w:cstheme="minorBidi"/>
          <w:sz w:val="22"/>
          <w:szCs w:val="22"/>
        </w:rPr>
        <w:t>Carr and colleagues note that some of the reduction in primary care may be a result of inaccuracies in coding that GPs had to make to adapt to remote consultation methods</w:t>
      </w:r>
      <w:r w:rsidR="008216A4" w:rsidRPr="00456E35">
        <w:rPr>
          <w:rFonts w:asciiTheme="minorHAnsi" w:hAnsiTheme="minorHAnsi" w:cstheme="minorBidi"/>
          <w:sz w:val="22"/>
          <w:szCs w:val="22"/>
          <w:vertAlign w:val="superscript"/>
        </w:rPr>
        <w:t>18</w:t>
      </w:r>
      <w:r w:rsidR="008216A4">
        <w:rPr>
          <w:rFonts w:asciiTheme="minorHAnsi" w:hAnsiTheme="minorHAnsi" w:cstheme="minorBidi"/>
          <w:sz w:val="22"/>
          <w:szCs w:val="22"/>
          <w:vertAlign w:val="superscript"/>
        </w:rPr>
        <w:t xml:space="preserve"> </w:t>
      </w:r>
      <w:r w:rsidR="008216A4">
        <w:rPr>
          <w:rFonts w:asciiTheme="minorHAnsi" w:hAnsiTheme="minorHAnsi" w:cstheme="minorBidi"/>
          <w:sz w:val="22"/>
          <w:szCs w:val="22"/>
        </w:rPr>
        <w:t>– therefore changes witnessed in this study may reflect recording artefacts as opposed to true changes in utilisation</w:t>
      </w:r>
      <w:r w:rsidR="008216A4">
        <w:rPr>
          <w:rFonts w:asciiTheme="minorHAnsi" w:hAnsiTheme="minorHAnsi" w:cstheme="minorHAnsi"/>
          <w:sz w:val="22"/>
          <w:szCs w:val="22"/>
        </w:rPr>
        <w:t>.</w:t>
      </w:r>
      <w:bookmarkEnd w:id="9"/>
      <w:r w:rsidR="004E172C">
        <w:rPr>
          <w:rFonts w:asciiTheme="minorHAnsi" w:hAnsiTheme="minorHAnsi" w:cstheme="minorHAnsi"/>
          <w:sz w:val="22"/>
          <w:szCs w:val="22"/>
        </w:rPr>
        <w:t xml:space="preserve"> </w:t>
      </w:r>
      <w:r w:rsidR="004E172C" w:rsidRPr="004E172C">
        <w:rPr>
          <w:rFonts w:asciiTheme="minorHAnsi" w:hAnsiTheme="minorHAnsi" w:cstheme="minorHAnsi"/>
          <w:sz w:val="22"/>
          <w:szCs w:val="22"/>
        </w:rPr>
        <w:t>Syndromic</w:t>
      </w:r>
      <w:r w:rsidR="00352CD5" w:rsidRPr="00456E35">
        <w:rPr>
          <w:rFonts w:asciiTheme="minorHAnsi" w:hAnsiTheme="minorHAnsi" w:cstheme="minorHAnsi"/>
          <w:sz w:val="22"/>
          <w:szCs w:val="22"/>
        </w:rPr>
        <w:t xml:space="preserve"> surveillance data lack </w:t>
      </w:r>
      <w:r w:rsidR="0058498A">
        <w:rPr>
          <w:rFonts w:asciiTheme="minorHAnsi" w:hAnsiTheme="minorHAnsi" w:cstheme="minorHAnsi"/>
          <w:sz w:val="22"/>
          <w:szCs w:val="22"/>
        </w:rPr>
        <w:t xml:space="preserve">detailed </w:t>
      </w:r>
      <w:r w:rsidR="00352CD5" w:rsidRPr="00456E35">
        <w:rPr>
          <w:rFonts w:asciiTheme="minorHAnsi" w:hAnsiTheme="minorHAnsi" w:cstheme="minorHAnsi"/>
          <w:sz w:val="22"/>
          <w:szCs w:val="22"/>
        </w:rPr>
        <w:t>information on symptom severity, duration, diagnostic specificity</w:t>
      </w:r>
      <w:r w:rsidR="00352CD5">
        <w:rPr>
          <w:rFonts w:asciiTheme="minorHAnsi" w:hAnsiTheme="minorHAnsi" w:cstheme="minorHAnsi"/>
          <w:sz w:val="22"/>
          <w:szCs w:val="22"/>
        </w:rPr>
        <w:t xml:space="preserve"> </w:t>
      </w:r>
      <w:r w:rsidR="00352CD5" w:rsidRPr="00456E35">
        <w:rPr>
          <w:rFonts w:asciiTheme="minorHAnsi" w:hAnsiTheme="minorHAnsi" w:cstheme="minorHAnsi"/>
          <w:sz w:val="22"/>
          <w:szCs w:val="22"/>
        </w:rPr>
        <w:t xml:space="preserve">and cannot distinguish </w:t>
      </w:r>
      <w:r w:rsidR="005802EE">
        <w:rPr>
          <w:rFonts w:asciiTheme="minorHAnsi" w:hAnsiTheme="minorHAnsi" w:cstheme="minorHAnsi"/>
          <w:sz w:val="22"/>
          <w:szCs w:val="22"/>
        </w:rPr>
        <w:t>between mild and severe MH presentations.</w:t>
      </w:r>
      <w:r w:rsidR="00352CD5" w:rsidRPr="00456E35">
        <w:rPr>
          <w:rFonts w:asciiTheme="minorHAnsi" w:hAnsiTheme="minorHAnsi" w:cstheme="minorHAnsi"/>
          <w:sz w:val="22"/>
          <w:szCs w:val="22"/>
        </w:rPr>
        <w:t xml:space="preserve"> </w:t>
      </w:r>
      <w:r w:rsidR="00AE6EA4" w:rsidRPr="00352CD5">
        <w:rPr>
          <w:rFonts w:asciiTheme="minorHAnsi" w:hAnsiTheme="minorHAnsi" w:cstheme="minorHAnsi"/>
          <w:sz w:val="22"/>
          <w:szCs w:val="22"/>
        </w:rPr>
        <w:t>There were additional factors that this study was not able to analyse such as</w:t>
      </w:r>
      <w:r w:rsidR="00252044" w:rsidRPr="00352CD5">
        <w:rPr>
          <w:rFonts w:asciiTheme="minorHAnsi" w:hAnsiTheme="minorHAnsi" w:cstheme="minorHAnsi"/>
          <w:sz w:val="22"/>
          <w:szCs w:val="22"/>
        </w:rPr>
        <w:t xml:space="preserve"> differential effects with</w:t>
      </w:r>
      <w:r w:rsidR="00AE6EA4" w:rsidRPr="00352CD5">
        <w:rPr>
          <w:rFonts w:asciiTheme="minorHAnsi" w:hAnsiTheme="minorHAnsi" w:cstheme="minorHAnsi"/>
          <w:sz w:val="22"/>
          <w:szCs w:val="22"/>
        </w:rPr>
        <w:t xml:space="preserve"> preexisting mental illness, ethnicity, socio-economic status, and employment status. It is likely that certain sub-groups were disproportionately impacted</w:t>
      </w:r>
      <w:r w:rsidR="00AE6EA4" w:rsidRPr="00AE6EA4">
        <w:rPr>
          <w:rFonts w:asciiTheme="minorHAnsi" w:hAnsiTheme="minorHAnsi" w:cstheme="minorBidi"/>
          <w:sz w:val="22"/>
          <w:szCs w:val="22"/>
        </w:rPr>
        <w:t xml:space="preserve"> by COVID-19</w:t>
      </w:r>
      <w:r w:rsidR="00AE6EA4">
        <w:rPr>
          <w:rFonts w:asciiTheme="minorHAnsi" w:hAnsiTheme="minorHAnsi" w:cstheme="minorBidi"/>
          <w:sz w:val="22"/>
          <w:szCs w:val="22"/>
        </w:rPr>
        <w:t xml:space="preserve"> restrictions </w:t>
      </w:r>
      <w:r w:rsidR="00AE6EA4" w:rsidRPr="00AE6EA4">
        <w:rPr>
          <w:rFonts w:asciiTheme="minorHAnsi" w:hAnsiTheme="minorHAnsi" w:cstheme="minorBidi"/>
          <w:sz w:val="22"/>
          <w:szCs w:val="22"/>
        </w:rPr>
        <w:t xml:space="preserve">and we were not able to explore these as </w:t>
      </w:r>
      <w:proofErr w:type="gramStart"/>
      <w:r w:rsidR="00AE6EA4" w:rsidRPr="00AE6EA4">
        <w:rPr>
          <w:rFonts w:asciiTheme="minorHAnsi" w:hAnsiTheme="minorHAnsi" w:cstheme="minorBidi"/>
          <w:sz w:val="22"/>
          <w:szCs w:val="22"/>
        </w:rPr>
        <w:t>syndrome based</w:t>
      </w:r>
      <w:proofErr w:type="gramEnd"/>
      <w:r w:rsidR="00AE6EA4" w:rsidRPr="00AE6EA4">
        <w:rPr>
          <w:rFonts w:asciiTheme="minorHAnsi" w:hAnsiTheme="minorHAnsi" w:cstheme="minorBidi"/>
          <w:sz w:val="22"/>
          <w:szCs w:val="22"/>
        </w:rPr>
        <w:t xml:space="preserve"> data does not include</w:t>
      </w:r>
      <w:r w:rsidR="00AE6EA4">
        <w:rPr>
          <w:rFonts w:asciiTheme="minorHAnsi" w:hAnsiTheme="minorHAnsi" w:cstheme="minorBidi"/>
          <w:sz w:val="22"/>
          <w:szCs w:val="22"/>
        </w:rPr>
        <w:t xml:space="preserve"> </w:t>
      </w:r>
      <w:r w:rsidR="00AE6EA4" w:rsidRPr="00AE6EA4">
        <w:rPr>
          <w:rFonts w:asciiTheme="minorHAnsi" w:hAnsiTheme="minorHAnsi" w:cstheme="minorBidi"/>
          <w:sz w:val="22"/>
          <w:szCs w:val="22"/>
        </w:rPr>
        <w:t xml:space="preserve">details of these </w:t>
      </w:r>
      <w:r w:rsidR="00252044">
        <w:rPr>
          <w:rFonts w:asciiTheme="minorHAnsi" w:hAnsiTheme="minorHAnsi" w:cstheme="minorBidi"/>
          <w:sz w:val="22"/>
          <w:szCs w:val="22"/>
        </w:rPr>
        <w:t>groups</w:t>
      </w:r>
      <w:r w:rsidR="00AE6EA4" w:rsidRPr="00AE6EA4">
        <w:rPr>
          <w:rFonts w:asciiTheme="minorHAnsi" w:hAnsiTheme="minorHAnsi" w:cstheme="minorBidi"/>
          <w:sz w:val="22"/>
          <w:szCs w:val="22"/>
        </w:rPr>
        <w:t>. Maddock et al</w:t>
      </w:r>
      <w:r w:rsidR="004965F3">
        <w:rPr>
          <w:rFonts w:asciiTheme="minorHAnsi" w:hAnsiTheme="minorHAnsi" w:cstheme="minorBidi"/>
          <w:sz w:val="22"/>
          <w:szCs w:val="22"/>
        </w:rPr>
        <w:t>.</w:t>
      </w:r>
      <w:r w:rsidR="004423DB">
        <w:rPr>
          <w:rFonts w:asciiTheme="minorHAnsi" w:hAnsiTheme="minorHAnsi" w:cstheme="minorBidi"/>
          <w:sz w:val="22"/>
          <w:szCs w:val="22"/>
          <w:vertAlign w:val="superscript"/>
        </w:rPr>
        <w:t>40</w:t>
      </w:r>
      <w:r w:rsidR="00AE6EA4" w:rsidRPr="00AE6EA4">
        <w:rPr>
          <w:rFonts w:asciiTheme="minorHAnsi" w:hAnsiTheme="minorHAnsi" w:cstheme="minorBidi"/>
          <w:sz w:val="22"/>
          <w:szCs w:val="22"/>
        </w:rPr>
        <w:t xml:space="preserve"> revealed several disadvantaged</w:t>
      </w:r>
      <w:r w:rsidR="00AE6EA4">
        <w:rPr>
          <w:rFonts w:asciiTheme="minorHAnsi" w:hAnsiTheme="minorHAnsi" w:cstheme="minorBidi"/>
          <w:sz w:val="22"/>
          <w:szCs w:val="22"/>
        </w:rPr>
        <w:t xml:space="preserve"> </w:t>
      </w:r>
      <w:r w:rsidR="00AE6EA4" w:rsidRPr="00AE6EA4">
        <w:rPr>
          <w:rFonts w:asciiTheme="minorHAnsi" w:hAnsiTheme="minorHAnsi" w:cstheme="minorBidi"/>
          <w:sz w:val="22"/>
          <w:szCs w:val="22"/>
        </w:rPr>
        <w:t>groups within the UK that experienced a higher rate of healthcare disruption</w:t>
      </w:r>
      <w:r w:rsidR="00AE6EA4">
        <w:rPr>
          <w:rFonts w:asciiTheme="minorHAnsi" w:hAnsiTheme="minorHAnsi" w:cstheme="minorBidi"/>
          <w:sz w:val="22"/>
          <w:szCs w:val="22"/>
        </w:rPr>
        <w:t xml:space="preserve"> </w:t>
      </w:r>
      <w:r w:rsidR="00AE6EA4" w:rsidRPr="00AE6EA4">
        <w:rPr>
          <w:rFonts w:asciiTheme="minorHAnsi" w:hAnsiTheme="minorHAnsi" w:cstheme="minorBidi"/>
          <w:sz w:val="22"/>
          <w:szCs w:val="22"/>
        </w:rPr>
        <w:t>during pandemic</w:t>
      </w:r>
      <w:r w:rsidR="009B619F">
        <w:rPr>
          <w:rFonts w:asciiTheme="minorHAnsi" w:hAnsiTheme="minorHAnsi" w:cstheme="minorBidi"/>
          <w:sz w:val="22"/>
          <w:szCs w:val="22"/>
        </w:rPr>
        <w:t xml:space="preserve"> restrictions</w:t>
      </w:r>
      <w:r w:rsidR="00AE6EA4" w:rsidRPr="00AE6EA4">
        <w:rPr>
          <w:rFonts w:asciiTheme="minorHAnsi" w:hAnsiTheme="minorHAnsi" w:cstheme="minorBidi"/>
          <w:sz w:val="22"/>
          <w:szCs w:val="22"/>
        </w:rPr>
        <w:t>.</w:t>
      </w:r>
      <w:r w:rsidR="00AE6EA4">
        <w:rPr>
          <w:rFonts w:asciiTheme="minorHAnsi" w:hAnsiTheme="minorHAnsi" w:cstheme="minorBidi"/>
          <w:sz w:val="22"/>
          <w:szCs w:val="22"/>
        </w:rPr>
        <w:t xml:space="preserve"> </w:t>
      </w:r>
      <w:r w:rsidR="00AE6EA4" w:rsidRPr="00AE6EA4">
        <w:rPr>
          <w:rFonts w:asciiTheme="minorHAnsi" w:hAnsiTheme="minorHAnsi" w:cstheme="minorBidi"/>
          <w:sz w:val="22"/>
          <w:szCs w:val="22"/>
        </w:rPr>
        <w:t>To ensure consistent data availability for analysis across the entire study period</w:t>
      </w:r>
      <w:r w:rsidR="00832385">
        <w:rPr>
          <w:rFonts w:asciiTheme="minorHAnsi" w:hAnsiTheme="minorHAnsi" w:cstheme="minorBidi"/>
          <w:sz w:val="22"/>
          <w:szCs w:val="22"/>
        </w:rPr>
        <w:t xml:space="preserve">, </w:t>
      </w:r>
      <w:r w:rsidR="00AE6EA4" w:rsidRPr="00AE6EA4">
        <w:rPr>
          <w:rFonts w:asciiTheme="minorHAnsi" w:hAnsiTheme="minorHAnsi" w:cstheme="minorBidi"/>
          <w:sz w:val="22"/>
          <w:szCs w:val="22"/>
        </w:rPr>
        <w:t xml:space="preserve">we included only </w:t>
      </w:r>
      <w:r w:rsidR="004959BD">
        <w:rPr>
          <w:rFonts w:asciiTheme="minorHAnsi" w:hAnsiTheme="minorHAnsi" w:cstheme="minorBidi"/>
          <w:sz w:val="22"/>
          <w:szCs w:val="22"/>
        </w:rPr>
        <w:t>suppliers</w:t>
      </w:r>
      <w:r w:rsidR="00AE6EA4" w:rsidRPr="00AE6EA4">
        <w:rPr>
          <w:rFonts w:asciiTheme="minorHAnsi" w:hAnsiTheme="minorHAnsi" w:cstheme="minorBidi"/>
          <w:sz w:val="22"/>
          <w:szCs w:val="22"/>
        </w:rPr>
        <w:t xml:space="preserve"> who supplied daily data continuously from the start date</w:t>
      </w:r>
      <w:r w:rsidR="00832385">
        <w:rPr>
          <w:rFonts w:asciiTheme="minorHAnsi" w:hAnsiTheme="minorHAnsi" w:cstheme="minorBidi"/>
          <w:sz w:val="22"/>
          <w:szCs w:val="22"/>
        </w:rPr>
        <w:t xml:space="preserve"> (</w:t>
      </w:r>
      <w:r w:rsidR="00252044">
        <w:rPr>
          <w:rFonts w:asciiTheme="minorHAnsi" w:hAnsiTheme="minorHAnsi" w:cstheme="minorBidi"/>
          <w:sz w:val="22"/>
          <w:szCs w:val="22"/>
        </w:rPr>
        <w:t>1</w:t>
      </w:r>
      <w:r w:rsidR="00252044" w:rsidRPr="00252044">
        <w:rPr>
          <w:rFonts w:asciiTheme="minorHAnsi" w:hAnsiTheme="minorHAnsi" w:cstheme="minorBidi"/>
          <w:sz w:val="22"/>
          <w:szCs w:val="22"/>
          <w:vertAlign w:val="superscript"/>
        </w:rPr>
        <w:t>st</w:t>
      </w:r>
      <w:r w:rsidR="00252044">
        <w:rPr>
          <w:rFonts w:asciiTheme="minorHAnsi" w:hAnsiTheme="minorHAnsi" w:cstheme="minorBidi"/>
          <w:sz w:val="22"/>
          <w:szCs w:val="22"/>
        </w:rPr>
        <w:t xml:space="preserve"> January </w:t>
      </w:r>
      <w:r w:rsidR="00832385">
        <w:rPr>
          <w:rFonts w:asciiTheme="minorHAnsi" w:hAnsiTheme="minorHAnsi" w:cstheme="minorBidi"/>
          <w:sz w:val="22"/>
          <w:szCs w:val="22"/>
        </w:rPr>
        <w:t>2019)</w:t>
      </w:r>
      <w:r w:rsidR="00AE6EA4" w:rsidRPr="00AE6EA4">
        <w:rPr>
          <w:rFonts w:asciiTheme="minorHAnsi" w:hAnsiTheme="minorHAnsi" w:cstheme="minorBidi"/>
          <w:sz w:val="22"/>
          <w:szCs w:val="22"/>
        </w:rPr>
        <w:t xml:space="preserve">. However, this criterion excluded </w:t>
      </w:r>
      <w:r w:rsidR="004959BD">
        <w:rPr>
          <w:rFonts w:asciiTheme="minorHAnsi" w:hAnsiTheme="minorHAnsi" w:cstheme="minorBidi"/>
          <w:sz w:val="22"/>
          <w:szCs w:val="22"/>
        </w:rPr>
        <w:t>suppliers</w:t>
      </w:r>
      <w:r w:rsidR="00AE6EA4" w:rsidRPr="00AE6EA4">
        <w:rPr>
          <w:rFonts w:asciiTheme="minorHAnsi" w:hAnsiTheme="minorHAnsi" w:cstheme="minorBidi"/>
          <w:sz w:val="22"/>
          <w:szCs w:val="22"/>
        </w:rPr>
        <w:t xml:space="preserve"> who began supplying data after </w:t>
      </w:r>
      <w:r w:rsidR="00832385">
        <w:rPr>
          <w:rFonts w:asciiTheme="minorHAnsi" w:hAnsiTheme="minorHAnsi" w:cstheme="minorBidi"/>
          <w:sz w:val="22"/>
          <w:szCs w:val="22"/>
        </w:rPr>
        <w:t>the start date</w:t>
      </w:r>
      <w:r w:rsidR="00AE6EA4" w:rsidRPr="00AE6EA4">
        <w:rPr>
          <w:rFonts w:asciiTheme="minorHAnsi" w:hAnsiTheme="minorHAnsi" w:cstheme="minorBidi"/>
          <w:sz w:val="22"/>
          <w:szCs w:val="22"/>
        </w:rPr>
        <w:t>, and consequently, any patients who accessed services solely through those new providers during the study period.</w:t>
      </w:r>
      <w:r w:rsidR="00336D26">
        <w:rPr>
          <w:rFonts w:asciiTheme="minorHAnsi" w:hAnsiTheme="minorHAnsi" w:cstheme="minorBidi"/>
          <w:sz w:val="22"/>
          <w:szCs w:val="22"/>
        </w:rPr>
        <w:t xml:space="preserve"> Additionally, the methods used in this study are observational and attempts to establish causality should</w:t>
      </w:r>
      <w:r w:rsidR="009B619F">
        <w:rPr>
          <w:rFonts w:asciiTheme="minorHAnsi" w:hAnsiTheme="minorHAnsi" w:cstheme="minorBidi"/>
          <w:sz w:val="22"/>
          <w:szCs w:val="22"/>
        </w:rPr>
        <w:t xml:space="preserve"> be</w:t>
      </w:r>
      <w:r w:rsidR="00336D26">
        <w:rPr>
          <w:rFonts w:asciiTheme="minorHAnsi" w:hAnsiTheme="minorHAnsi" w:cstheme="minorBidi"/>
          <w:sz w:val="22"/>
          <w:szCs w:val="22"/>
        </w:rPr>
        <w:t xml:space="preserve"> interpreted with caution. </w:t>
      </w:r>
    </w:p>
    <w:p w14:paraId="0174CA8F" w14:textId="2E423B59" w:rsidR="00252044" w:rsidRDefault="008C472E" w:rsidP="00252044">
      <w:pPr>
        <w:spacing w:after="0" w:line="360" w:lineRule="auto"/>
        <w:rPr>
          <w:rFonts w:cstheme="minorHAnsi"/>
        </w:rPr>
      </w:pPr>
      <w:r>
        <w:rPr>
          <w:rFonts w:cstheme="minorHAnsi"/>
        </w:rPr>
        <w:t>These results</w:t>
      </w:r>
      <w:r w:rsidR="009B619F" w:rsidRPr="009B619F">
        <w:rPr>
          <w:rFonts w:cstheme="minorHAnsi"/>
        </w:rPr>
        <w:t xml:space="preserve"> demonstrate</w:t>
      </w:r>
      <w:r>
        <w:rPr>
          <w:rFonts w:cstheme="minorHAnsi"/>
        </w:rPr>
        <w:t xml:space="preserve"> </w:t>
      </w:r>
      <w:r w:rsidR="009B619F" w:rsidRPr="009B619F">
        <w:rPr>
          <w:rFonts w:cstheme="minorHAnsi"/>
        </w:rPr>
        <w:t>how syndromic surveillance, combined with real-world data sources like EHRs, can effectively monitor community MH service utili</w:t>
      </w:r>
      <w:r w:rsidR="009B619F">
        <w:rPr>
          <w:rFonts w:cstheme="minorHAnsi"/>
        </w:rPr>
        <w:t>s</w:t>
      </w:r>
      <w:r w:rsidR="009B619F" w:rsidRPr="009B619F">
        <w:rPr>
          <w:rFonts w:cstheme="minorHAnsi"/>
        </w:rPr>
        <w:t>ation - particularly during nationwide crises</w:t>
      </w:r>
      <w:r w:rsidR="00252044">
        <w:rPr>
          <w:rFonts w:cstheme="minorHAnsi"/>
        </w:rPr>
        <w:t>.</w:t>
      </w:r>
      <w:r w:rsidR="00565A44">
        <w:rPr>
          <w:rFonts w:cstheme="minorHAnsi"/>
        </w:rPr>
        <w:t xml:space="preserve"> </w:t>
      </w:r>
      <w:r w:rsidR="009B619F" w:rsidRPr="009B619F">
        <w:rPr>
          <w:rFonts w:cstheme="minorHAnsi"/>
        </w:rPr>
        <w:t>For future pandemic preparedness, such systems offer real-time decision-making capabilities and can reveal demographic-specific utili</w:t>
      </w:r>
      <w:r w:rsidR="009B619F">
        <w:rPr>
          <w:rFonts w:cstheme="minorHAnsi"/>
        </w:rPr>
        <w:t>s</w:t>
      </w:r>
      <w:r w:rsidR="009B619F" w:rsidRPr="009B619F">
        <w:rPr>
          <w:rFonts w:cstheme="minorHAnsi"/>
        </w:rPr>
        <w:t xml:space="preserve">ation patterns. </w:t>
      </w:r>
      <w:r w:rsidR="00252044">
        <w:rPr>
          <w:rFonts w:cstheme="minorHAnsi"/>
        </w:rPr>
        <w:t>However, as established in this study and other studies on syndromic surveillance</w:t>
      </w:r>
      <w:r w:rsidR="00252044" w:rsidRPr="00B64DF6">
        <w:rPr>
          <w:rFonts w:cstheme="minorHAnsi"/>
          <w:vertAlign w:val="superscript"/>
        </w:rPr>
        <w:t xml:space="preserve">17, </w:t>
      </w:r>
      <w:r w:rsidR="00390DAA">
        <w:rPr>
          <w:rFonts w:cstheme="minorHAnsi"/>
          <w:vertAlign w:val="superscript"/>
        </w:rPr>
        <w:t>41</w:t>
      </w:r>
      <w:r w:rsidR="00252044" w:rsidRPr="00B64DF6">
        <w:rPr>
          <w:rFonts w:cstheme="minorHAnsi"/>
          <w:vertAlign w:val="superscript"/>
        </w:rPr>
        <w:t xml:space="preserve"> </w:t>
      </w:r>
      <w:r w:rsidR="00252044">
        <w:rPr>
          <w:rFonts w:cstheme="minorHAnsi"/>
        </w:rPr>
        <w:t xml:space="preserve">– one of the challenges is understanding true changes in MH utilisation from general changes in healthcare seeking behaviour. </w:t>
      </w:r>
    </w:p>
    <w:p w14:paraId="3E69F1FA" w14:textId="77777777" w:rsidR="00252044" w:rsidRPr="00CD2660" w:rsidRDefault="00252044" w:rsidP="00AE6EA4">
      <w:pPr>
        <w:pStyle w:val="NormalWeb"/>
        <w:shd w:val="clear" w:color="auto" w:fill="FFFFFF" w:themeFill="background1"/>
        <w:spacing w:after="0" w:line="360" w:lineRule="auto"/>
        <w:rPr>
          <w:rFonts w:asciiTheme="minorHAnsi" w:hAnsiTheme="minorHAnsi" w:cstheme="minorBidi"/>
          <w:sz w:val="22"/>
          <w:szCs w:val="22"/>
        </w:rPr>
      </w:pPr>
    </w:p>
    <w:p w14:paraId="4242D630" w14:textId="77777777" w:rsidR="00AD1C9C" w:rsidRPr="00277649" w:rsidRDefault="00AD1C9C" w:rsidP="00B4303F">
      <w:pPr>
        <w:spacing w:after="0" w:line="360" w:lineRule="auto"/>
        <w:rPr>
          <w:color w:val="ED7D31" w:themeColor="accent2"/>
        </w:rPr>
      </w:pPr>
    </w:p>
    <w:p w14:paraId="61AF47C5" w14:textId="1077D065" w:rsidR="00C05743" w:rsidRPr="004423DB" w:rsidRDefault="00C05743" w:rsidP="00B4303F">
      <w:pPr>
        <w:pStyle w:val="Heading2"/>
        <w:spacing w:before="0" w:line="360" w:lineRule="auto"/>
        <w:rPr>
          <w:b/>
          <w:bCs/>
          <w:color w:val="auto"/>
        </w:rPr>
      </w:pPr>
      <w:r w:rsidRPr="004423DB">
        <w:rPr>
          <w:b/>
          <w:bCs/>
          <w:color w:val="auto"/>
        </w:rPr>
        <w:t>Conclusion</w:t>
      </w:r>
      <w:r w:rsidR="00BD42D3" w:rsidRPr="004423DB">
        <w:rPr>
          <w:b/>
          <w:bCs/>
          <w:color w:val="auto"/>
        </w:rPr>
        <w:t>s</w:t>
      </w:r>
    </w:p>
    <w:p w14:paraId="48238D6F" w14:textId="44F108E2" w:rsidR="001D4AB0" w:rsidRDefault="001D4AB0" w:rsidP="00B4303F">
      <w:pPr>
        <w:pStyle w:val="NormalWeb"/>
        <w:shd w:val="clear" w:color="auto" w:fill="FFFFFF"/>
        <w:spacing w:before="0" w:beforeAutospacing="0" w:after="0" w:afterAutospacing="0" w:line="360" w:lineRule="auto"/>
        <w:rPr>
          <w:rFonts w:asciiTheme="minorHAnsi" w:hAnsiTheme="minorHAnsi" w:cstheme="minorHAnsi"/>
          <w:sz w:val="22"/>
          <w:szCs w:val="22"/>
        </w:rPr>
      </w:pPr>
      <w:r w:rsidRPr="001D4AB0">
        <w:rPr>
          <w:rFonts w:asciiTheme="minorHAnsi" w:hAnsiTheme="minorHAnsi" w:cstheme="minorHAnsi"/>
          <w:sz w:val="22"/>
          <w:szCs w:val="22"/>
        </w:rPr>
        <w:t>This study documents an overall decline in MH</w:t>
      </w:r>
      <w:r>
        <w:rPr>
          <w:rFonts w:asciiTheme="minorHAnsi" w:hAnsiTheme="minorHAnsi" w:cstheme="minorHAnsi"/>
          <w:sz w:val="22"/>
          <w:szCs w:val="22"/>
        </w:rPr>
        <w:t xml:space="preserve"> </w:t>
      </w:r>
      <w:r w:rsidRPr="001D4AB0">
        <w:rPr>
          <w:rFonts w:asciiTheme="minorHAnsi" w:hAnsiTheme="minorHAnsi" w:cstheme="minorHAnsi"/>
          <w:sz w:val="22"/>
          <w:szCs w:val="22"/>
        </w:rPr>
        <w:t>service use across England during COVID-19 restrictions, with a significant shift from in-person to remote services. While primary care consultations for depression fell sharply, anxiety presentations increased. Young people (15-24) were disproportionately impacted</w:t>
      </w:r>
      <w:r>
        <w:rPr>
          <w:rFonts w:asciiTheme="minorHAnsi" w:hAnsiTheme="minorHAnsi" w:cstheme="minorHAnsi"/>
          <w:sz w:val="22"/>
          <w:szCs w:val="22"/>
        </w:rPr>
        <w:t xml:space="preserve"> in primary care</w:t>
      </w:r>
      <w:r w:rsidRPr="001D4AB0">
        <w:rPr>
          <w:rFonts w:asciiTheme="minorHAnsi" w:hAnsiTheme="minorHAnsi" w:cstheme="minorHAnsi"/>
          <w:sz w:val="22"/>
          <w:szCs w:val="22"/>
        </w:rPr>
        <w:t xml:space="preserve">, showing initial steep declines followed by later surges in anxiety consultations, suggesting delayed help-seeking or heightened vulnerability. These findings necessitate MH services maintaining both in-person and remote access during crises. We </w:t>
      </w:r>
      <w:r w:rsidRPr="001D4AB0">
        <w:rPr>
          <w:rFonts w:asciiTheme="minorHAnsi" w:hAnsiTheme="minorHAnsi" w:cstheme="minorHAnsi"/>
          <w:sz w:val="22"/>
          <w:szCs w:val="22"/>
        </w:rPr>
        <w:lastRenderedPageBreak/>
        <w:t xml:space="preserve">demonstrate syndromic surveillance's value for real-time MH service monitoring and resource planning in future incidents. Future research must assess the long-term impact of these service disruptions, particularly </w:t>
      </w:r>
      <w:r w:rsidR="00861ED8">
        <w:rPr>
          <w:rFonts w:asciiTheme="minorHAnsi" w:hAnsiTheme="minorHAnsi" w:cstheme="minorHAnsi"/>
          <w:sz w:val="22"/>
          <w:szCs w:val="22"/>
        </w:rPr>
        <w:t xml:space="preserve">in relation to a </w:t>
      </w:r>
      <w:r w:rsidR="006172C9">
        <w:rPr>
          <w:rFonts w:asciiTheme="minorHAnsi" w:hAnsiTheme="minorHAnsi" w:cstheme="minorHAnsi"/>
          <w:sz w:val="22"/>
          <w:szCs w:val="22"/>
        </w:rPr>
        <w:t>long-term</w:t>
      </w:r>
      <w:r w:rsidR="00861ED8">
        <w:rPr>
          <w:rFonts w:asciiTheme="minorHAnsi" w:hAnsiTheme="minorHAnsi" w:cstheme="minorHAnsi"/>
          <w:sz w:val="22"/>
          <w:szCs w:val="22"/>
        </w:rPr>
        <w:t xml:space="preserve"> rise in MH prevalence</w:t>
      </w:r>
      <w:r w:rsidRPr="001D4AB0">
        <w:rPr>
          <w:rFonts w:asciiTheme="minorHAnsi" w:hAnsiTheme="minorHAnsi" w:cstheme="minorHAnsi"/>
          <w:sz w:val="22"/>
          <w:szCs w:val="22"/>
        </w:rPr>
        <w:t>.</w:t>
      </w:r>
    </w:p>
    <w:p w14:paraId="6AACC401" w14:textId="77777777" w:rsidR="001D4AB0" w:rsidRDefault="001D4AB0" w:rsidP="00B4303F">
      <w:pPr>
        <w:pStyle w:val="NormalWeb"/>
        <w:shd w:val="clear" w:color="auto" w:fill="FFFFFF"/>
        <w:spacing w:before="0" w:beforeAutospacing="0" w:after="0" w:afterAutospacing="0" w:line="360" w:lineRule="auto"/>
        <w:rPr>
          <w:rFonts w:asciiTheme="minorHAnsi" w:hAnsiTheme="minorHAnsi" w:cstheme="minorHAnsi"/>
          <w:sz w:val="22"/>
          <w:szCs w:val="22"/>
        </w:rPr>
      </w:pPr>
    </w:p>
    <w:p w14:paraId="1EA59644" w14:textId="77777777" w:rsidR="00861ED8" w:rsidRDefault="00861ED8" w:rsidP="00B4303F">
      <w:pPr>
        <w:pStyle w:val="NormalWeb"/>
        <w:shd w:val="clear" w:color="auto" w:fill="FFFFFF"/>
        <w:spacing w:before="0" w:beforeAutospacing="0" w:after="0" w:afterAutospacing="0" w:line="360" w:lineRule="auto"/>
        <w:rPr>
          <w:rFonts w:asciiTheme="minorHAnsi" w:hAnsiTheme="minorHAnsi" w:cstheme="minorHAnsi"/>
          <w:sz w:val="22"/>
          <w:szCs w:val="22"/>
        </w:rPr>
      </w:pPr>
    </w:p>
    <w:p w14:paraId="62E1A1EE" w14:textId="77777777" w:rsidR="004F6038" w:rsidRDefault="004F6038" w:rsidP="00EC0D19">
      <w:pPr>
        <w:pStyle w:val="NormalWeb"/>
        <w:shd w:val="clear" w:color="auto" w:fill="FFFFFF"/>
        <w:spacing w:before="0" w:beforeAutospacing="0" w:after="0" w:afterAutospacing="0"/>
        <w:rPr>
          <w:rFonts w:asciiTheme="minorHAnsi" w:hAnsiTheme="minorHAnsi" w:cstheme="minorHAnsi"/>
          <w:sz w:val="22"/>
          <w:szCs w:val="22"/>
        </w:rPr>
      </w:pPr>
    </w:p>
    <w:p w14:paraId="1715F3E1" w14:textId="77777777" w:rsidR="00252044" w:rsidRDefault="00252044" w:rsidP="00EC0D19">
      <w:pPr>
        <w:pStyle w:val="NormalWeb"/>
        <w:shd w:val="clear" w:color="auto" w:fill="FFFFFF"/>
        <w:spacing w:before="0" w:beforeAutospacing="0" w:after="0" w:afterAutospacing="0"/>
        <w:rPr>
          <w:rFonts w:asciiTheme="minorHAnsi" w:hAnsiTheme="minorHAnsi" w:cstheme="minorHAnsi"/>
          <w:sz w:val="22"/>
          <w:szCs w:val="22"/>
        </w:rPr>
      </w:pPr>
    </w:p>
    <w:p w14:paraId="3E0BEC4A" w14:textId="77777777" w:rsidR="008C472E" w:rsidRDefault="008C472E" w:rsidP="00EC0D19">
      <w:pPr>
        <w:pStyle w:val="NormalWeb"/>
        <w:shd w:val="clear" w:color="auto" w:fill="FFFFFF"/>
        <w:spacing w:before="0" w:beforeAutospacing="0" w:after="0" w:afterAutospacing="0"/>
        <w:rPr>
          <w:rFonts w:asciiTheme="minorHAnsi" w:hAnsiTheme="minorHAnsi" w:cstheme="minorHAnsi"/>
          <w:sz w:val="22"/>
          <w:szCs w:val="22"/>
        </w:rPr>
      </w:pPr>
    </w:p>
    <w:p w14:paraId="18AB8B8A" w14:textId="77777777" w:rsidR="008C472E" w:rsidRDefault="008C472E" w:rsidP="00EC0D19">
      <w:pPr>
        <w:pStyle w:val="NormalWeb"/>
        <w:shd w:val="clear" w:color="auto" w:fill="FFFFFF"/>
        <w:spacing w:before="0" w:beforeAutospacing="0" w:after="0" w:afterAutospacing="0"/>
        <w:rPr>
          <w:rFonts w:asciiTheme="minorHAnsi" w:hAnsiTheme="minorHAnsi" w:cstheme="minorHAnsi"/>
          <w:sz w:val="22"/>
          <w:szCs w:val="22"/>
        </w:rPr>
      </w:pPr>
    </w:p>
    <w:p w14:paraId="5B2F517F" w14:textId="77777777" w:rsidR="00C73B32" w:rsidRDefault="00C73B32" w:rsidP="00EC0D19">
      <w:pPr>
        <w:pStyle w:val="NormalWeb"/>
        <w:shd w:val="clear" w:color="auto" w:fill="FFFFFF"/>
        <w:spacing w:before="0" w:beforeAutospacing="0" w:after="0" w:afterAutospacing="0"/>
        <w:rPr>
          <w:rFonts w:asciiTheme="minorHAnsi" w:hAnsiTheme="minorHAnsi" w:cstheme="minorHAnsi"/>
          <w:sz w:val="22"/>
          <w:szCs w:val="22"/>
        </w:rPr>
      </w:pPr>
    </w:p>
    <w:p w14:paraId="26EA00F4" w14:textId="77777777" w:rsidR="00C73B32" w:rsidRDefault="00C73B32" w:rsidP="00EC0D19">
      <w:pPr>
        <w:pStyle w:val="NormalWeb"/>
        <w:shd w:val="clear" w:color="auto" w:fill="FFFFFF"/>
        <w:spacing w:before="0" w:beforeAutospacing="0" w:after="0" w:afterAutospacing="0"/>
        <w:rPr>
          <w:rFonts w:asciiTheme="minorHAnsi" w:hAnsiTheme="minorHAnsi" w:cstheme="minorHAnsi"/>
          <w:sz w:val="22"/>
          <w:szCs w:val="22"/>
        </w:rPr>
      </w:pPr>
    </w:p>
    <w:p w14:paraId="1BF422A2" w14:textId="77777777" w:rsidR="00C73B32" w:rsidRDefault="00C73B32" w:rsidP="00EC0D19">
      <w:pPr>
        <w:pStyle w:val="NormalWeb"/>
        <w:shd w:val="clear" w:color="auto" w:fill="FFFFFF"/>
        <w:spacing w:before="0" w:beforeAutospacing="0" w:after="0" w:afterAutospacing="0"/>
        <w:rPr>
          <w:rFonts w:asciiTheme="minorHAnsi" w:hAnsiTheme="minorHAnsi" w:cstheme="minorHAnsi"/>
          <w:sz w:val="22"/>
          <w:szCs w:val="22"/>
        </w:rPr>
      </w:pPr>
    </w:p>
    <w:p w14:paraId="049A931A" w14:textId="77777777" w:rsidR="00C73B32" w:rsidRDefault="00C73B32" w:rsidP="00EC0D19">
      <w:pPr>
        <w:pStyle w:val="NormalWeb"/>
        <w:shd w:val="clear" w:color="auto" w:fill="FFFFFF"/>
        <w:spacing w:before="0" w:beforeAutospacing="0" w:after="0" w:afterAutospacing="0"/>
        <w:rPr>
          <w:rFonts w:asciiTheme="minorHAnsi" w:hAnsiTheme="minorHAnsi" w:cstheme="minorHAnsi"/>
          <w:sz w:val="22"/>
          <w:szCs w:val="22"/>
        </w:rPr>
      </w:pPr>
    </w:p>
    <w:p w14:paraId="44276F48" w14:textId="77777777" w:rsidR="00631201" w:rsidRDefault="00631201" w:rsidP="00EC0D19">
      <w:pPr>
        <w:pStyle w:val="NormalWeb"/>
        <w:shd w:val="clear" w:color="auto" w:fill="FFFFFF"/>
        <w:spacing w:before="0" w:beforeAutospacing="0" w:after="0" w:afterAutospacing="0"/>
        <w:rPr>
          <w:rFonts w:asciiTheme="minorHAnsi" w:hAnsiTheme="minorHAnsi" w:cstheme="minorHAnsi"/>
          <w:sz w:val="22"/>
          <w:szCs w:val="22"/>
        </w:rPr>
      </w:pPr>
    </w:p>
    <w:p w14:paraId="68400B26" w14:textId="77777777" w:rsidR="00631201" w:rsidRDefault="00631201" w:rsidP="00EC0D19">
      <w:pPr>
        <w:pStyle w:val="NormalWeb"/>
        <w:shd w:val="clear" w:color="auto" w:fill="FFFFFF"/>
        <w:spacing w:before="0" w:beforeAutospacing="0" w:after="0" w:afterAutospacing="0"/>
        <w:rPr>
          <w:rFonts w:asciiTheme="minorHAnsi" w:hAnsiTheme="minorHAnsi" w:cstheme="minorHAnsi"/>
          <w:sz w:val="22"/>
          <w:szCs w:val="22"/>
        </w:rPr>
      </w:pPr>
    </w:p>
    <w:p w14:paraId="0B64112A" w14:textId="77777777" w:rsidR="00631201" w:rsidRDefault="00631201" w:rsidP="00EC0D19">
      <w:pPr>
        <w:pStyle w:val="NormalWeb"/>
        <w:shd w:val="clear" w:color="auto" w:fill="FFFFFF"/>
        <w:spacing w:before="0" w:beforeAutospacing="0" w:after="0" w:afterAutospacing="0"/>
        <w:rPr>
          <w:rFonts w:asciiTheme="minorHAnsi" w:hAnsiTheme="minorHAnsi" w:cstheme="minorHAnsi"/>
          <w:sz w:val="22"/>
          <w:szCs w:val="22"/>
        </w:rPr>
      </w:pPr>
    </w:p>
    <w:p w14:paraId="1B445A30"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6C190CC3"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0C313D7A"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7C862D1E"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6F31A220"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6412B673"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1C10859D"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4E345094"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63715FCB"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10C6B712"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21DED428"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7D9C9DD1"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7234C75A"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7BF3A6EC"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355AFFBB"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5D73DBDE"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240E02A6"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334D1E9A"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621BFA17"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140D1098"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0E831CFA"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0449E65A"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5EF49F5C"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3304CC02"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304F41F4"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3E347754"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133BB3CE"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2F42B9D6"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05A2FB9B" w14:textId="77777777" w:rsidR="00B7164C" w:rsidRDefault="00B7164C" w:rsidP="00EC0D19">
      <w:pPr>
        <w:pStyle w:val="NormalWeb"/>
        <w:shd w:val="clear" w:color="auto" w:fill="FFFFFF"/>
        <w:spacing w:before="0" w:beforeAutospacing="0" w:after="0" w:afterAutospacing="0"/>
        <w:rPr>
          <w:rFonts w:asciiTheme="minorHAnsi" w:hAnsiTheme="minorHAnsi" w:cstheme="minorHAnsi"/>
          <w:sz w:val="22"/>
          <w:szCs w:val="22"/>
        </w:rPr>
      </w:pPr>
    </w:p>
    <w:p w14:paraId="50864894" w14:textId="77777777" w:rsidR="00C73B32" w:rsidRDefault="00C73B32" w:rsidP="00EC0D19">
      <w:pPr>
        <w:pStyle w:val="NormalWeb"/>
        <w:shd w:val="clear" w:color="auto" w:fill="FFFFFF"/>
        <w:spacing w:before="0" w:beforeAutospacing="0" w:after="0" w:afterAutospacing="0"/>
        <w:rPr>
          <w:rFonts w:asciiTheme="minorHAnsi" w:hAnsiTheme="minorHAnsi" w:cstheme="minorHAnsi"/>
          <w:sz w:val="22"/>
          <w:szCs w:val="22"/>
        </w:rPr>
      </w:pPr>
    </w:p>
    <w:p w14:paraId="2324DBEA" w14:textId="77777777" w:rsidR="008C472E" w:rsidRDefault="008C472E" w:rsidP="00EC0D19">
      <w:pPr>
        <w:pStyle w:val="NormalWeb"/>
        <w:shd w:val="clear" w:color="auto" w:fill="FFFFFF"/>
        <w:spacing w:before="0" w:beforeAutospacing="0" w:after="0" w:afterAutospacing="0"/>
        <w:rPr>
          <w:rFonts w:asciiTheme="minorHAnsi" w:hAnsiTheme="minorHAnsi" w:cstheme="minorHAnsi"/>
          <w:sz w:val="22"/>
          <w:szCs w:val="22"/>
        </w:rPr>
      </w:pPr>
    </w:p>
    <w:p w14:paraId="4A944FA4" w14:textId="77777777" w:rsidR="008C472E" w:rsidRDefault="008C472E" w:rsidP="00EC0D19">
      <w:pPr>
        <w:pStyle w:val="NormalWeb"/>
        <w:shd w:val="clear" w:color="auto" w:fill="FFFFFF"/>
        <w:spacing w:before="0" w:beforeAutospacing="0" w:after="0" w:afterAutospacing="0"/>
        <w:rPr>
          <w:rFonts w:asciiTheme="minorHAnsi" w:hAnsiTheme="minorHAnsi" w:cstheme="minorHAnsi"/>
          <w:sz w:val="22"/>
          <w:szCs w:val="22"/>
        </w:rPr>
      </w:pPr>
    </w:p>
    <w:p w14:paraId="05C65E3E" w14:textId="56534320" w:rsidR="00FA3993" w:rsidRPr="00B35939" w:rsidRDefault="002A0F7D" w:rsidP="008C1665">
      <w:pPr>
        <w:pStyle w:val="Heading2"/>
        <w:rPr>
          <w:rFonts w:asciiTheme="minorHAnsi" w:hAnsiTheme="minorHAnsi" w:cstheme="minorHAnsi"/>
          <w:b/>
          <w:bCs/>
          <w:color w:val="auto"/>
          <w:sz w:val="22"/>
          <w:szCs w:val="22"/>
        </w:rPr>
      </w:pPr>
      <w:r w:rsidRPr="00B35939">
        <w:rPr>
          <w:b/>
          <w:bCs/>
          <w:color w:val="auto"/>
        </w:rPr>
        <w:lastRenderedPageBreak/>
        <w:t>Abbreviations</w:t>
      </w:r>
    </w:p>
    <w:p w14:paraId="5A822B1F" w14:textId="77777777" w:rsidR="000D64AB" w:rsidRDefault="000D64AB" w:rsidP="00EC0D19">
      <w:pPr>
        <w:pStyle w:val="NormalWeb"/>
        <w:shd w:val="clear" w:color="auto" w:fill="FFFFFF"/>
        <w:spacing w:before="0" w:beforeAutospacing="0" w:after="0" w:afterAutospacing="0"/>
        <w:rPr>
          <w:rFonts w:asciiTheme="minorHAnsi" w:hAnsiTheme="minorHAnsi" w:cstheme="minorHAnsi"/>
          <w:sz w:val="22"/>
          <w:szCs w:val="22"/>
        </w:rPr>
      </w:pPr>
    </w:p>
    <w:p w14:paraId="486CC712" w14:textId="381A0D6F" w:rsidR="005758AD" w:rsidRDefault="005758AD" w:rsidP="00EC0D19">
      <w:pPr>
        <w:pStyle w:val="NormalWeb"/>
        <w:shd w:val="clear" w:color="auto" w:fill="FFFFFF"/>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COVID-19  </w:t>
      </w:r>
      <w:r w:rsidRPr="006D6028">
        <w:rPr>
          <w:rFonts w:asciiTheme="minorHAnsi" w:hAnsiTheme="minorHAnsi" w:cstheme="minorHAnsi"/>
          <w:sz w:val="22"/>
          <w:szCs w:val="22"/>
        </w:rPr>
        <w:t xml:space="preserve">Coronavirus </w:t>
      </w:r>
      <w:r w:rsidR="006D6028" w:rsidRPr="006D6028">
        <w:rPr>
          <w:rFonts w:asciiTheme="minorHAnsi" w:hAnsiTheme="minorHAnsi" w:cstheme="minorHAnsi"/>
          <w:sz w:val="22"/>
          <w:szCs w:val="22"/>
        </w:rPr>
        <w:t>disease 2019</w:t>
      </w:r>
      <w:r>
        <w:rPr>
          <w:rFonts w:asciiTheme="minorHAnsi" w:hAnsiTheme="minorHAnsi" w:cstheme="minorHAnsi"/>
          <w:b/>
          <w:bCs/>
          <w:sz w:val="22"/>
          <w:szCs w:val="22"/>
        </w:rPr>
        <w:t xml:space="preserve"> </w:t>
      </w:r>
    </w:p>
    <w:p w14:paraId="23A8DBE1" w14:textId="4D58D1C5" w:rsidR="00F8751D" w:rsidRPr="00F8751D" w:rsidRDefault="00F8751D" w:rsidP="00EC0D19">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 xml:space="preserve">ED </w:t>
      </w:r>
      <w:r w:rsidRPr="00F8751D">
        <w:rPr>
          <w:rFonts w:asciiTheme="minorHAnsi" w:hAnsiTheme="minorHAnsi" w:cstheme="minorHAnsi"/>
          <w:sz w:val="22"/>
          <w:szCs w:val="22"/>
        </w:rPr>
        <w:t>Emergency department</w:t>
      </w:r>
    </w:p>
    <w:p w14:paraId="01ABC07E" w14:textId="1B05CBEB" w:rsidR="00BE0684" w:rsidRDefault="00BE0684" w:rsidP="00EC0D19">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 xml:space="preserve">EDSSS </w:t>
      </w:r>
      <w:r w:rsidRPr="00BE0684">
        <w:rPr>
          <w:rFonts w:asciiTheme="minorHAnsi" w:hAnsiTheme="minorHAnsi" w:cstheme="minorHAnsi"/>
          <w:sz w:val="22"/>
          <w:szCs w:val="22"/>
        </w:rPr>
        <w:t>Emergency department syndromic surveillance system</w:t>
      </w:r>
    </w:p>
    <w:p w14:paraId="74BBAE80" w14:textId="120194CD" w:rsidR="00E278EB" w:rsidRPr="00BE0684" w:rsidRDefault="00E278EB" w:rsidP="00EC0D19">
      <w:pPr>
        <w:pStyle w:val="NormalWeb"/>
        <w:shd w:val="clear" w:color="auto" w:fill="FFFFFF"/>
        <w:spacing w:before="0" w:beforeAutospacing="0" w:after="0" w:afterAutospacing="0"/>
        <w:rPr>
          <w:rFonts w:asciiTheme="minorHAnsi" w:hAnsiTheme="minorHAnsi" w:cstheme="minorHAnsi"/>
          <w:sz w:val="22"/>
          <w:szCs w:val="22"/>
        </w:rPr>
      </w:pPr>
      <w:r w:rsidRPr="00354BF5">
        <w:rPr>
          <w:rFonts w:asciiTheme="minorHAnsi" w:hAnsiTheme="minorHAnsi" w:cstheme="minorHAnsi"/>
          <w:b/>
          <w:bCs/>
          <w:sz w:val="22"/>
          <w:szCs w:val="22"/>
        </w:rPr>
        <w:t>EHR</w:t>
      </w:r>
      <w:r>
        <w:rPr>
          <w:rFonts w:asciiTheme="minorHAnsi" w:hAnsiTheme="minorHAnsi" w:cstheme="minorHAnsi"/>
          <w:sz w:val="22"/>
          <w:szCs w:val="22"/>
        </w:rPr>
        <w:t xml:space="preserve"> Electronic Healthcare Record </w:t>
      </w:r>
    </w:p>
    <w:p w14:paraId="14D1BF62" w14:textId="1861F975" w:rsidR="0091222F" w:rsidRDefault="00A17146" w:rsidP="00EC0D19">
      <w:pPr>
        <w:pStyle w:val="NormalWeb"/>
        <w:shd w:val="clear" w:color="auto" w:fill="FFFFFF"/>
        <w:spacing w:before="0" w:beforeAutospacing="0" w:after="0" w:afterAutospacing="0"/>
        <w:rPr>
          <w:rFonts w:asciiTheme="minorHAnsi" w:hAnsiTheme="minorHAnsi" w:cstheme="minorHAnsi"/>
          <w:sz w:val="22"/>
          <w:szCs w:val="22"/>
        </w:rPr>
      </w:pPr>
      <w:r w:rsidRPr="00A17146">
        <w:rPr>
          <w:rFonts w:asciiTheme="minorHAnsi" w:hAnsiTheme="minorHAnsi" w:cstheme="minorHAnsi"/>
          <w:b/>
          <w:bCs/>
          <w:sz w:val="22"/>
          <w:szCs w:val="22"/>
        </w:rPr>
        <w:t>GP</w:t>
      </w:r>
      <w:r>
        <w:rPr>
          <w:rFonts w:asciiTheme="minorHAnsi" w:hAnsiTheme="minorHAnsi" w:cstheme="minorHAnsi"/>
          <w:sz w:val="22"/>
          <w:szCs w:val="22"/>
        </w:rPr>
        <w:t xml:space="preserve"> General practice (primary care providers)</w:t>
      </w:r>
    </w:p>
    <w:p w14:paraId="4D7B595A" w14:textId="360B0FCC" w:rsidR="008C1665" w:rsidRDefault="008C1665"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GPIH</w:t>
      </w:r>
      <w:r>
        <w:rPr>
          <w:rFonts w:asciiTheme="minorHAnsi" w:hAnsiTheme="minorHAnsi" w:cstheme="minorHAnsi"/>
          <w:sz w:val="22"/>
          <w:szCs w:val="22"/>
        </w:rPr>
        <w:t xml:space="preserve"> General practice in (usual business) hours (service)</w:t>
      </w:r>
    </w:p>
    <w:p w14:paraId="7EC0E77F" w14:textId="3069CAC5" w:rsidR="008C1665" w:rsidRDefault="008C1665"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GPOOH</w:t>
      </w:r>
      <w:r>
        <w:rPr>
          <w:rFonts w:asciiTheme="minorHAnsi" w:hAnsiTheme="minorHAnsi" w:cstheme="minorHAnsi"/>
          <w:sz w:val="22"/>
          <w:szCs w:val="22"/>
        </w:rPr>
        <w:t xml:space="preserve">  General practice out of hours (service)</w:t>
      </w:r>
    </w:p>
    <w:p w14:paraId="5F7857FF" w14:textId="5EA6578F" w:rsidR="008C1665" w:rsidRDefault="00812280"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L1</w:t>
      </w:r>
      <w:r>
        <w:rPr>
          <w:rFonts w:asciiTheme="minorHAnsi" w:hAnsiTheme="minorHAnsi" w:cstheme="minorHAnsi"/>
          <w:sz w:val="22"/>
          <w:szCs w:val="22"/>
        </w:rPr>
        <w:t xml:space="preserve"> </w:t>
      </w:r>
      <w:r w:rsidRPr="008C1665">
        <w:rPr>
          <w:rFonts w:asciiTheme="minorHAnsi" w:hAnsiTheme="minorHAnsi" w:cstheme="minorHAnsi"/>
          <w:sz w:val="22"/>
          <w:szCs w:val="22"/>
        </w:rPr>
        <w:t xml:space="preserve"> Lockdown 1</w:t>
      </w:r>
      <w:r>
        <w:rPr>
          <w:rFonts w:asciiTheme="minorHAnsi" w:hAnsiTheme="minorHAnsi" w:cstheme="minorHAnsi"/>
          <w:sz w:val="22"/>
          <w:szCs w:val="22"/>
        </w:rPr>
        <w:t xml:space="preserve"> period (</w:t>
      </w:r>
      <w:r w:rsidRPr="008C1665">
        <w:rPr>
          <w:rFonts w:asciiTheme="minorHAnsi" w:hAnsiTheme="minorHAnsi" w:cstheme="minorHAnsi"/>
          <w:sz w:val="22"/>
          <w:szCs w:val="22"/>
        </w:rPr>
        <w:t>March 23 to May 31, 2020</w:t>
      </w:r>
      <w:r>
        <w:rPr>
          <w:rFonts w:asciiTheme="minorHAnsi" w:hAnsiTheme="minorHAnsi" w:cstheme="minorHAnsi"/>
          <w:sz w:val="22"/>
          <w:szCs w:val="22"/>
        </w:rPr>
        <w:t>)</w:t>
      </w:r>
    </w:p>
    <w:p w14:paraId="7C3EF256" w14:textId="3E0F5CFD" w:rsidR="00812280" w:rsidRDefault="00812280" w:rsidP="00812280">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L</w:t>
      </w:r>
      <w:proofErr w:type="gramStart"/>
      <w:r w:rsidRPr="008C1665">
        <w:rPr>
          <w:rFonts w:asciiTheme="minorHAnsi" w:hAnsiTheme="minorHAnsi" w:cstheme="minorHAnsi"/>
          <w:b/>
          <w:bCs/>
          <w:sz w:val="22"/>
          <w:szCs w:val="22"/>
        </w:rPr>
        <w:t>2</w:t>
      </w:r>
      <w:r>
        <w:rPr>
          <w:rFonts w:asciiTheme="minorHAnsi" w:hAnsiTheme="minorHAnsi" w:cstheme="minorHAnsi"/>
          <w:sz w:val="22"/>
          <w:szCs w:val="22"/>
        </w:rPr>
        <w:t xml:space="preserve"> </w:t>
      </w:r>
      <w:r w:rsidRPr="008C1665">
        <w:rPr>
          <w:rFonts w:asciiTheme="minorHAnsi" w:hAnsiTheme="minorHAnsi" w:cstheme="minorHAnsi"/>
          <w:sz w:val="22"/>
          <w:szCs w:val="22"/>
        </w:rPr>
        <w:t xml:space="preserve"> Lockdown</w:t>
      </w:r>
      <w:proofErr w:type="gramEnd"/>
      <w:r w:rsidRPr="008C1665">
        <w:rPr>
          <w:rFonts w:asciiTheme="minorHAnsi" w:hAnsiTheme="minorHAnsi" w:cstheme="minorHAnsi"/>
          <w:sz w:val="22"/>
          <w:szCs w:val="22"/>
        </w:rPr>
        <w:t xml:space="preserve"> 2</w:t>
      </w:r>
      <w:r>
        <w:rPr>
          <w:rFonts w:asciiTheme="minorHAnsi" w:hAnsiTheme="minorHAnsi" w:cstheme="minorHAnsi"/>
          <w:sz w:val="22"/>
          <w:szCs w:val="22"/>
        </w:rPr>
        <w:t xml:space="preserve"> period (</w:t>
      </w:r>
      <w:r w:rsidRPr="008C1665">
        <w:rPr>
          <w:rFonts w:asciiTheme="minorHAnsi" w:hAnsiTheme="minorHAnsi" w:cstheme="minorHAnsi"/>
          <w:sz w:val="22"/>
          <w:szCs w:val="22"/>
        </w:rPr>
        <w:t>November 5, 2020 to March 7, 2021</w:t>
      </w:r>
      <w:r>
        <w:rPr>
          <w:rFonts w:asciiTheme="minorHAnsi" w:hAnsiTheme="minorHAnsi" w:cstheme="minorHAnsi"/>
          <w:sz w:val="22"/>
          <w:szCs w:val="22"/>
        </w:rPr>
        <w:t>)</w:t>
      </w:r>
    </w:p>
    <w:p w14:paraId="61DC6B5A" w14:textId="0928D11E" w:rsidR="002A0F7D" w:rsidRDefault="008C1665"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MH</w:t>
      </w:r>
      <w:r>
        <w:rPr>
          <w:rFonts w:asciiTheme="minorHAnsi" w:hAnsiTheme="minorHAnsi" w:cstheme="minorHAnsi"/>
          <w:sz w:val="22"/>
          <w:szCs w:val="22"/>
        </w:rPr>
        <w:t xml:space="preserve"> Mental health</w:t>
      </w:r>
    </w:p>
    <w:p w14:paraId="56782A6A" w14:textId="5FAFD453" w:rsidR="00FD19C5" w:rsidRPr="00FD19C5" w:rsidRDefault="00FD19C5" w:rsidP="00EC0D19">
      <w:pPr>
        <w:pStyle w:val="NormalWeb"/>
        <w:shd w:val="clear" w:color="auto" w:fill="FFFFFF"/>
        <w:spacing w:before="0" w:beforeAutospacing="0" w:after="0" w:afterAutospacing="0"/>
        <w:rPr>
          <w:rFonts w:asciiTheme="minorHAnsi" w:hAnsiTheme="minorHAnsi" w:cstheme="minorHAnsi"/>
          <w:sz w:val="20"/>
          <w:szCs w:val="20"/>
        </w:rPr>
      </w:pPr>
      <w:r w:rsidRPr="00FD19C5">
        <w:rPr>
          <w:rFonts w:asciiTheme="minorHAnsi" w:hAnsiTheme="minorHAnsi" w:cstheme="minorHAnsi"/>
          <w:b/>
          <w:bCs/>
          <w:sz w:val="22"/>
          <w:szCs w:val="22"/>
        </w:rPr>
        <w:t>NASS</w:t>
      </w:r>
      <w:r w:rsidRPr="00FD19C5">
        <w:rPr>
          <w:rFonts w:asciiTheme="minorHAnsi" w:hAnsiTheme="minorHAnsi" w:cstheme="minorHAnsi"/>
          <w:sz w:val="22"/>
          <w:szCs w:val="22"/>
        </w:rPr>
        <w:t xml:space="preserve"> National Ambulance Syndromic Surveillance System</w:t>
      </w:r>
    </w:p>
    <w:p w14:paraId="42C2F928" w14:textId="5921804B" w:rsidR="008C1665" w:rsidRPr="008C1665" w:rsidRDefault="008C1665"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NHS</w:t>
      </w:r>
      <w:r>
        <w:rPr>
          <w:rFonts w:asciiTheme="minorHAnsi" w:hAnsiTheme="minorHAnsi" w:cstheme="minorHAnsi"/>
          <w:sz w:val="22"/>
          <w:szCs w:val="22"/>
        </w:rPr>
        <w:t xml:space="preserve"> National Health Service</w:t>
      </w:r>
    </w:p>
    <w:p w14:paraId="7A8B278C" w14:textId="0077E274" w:rsidR="00BE0684" w:rsidRPr="00BE0684" w:rsidRDefault="00BE0684"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NHS</w:t>
      </w:r>
      <w:r>
        <w:rPr>
          <w:rFonts w:asciiTheme="minorHAnsi" w:hAnsiTheme="minorHAnsi" w:cstheme="minorHAnsi"/>
          <w:b/>
          <w:bCs/>
          <w:sz w:val="22"/>
          <w:szCs w:val="22"/>
        </w:rPr>
        <w:t>111</w:t>
      </w:r>
      <w:r>
        <w:rPr>
          <w:rFonts w:asciiTheme="minorHAnsi" w:hAnsiTheme="minorHAnsi" w:cstheme="minorHAnsi"/>
          <w:sz w:val="22"/>
          <w:szCs w:val="22"/>
        </w:rPr>
        <w:t xml:space="preserve"> National Health Service telephone advice service</w:t>
      </w:r>
    </w:p>
    <w:p w14:paraId="1A480EC4" w14:textId="6A7A8D49" w:rsidR="008C1665" w:rsidRDefault="008C1665"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PL1</w:t>
      </w:r>
      <w:r>
        <w:rPr>
          <w:rFonts w:asciiTheme="minorHAnsi" w:hAnsiTheme="minorHAnsi" w:cstheme="minorHAnsi"/>
          <w:sz w:val="22"/>
          <w:szCs w:val="22"/>
        </w:rPr>
        <w:t xml:space="preserve"> </w:t>
      </w:r>
      <w:r w:rsidRPr="008C1665">
        <w:rPr>
          <w:rFonts w:asciiTheme="minorHAnsi" w:hAnsiTheme="minorHAnsi" w:cstheme="minorHAnsi"/>
          <w:sz w:val="22"/>
          <w:szCs w:val="22"/>
        </w:rPr>
        <w:t xml:space="preserve"> Post Lockdown 1</w:t>
      </w:r>
      <w:r w:rsidR="00812280">
        <w:rPr>
          <w:rFonts w:asciiTheme="minorHAnsi" w:hAnsiTheme="minorHAnsi" w:cstheme="minorHAnsi"/>
          <w:sz w:val="22"/>
          <w:szCs w:val="22"/>
        </w:rPr>
        <w:t xml:space="preserve"> period (</w:t>
      </w:r>
      <w:r w:rsidRPr="008C1665">
        <w:rPr>
          <w:rFonts w:asciiTheme="minorHAnsi" w:hAnsiTheme="minorHAnsi" w:cstheme="minorHAnsi"/>
          <w:sz w:val="22"/>
          <w:szCs w:val="22"/>
        </w:rPr>
        <w:t>June 1 to November 4, 2020</w:t>
      </w:r>
      <w:r w:rsidR="00812280">
        <w:rPr>
          <w:rFonts w:asciiTheme="minorHAnsi" w:hAnsiTheme="minorHAnsi" w:cstheme="minorHAnsi"/>
          <w:sz w:val="22"/>
          <w:szCs w:val="22"/>
        </w:rPr>
        <w:t>)</w:t>
      </w:r>
    </w:p>
    <w:p w14:paraId="3860C033" w14:textId="5CA7E926" w:rsidR="008C1665" w:rsidRDefault="008C1665" w:rsidP="00EC0D19">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PL2</w:t>
      </w:r>
      <w:r w:rsidRPr="008C1665">
        <w:rPr>
          <w:rFonts w:asciiTheme="minorHAnsi" w:hAnsiTheme="minorHAnsi" w:cstheme="minorHAnsi"/>
          <w:sz w:val="22"/>
          <w:szCs w:val="22"/>
        </w:rPr>
        <w:t xml:space="preserve"> </w:t>
      </w:r>
      <w:proofErr w:type="gramStart"/>
      <w:r w:rsidRPr="008C1665">
        <w:rPr>
          <w:rFonts w:asciiTheme="minorHAnsi" w:hAnsiTheme="minorHAnsi" w:cstheme="minorHAnsi"/>
          <w:sz w:val="22"/>
          <w:szCs w:val="22"/>
        </w:rPr>
        <w:t>Post-Lockdown</w:t>
      </w:r>
      <w:proofErr w:type="gramEnd"/>
      <w:r w:rsidRPr="008C1665">
        <w:rPr>
          <w:rFonts w:asciiTheme="minorHAnsi" w:hAnsiTheme="minorHAnsi" w:cstheme="minorHAnsi"/>
          <w:sz w:val="22"/>
          <w:szCs w:val="22"/>
        </w:rPr>
        <w:t xml:space="preserve"> 2</w:t>
      </w:r>
      <w:r w:rsidR="00812280">
        <w:rPr>
          <w:rFonts w:asciiTheme="minorHAnsi" w:hAnsiTheme="minorHAnsi" w:cstheme="minorHAnsi"/>
          <w:sz w:val="22"/>
          <w:szCs w:val="22"/>
        </w:rPr>
        <w:t xml:space="preserve"> period (</w:t>
      </w:r>
      <w:r w:rsidRPr="008C1665">
        <w:rPr>
          <w:rFonts w:asciiTheme="minorHAnsi" w:hAnsiTheme="minorHAnsi" w:cstheme="minorHAnsi"/>
          <w:sz w:val="22"/>
          <w:szCs w:val="22"/>
        </w:rPr>
        <w:t>March 8 to July 7, 2021</w:t>
      </w:r>
      <w:r w:rsidR="00812280">
        <w:rPr>
          <w:rFonts w:asciiTheme="minorHAnsi" w:hAnsiTheme="minorHAnsi" w:cstheme="minorHAnsi"/>
          <w:sz w:val="22"/>
          <w:szCs w:val="22"/>
        </w:rPr>
        <w:t>)</w:t>
      </w:r>
    </w:p>
    <w:p w14:paraId="399D8C11" w14:textId="177D68C4" w:rsidR="007D661E" w:rsidRDefault="007D661E" w:rsidP="00EC0D19">
      <w:pPr>
        <w:pStyle w:val="NormalWeb"/>
        <w:shd w:val="clear" w:color="auto" w:fill="FFFFFF"/>
        <w:spacing w:before="0" w:beforeAutospacing="0" w:after="0" w:afterAutospacing="0"/>
        <w:rPr>
          <w:rFonts w:asciiTheme="minorHAnsi" w:hAnsiTheme="minorHAnsi" w:cstheme="minorHAnsi"/>
          <w:sz w:val="22"/>
          <w:szCs w:val="22"/>
        </w:rPr>
      </w:pPr>
      <w:r w:rsidRPr="007D661E">
        <w:rPr>
          <w:rFonts w:asciiTheme="minorHAnsi" w:hAnsiTheme="minorHAnsi" w:cstheme="minorHAnsi"/>
          <w:b/>
          <w:bCs/>
          <w:sz w:val="22"/>
          <w:szCs w:val="22"/>
        </w:rPr>
        <w:t>POST</w:t>
      </w:r>
      <w:r w:rsidRPr="007D661E">
        <w:rPr>
          <w:rFonts w:asciiTheme="minorHAnsi" w:hAnsiTheme="minorHAnsi" w:cstheme="minorHAnsi"/>
          <w:sz w:val="22"/>
          <w:szCs w:val="22"/>
        </w:rPr>
        <w:t xml:space="preserve"> </w:t>
      </w:r>
      <w:r>
        <w:rPr>
          <w:rFonts w:asciiTheme="minorHAnsi" w:hAnsiTheme="minorHAnsi" w:cstheme="minorHAnsi"/>
          <w:sz w:val="22"/>
          <w:szCs w:val="22"/>
        </w:rPr>
        <w:t>P</w:t>
      </w:r>
      <w:r w:rsidRPr="007D661E">
        <w:rPr>
          <w:rFonts w:asciiTheme="minorHAnsi" w:hAnsiTheme="minorHAnsi" w:cstheme="minorHAnsi"/>
          <w:sz w:val="22"/>
          <w:szCs w:val="22"/>
        </w:rPr>
        <w:t xml:space="preserve">ost-pandemic </w:t>
      </w:r>
      <w:r>
        <w:rPr>
          <w:rFonts w:asciiTheme="minorHAnsi" w:hAnsiTheme="minorHAnsi" w:cstheme="minorHAnsi"/>
          <w:sz w:val="22"/>
          <w:szCs w:val="22"/>
        </w:rPr>
        <w:t>(</w:t>
      </w:r>
      <w:r w:rsidRPr="007D661E">
        <w:rPr>
          <w:rFonts w:asciiTheme="minorHAnsi" w:hAnsiTheme="minorHAnsi" w:cstheme="minorHAnsi"/>
          <w:sz w:val="22"/>
          <w:szCs w:val="22"/>
        </w:rPr>
        <w:t xml:space="preserve">July 19, 2021 to April 20, 2022) </w:t>
      </w:r>
    </w:p>
    <w:p w14:paraId="0AD68839" w14:textId="7FD2720A" w:rsidR="006E2655" w:rsidRPr="006E2655" w:rsidRDefault="006E2655" w:rsidP="00EC0D19">
      <w:pPr>
        <w:pStyle w:val="NormalWeb"/>
        <w:shd w:val="clear" w:color="auto" w:fill="FFFFFF"/>
        <w:spacing w:before="0" w:beforeAutospacing="0" w:after="0" w:afterAutospacing="0"/>
        <w:rPr>
          <w:rFonts w:asciiTheme="minorHAnsi" w:hAnsiTheme="minorHAnsi" w:cstheme="minorHAnsi"/>
          <w:sz w:val="22"/>
          <w:szCs w:val="22"/>
        </w:rPr>
      </w:pPr>
      <w:r w:rsidRPr="006E2655">
        <w:rPr>
          <w:rFonts w:asciiTheme="minorHAnsi" w:hAnsiTheme="minorHAnsi" w:cstheme="minorHAnsi"/>
          <w:b/>
          <w:bCs/>
          <w:sz w:val="22"/>
          <w:szCs w:val="22"/>
        </w:rPr>
        <w:t>PRE</w:t>
      </w:r>
      <w:r w:rsidRPr="006E2655">
        <w:rPr>
          <w:rFonts w:asciiTheme="minorHAnsi" w:hAnsiTheme="minorHAnsi" w:cstheme="minorHAnsi"/>
          <w:sz w:val="22"/>
          <w:szCs w:val="22"/>
        </w:rPr>
        <w:t xml:space="preserve"> </w:t>
      </w:r>
      <w:r>
        <w:rPr>
          <w:rFonts w:asciiTheme="minorHAnsi" w:hAnsiTheme="minorHAnsi" w:cstheme="minorHAnsi"/>
          <w:sz w:val="22"/>
          <w:szCs w:val="22"/>
        </w:rPr>
        <w:t>P</w:t>
      </w:r>
      <w:r w:rsidRPr="006E2655">
        <w:rPr>
          <w:rFonts w:asciiTheme="minorHAnsi" w:hAnsiTheme="minorHAnsi" w:cstheme="minorHAnsi"/>
          <w:sz w:val="22"/>
          <w:szCs w:val="22"/>
        </w:rPr>
        <w:t>re-</w:t>
      </w:r>
      <w:proofErr w:type="gramStart"/>
      <w:r w:rsidRPr="006E2655">
        <w:rPr>
          <w:rFonts w:asciiTheme="minorHAnsi" w:hAnsiTheme="minorHAnsi" w:cstheme="minorHAnsi"/>
          <w:sz w:val="22"/>
          <w:szCs w:val="22"/>
        </w:rPr>
        <w:t>pandemic</w:t>
      </w:r>
      <w:r>
        <w:rPr>
          <w:rFonts w:asciiTheme="minorHAnsi" w:hAnsiTheme="minorHAnsi" w:cstheme="minorHAnsi"/>
          <w:sz w:val="22"/>
          <w:szCs w:val="22"/>
        </w:rPr>
        <w:t xml:space="preserve">  (</w:t>
      </w:r>
      <w:proofErr w:type="gramEnd"/>
      <w:r w:rsidRPr="006E2655">
        <w:rPr>
          <w:rFonts w:asciiTheme="minorHAnsi" w:hAnsiTheme="minorHAnsi" w:cstheme="minorHAnsi"/>
          <w:sz w:val="22"/>
          <w:szCs w:val="22"/>
        </w:rPr>
        <w:t>January 1, 2019 to February 24, 2020)</w:t>
      </w:r>
    </w:p>
    <w:p w14:paraId="26854687" w14:textId="77777777" w:rsidR="00331BB1" w:rsidRDefault="00331BB1" w:rsidP="00331BB1">
      <w:pPr>
        <w:pStyle w:val="NormalWeb"/>
        <w:shd w:val="clear" w:color="auto" w:fill="FFFFFF"/>
        <w:spacing w:before="0" w:beforeAutospacing="0" w:after="0" w:afterAutospacing="0"/>
        <w:rPr>
          <w:rFonts w:asciiTheme="minorHAnsi" w:hAnsiTheme="minorHAnsi" w:cstheme="minorHAnsi"/>
          <w:sz w:val="22"/>
          <w:szCs w:val="22"/>
        </w:rPr>
      </w:pPr>
      <w:r w:rsidRPr="008C1665">
        <w:rPr>
          <w:rFonts w:asciiTheme="minorHAnsi" w:hAnsiTheme="minorHAnsi" w:cstheme="minorHAnsi"/>
          <w:b/>
          <w:bCs/>
          <w:sz w:val="22"/>
          <w:szCs w:val="22"/>
        </w:rPr>
        <w:t>PRL1</w:t>
      </w:r>
      <w:r>
        <w:rPr>
          <w:rFonts w:asciiTheme="minorHAnsi" w:hAnsiTheme="minorHAnsi" w:cstheme="minorHAnsi"/>
          <w:sz w:val="22"/>
          <w:szCs w:val="22"/>
        </w:rPr>
        <w:t xml:space="preserve"> </w:t>
      </w:r>
      <w:r w:rsidRPr="008C1665">
        <w:rPr>
          <w:rFonts w:asciiTheme="minorHAnsi" w:hAnsiTheme="minorHAnsi" w:cstheme="minorHAnsi"/>
          <w:sz w:val="22"/>
          <w:szCs w:val="22"/>
        </w:rPr>
        <w:t xml:space="preserve"> Pre-lockdown 1</w:t>
      </w:r>
      <w:r>
        <w:rPr>
          <w:rFonts w:asciiTheme="minorHAnsi" w:hAnsiTheme="minorHAnsi" w:cstheme="minorHAnsi"/>
          <w:sz w:val="22"/>
          <w:szCs w:val="22"/>
        </w:rPr>
        <w:t xml:space="preserve"> period (</w:t>
      </w:r>
      <w:r w:rsidRPr="008C1665">
        <w:rPr>
          <w:rFonts w:asciiTheme="minorHAnsi" w:hAnsiTheme="minorHAnsi" w:cstheme="minorHAnsi"/>
          <w:sz w:val="22"/>
          <w:szCs w:val="22"/>
        </w:rPr>
        <w:t>February 25 to March 22, 2020</w:t>
      </w:r>
      <w:r>
        <w:rPr>
          <w:rFonts w:asciiTheme="minorHAnsi" w:hAnsiTheme="minorHAnsi" w:cstheme="minorHAnsi"/>
          <w:sz w:val="22"/>
          <w:szCs w:val="22"/>
        </w:rPr>
        <w:t>)</w:t>
      </w:r>
    </w:p>
    <w:p w14:paraId="427ABCA8" w14:textId="628651C9" w:rsidR="009E3383" w:rsidRDefault="009E3383" w:rsidP="00331BB1">
      <w:pPr>
        <w:pStyle w:val="NormalWeb"/>
        <w:shd w:val="clear" w:color="auto" w:fill="FFFFFF"/>
        <w:spacing w:before="0" w:beforeAutospacing="0" w:after="0" w:afterAutospacing="0"/>
        <w:rPr>
          <w:rFonts w:asciiTheme="minorHAnsi" w:hAnsiTheme="minorHAnsi" w:cstheme="minorBidi"/>
          <w:sz w:val="22"/>
          <w:szCs w:val="22"/>
        </w:rPr>
      </w:pPr>
      <w:r w:rsidRPr="009E3383">
        <w:rPr>
          <w:rFonts w:asciiTheme="minorHAnsi" w:hAnsiTheme="minorHAnsi" w:cstheme="minorBidi"/>
          <w:b/>
          <w:bCs/>
          <w:sz w:val="22"/>
          <w:szCs w:val="22"/>
        </w:rPr>
        <w:t>RSC</w:t>
      </w:r>
      <w:r>
        <w:rPr>
          <w:rFonts w:asciiTheme="minorHAnsi" w:hAnsiTheme="minorHAnsi" w:cstheme="minorBidi"/>
          <w:sz w:val="22"/>
          <w:szCs w:val="22"/>
        </w:rPr>
        <w:t xml:space="preserve"> Oxford-RCGP Research and Surveillance Centre</w:t>
      </w:r>
    </w:p>
    <w:p w14:paraId="624F1A63" w14:textId="38FD2182" w:rsidR="0059322D" w:rsidRPr="00321827" w:rsidRDefault="0059322D" w:rsidP="00331BB1">
      <w:pPr>
        <w:pStyle w:val="NormalWeb"/>
        <w:shd w:val="clear" w:color="auto" w:fill="FFFFFF"/>
        <w:spacing w:before="0" w:beforeAutospacing="0" w:after="0" w:afterAutospacing="0"/>
        <w:rPr>
          <w:rFonts w:asciiTheme="minorHAnsi" w:hAnsiTheme="minorHAnsi" w:cstheme="minorHAnsi"/>
          <w:sz w:val="22"/>
          <w:szCs w:val="22"/>
        </w:rPr>
      </w:pPr>
      <w:r w:rsidRPr="00321827">
        <w:rPr>
          <w:rFonts w:asciiTheme="minorHAnsi" w:hAnsiTheme="minorHAnsi" w:cstheme="minorHAnsi"/>
          <w:b/>
          <w:bCs/>
          <w:sz w:val="22"/>
          <w:szCs w:val="22"/>
        </w:rPr>
        <w:t>SNOMED</w:t>
      </w:r>
      <w:r w:rsidR="00321827" w:rsidRPr="00321827">
        <w:rPr>
          <w:rFonts w:asciiTheme="minorHAnsi" w:hAnsiTheme="minorHAnsi" w:cstheme="minorHAnsi"/>
          <w:b/>
          <w:bCs/>
          <w:sz w:val="22"/>
          <w:szCs w:val="22"/>
        </w:rPr>
        <w:t xml:space="preserve"> </w:t>
      </w:r>
      <w:r w:rsidR="00321827" w:rsidRPr="00321827">
        <w:rPr>
          <w:rFonts w:asciiTheme="minorHAnsi" w:hAnsiTheme="minorHAnsi" w:cstheme="minorHAnsi"/>
          <w:sz w:val="22"/>
          <w:szCs w:val="22"/>
        </w:rPr>
        <w:t xml:space="preserve"> Systematized Nomenclature of Medicine</w:t>
      </w:r>
    </w:p>
    <w:p w14:paraId="07D1A057" w14:textId="3C33C4A4" w:rsidR="00BE0684" w:rsidRPr="00BE0684" w:rsidRDefault="00BE0684" w:rsidP="00EC0D19">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 xml:space="preserve">SSS </w:t>
      </w:r>
      <w:r>
        <w:rPr>
          <w:rFonts w:asciiTheme="minorHAnsi" w:hAnsiTheme="minorHAnsi" w:cstheme="minorHAnsi"/>
          <w:sz w:val="22"/>
          <w:szCs w:val="22"/>
        </w:rPr>
        <w:t>S</w:t>
      </w:r>
      <w:r w:rsidRPr="00BE0684">
        <w:rPr>
          <w:rFonts w:asciiTheme="minorHAnsi" w:hAnsiTheme="minorHAnsi" w:cstheme="minorHAnsi"/>
          <w:sz w:val="22"/>
          <w:szCs w:val="22"/>
        </w:rPr>
        <w:t>yndromic surveillance system</w:t>
      </w:r>
    </w:p>
    <w:p w14:paraId="4C0FF093" w14:textId="7A075EED" w:rsidR="002A0F7D" w:rsidRPr="00A17146" w:rsidRDefault="00A17146" w:rsidP="00EC0D19">
      <w:pPr>
        <w:pStyle w:val="NormalWeb"/>
        <w:shd w:val="clear" w:color="auto" w:fill="FFFFFF"/>
        <w:spacing w:before="0" w:beforeAutospacing="0" w:after="0" w:afterAutospacing="0"/>
        <w:rPr>
          <w:rFonts w:asciiTheme="minorHAnsi" w:hAnsiTheme="minorHAnsi" w:cstheme="minorHAnsi"/>
          <w:sz w:val="22"/>
          <w:szCs w:val="22"/>
        </w:rPr>
      </w:pPr>
      <w:r w:rsidRPr="00A17146">
        <w:rPr>
          <w:rFonts w:asciiTheme="minorHAnsi" w:hAnsiTheme="minorHAnsi" w:cstheme="minorHAnsi"/>
          <w:b/>
          <w:bCs/>
          <w:sz w:val="22"/>
          <w:szCs w:val="22"/>
        </w:rPr>
        <w:t>UKHSA</w:t>
      </w:r>
      <w:r w:rsidRPr="00A17146">
        <w:rPr>
          <w:rFonts w:asciiTheme="minorHAnsi" w:hAnsiTheme="minorHAnsi" w:cstheme="minorHAnsi"/>
          <w:sz w:val="22"/>
          <w:szCs w:val="22"/>
        </w:rPr>
        <w:t xml:space="preserve">  United Kingdom Health Security Agency</w:t>
      </w:r>
    </w:p>
    <w:p w14:paraId="312BC593" w14:textId="77777777" w:rsidR="002A0F7D" w:rsidRDefault="002A0F7D" w:rsidP="00EC0D19">
      <w:pPr>
        <w:pStyle w:val="NormalWeb"/>
        <w:shd w:val="clear" w:color="auto" w:fill="FFFFFF"/>
        <w:spacing w:before="0" w:beforeAutospacing="0" w:after="0" w:afterAutospacing="0"/>
        <w:rPr>
          <w:rFonts w:asciiTheme="minorHAnsi" w:hAnsiTheme="minorHAnsi" w:cstheme="minorHAnsi"/>
        </w:rPr>
      </w:pPr>
    </w:p>
    <w:p w14:paraId="582CA4A1"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006062B8"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03B2AC26"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514DCE3B"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235A1AE1"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0F67AEC1"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1DC80760"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40CCD29C"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1DC62701"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1FDFCA91"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0A555C19"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2896D300"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797D6997"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0E84A5FF"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7C8A3EF3"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6D2AC453"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3F3D2903"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4A7B0CF5"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1C8E5D16"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39947121"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2E29EC6F"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1997091B"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410C44CA"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3CEA067C" w14:textId="77777777" w:rsidR="00483ECC" w:rsidRDefault="00483ECC" w:rsidP="00EC0D19">
      <w:pPr>
        <w:pStyle w:val="NormalWeb"/>
        <w:shd w:val="clear" w:color="auto" w:fill="FFFFFF"/>
        <w:spacing w:before="0" w:beforeAutospacing="0" w:after="0" w:afterAutospacing="0"/>
        <w:rPr>
          <w:rFonts w:asciiTheme="minorHAnsi" w:hAnsiTheme="minorHAnsi" w:cstheme="minorHAnsi"/>
        </w:rPr>
      </w:pPr>
    </w:p>
    <w:p w14:paraId="3951A4E7" w14:textId="77777777" w:rsidR="00483ECC" w:rsidRPr="00B35939" w:rsidRDefault="00483ECC" w:rsidP="00483ECC">
      <w:pPr>
        <w:keepNext/>
        <w:keepLines/>
        <w:spacing w:after="0" w:line="240" w:lineRule="auto"/>
        <w:outlineLvl w:val="1"/>
        <w:rPr>
          <w:rFonts w:asciiTheme="majorHAnsi" w:eastAsiaTheme="majorEastAsia" w:hAnsiTheme="majorHAnsi" w:cstheme="majorBidi"/>
          <w:b/>
          <w:bCs/>
          <w:sz w:val="26"/>
          <w:szCs w:val="26"/>
        </w:rPr>
      </w:pPr>
      <w:r w:rsidRPr="00B35939">
        <w:rPr>
          <w:rFonts w:asciiTheme="majorHAnsi" w:eastAsiaTheme="majorEastAsia" w:hAnsiTheme="majorHAnsi" w:cstheme="majorBidi"/>
          <w:b/>
          <w:bCs/>
          <w:sz w:val="26"/>
          <w:szCs w:val="26"/>
        </w:rPr>
        <w:lastRenderedPageBreak/>
        <w:t>Declarations</w:t>
      </w:r>
    </w:p>
    <w:p w14:paraId="0C2FF4FB" w14:textId="77777777" w:rsidR="00483ECC" w:rsidRPr="00483ECC" w:rsidRDefault="00483ECC" w:rsidP="00483ECC">
      <w:pPr>
        <w:spacing w:after="0" w:line="240" w:lineRule="auto"/>
        <w:rPr>
          <w:rFonts w:cstheme="minorHAnsi"/>
        </w:rPr>
      </w:pPr>
    </w:p>
    <w:p w14:paraId="26D60A77" w14:textId="3711EED6" w:rsidR="00483ECC" w:rsidRPr="00E3551B" w:rsidRDefault="00483ECC" w:rsidP="00483ECC">
      <w:pPr>
        <w:spacing w:after="0" w:line="240" w:lineRule="auto"/>
        <w:rPr>
          <w:rFonts w:cstheme="minorHAnsi"/>
          <w:b/>
          <w:bCs/>
        </w:rPr>
      </w:pPr>
      <w:r w:rsidRPr="00E3551B">
        <w:rPr>
          <w:rFonts w:cstheme="minorHAnsi"/>
          <w:b/>
          <w:bCs/>
        </w:rPr>
        <w:t xml:space="preserve">Author </w:t>
      </w:r>
      <w:r w:rsidR="001934C3">
        <w:rPr>
          <w:rFonts w:cstheme="minorHAnsi"/>
          <w:b/>
          <w:bCs/>
        </w:rPr>
        <w:t>C</w:t>
      </w:r>
      <w:r w:rsidRPr="00E3551B">
        <w:rPr>
          <w:rFonts w:cstheme="minorHAnsi"/>
          <w:b/>
          <w:bCs/>
        </w:rPr>
        <w:t>ontributions</w:t>
      </w:r>
    </w:p>
    <w:p w14:paraId="7C5C436E" w14:textId="4E0AF19E" w:rsidR="00483ECC" w:rsidRPr="00E3551B" w:rsidRDefault="00483ECC" w:rsidP="00483ECC">
      <w:pPr>
        <w:spacing w:after="0" w:line="240" w:lineRule="auto"/>
        <w:rPr>
          <w:rFonts w:cstheme="minorHAnsi"/>
          <w:sz w:val="20"/>
          <w:szCs w:val="20"/>
        </w:rPr>
      </w:pPr>
      <w:r w:rsidRPr="00E3551B">
        <w:rPr>
          <w:rFonts w:cstheme="minorHAnsi"/>
          <w:sz w:val="20"/>
          <w:szCs w:val="20"/>
        </w:rPr>
        <w:t xml:space="preserve">CR, GES, </w:t>
      </w:r>
      <w:proofErr w:type="spellStart"/>
      <w:r w:rsidRPr="00E3551B">
        <w:rPr>
          <w:rFonts w:cstheme="minorHAnsi"/>
          <w:sz w:val="20"/>
          <w:szCs w:val="20"/>
        </w:rPr>
        <w:t>SdeL</w:t>
      </w:r>
      <w:proofErr w:type="spellEnd"/>
      <w:r w:rsidRPr="00E3551B">
        <w:rPr>
          <w:rFonts w:cstheme="minorHAnsi"/>
          <w:sz w:val="20"/>
          <w:szCs w:val="20"/>
        </w:rPr>
        <w:t>, AJE and IRL conceived the study. SEH, and JB extracted data. CR performed the data analysis under guidance from IRL, FCG, UH, and SEH.  CR, JB and IRL wrote the first draft of the manuscript. All authors contributed to revision of the final version of the manuscript, and approved the final version submitted.</w:t>
      </w:r>
      <w:r w:rsidRPr="00E3551B">
        <w:rPr>
          <w:rFonts w:cstheme="minorHAnsi"/>
        </w:rPr>
        <w:t xml:space="preserve">  </w:t>
      </w:r>
      <w:r w:rsidRPr="00E3551B">
        <w:rPr>
          <w:rFonts w:cstheme="minorHAnsi"/>
          <w:sz w:val="20"/>
          <w:szCs w:val="20"/>
        </w:rPr>
        <w:t>The corresponding author attests that all listed authors take responsibility for the study and all meet authorship criteria and that no one meeting authorship criteria ha</w:t>
      </w:r>
      <w:r w:rsidR="00D959ED">
        <w:rPr>
          <w:rFonts w:cstheme="minorHAnsi"/>
          <w:sz w:val="20"/>
          <w:szCs w:val="20"/>
        </w:rPr>
        <w:t>s</w:t>
      </w:r>
      <w:r w:rsidRPr="00E3551B">
        <w:rPr>
          <w:rFonts w:cstheme="minorHAnsi"/>
          <w:sz w:val="20"/>
          <w:szCs w:val="20"/>
        </w:rPr>
        <w:t xml:space="preserve"> been omitted.</w:t>
      </w:r>
    </w:p>
    <w:p w14:paraId="7A93C8BF" w14:textId="77777777" w:rsidR="00483ECC" w:rsidRPr="00E3551B" w:rsidRDefault="00483ECC" w:rsidP="00483ECC">
      <w:pPr>
        <w:spacing w:after="0" w:line="240" w:lineRule="auto"/>
        <w:rPr>
          <w:rFonts w:cstheme="minorHAnsi"/>
        </w:rPr>
      </w:pPr>
    </w:p>
    <w:p w14:paraId="34E5DC20" w14:textId="09104CC0" w:rsidR="00483ECC" w:rsidRPr="00E3551B" w:rsidRDefault="00483ECC" w:rsidP="00483ECC">
      <w:pPr>
        <w:spacing w:after="0" w:line="240" w:lineRule="auto"/>
        <w:rPr>
          <w:rFonts w:cstheme="minorHAnsi"/>
          <w:b/>
          <w:bCs/>
        </w:rPr>
      </w:pPr>
      <w:r w:rsidRPr="00E3551B">
        <w:rPr>
          <w:rFonts w:cstheme="minorHAnsi"/>
          <w:b/>
          <w:bCs/>
        </w:rPr>
        <w:t>Co</w:t>
      </w:r>
      <w:r w:rsidR="0095341A">
        <w:rPr>
          <w:rFonts w:cstheme="minorHAnsi"/>
          <w:b/>
          <w:bCs/>
        </w:rPr>
        <w:t>mpeting Interests</w:t>
      </w:r>
    </w:p>
    <w:p w14:paraId="713A7F1B" w14:textId="77777777" w:rsidR="00483ECC" w:rsidRPr="00E3551B" w:rsidRDefault="00483ECC" w:rsidP="00483ECC">
      <w:pPr>
        <w:shd w:val="clear" w:color="auto" w:fill="FFFFFF"/>
        <w:spacing w:after="0" w:line="240" w:lineRule="auto"/>
        <w:rPr>
          <w:rFonts w:eastAsia="Times New Roman" w:cstheme="minorHAnsi"/>
          <w:color w:val="FF0000"/>
          <w:kern w:val="0"/>
          <w:sz w:val="21"/>
          <w:szCs w:val="21"/>
          <w:lang w:eastAsia="en-GB"/>
        </w:rPr>
      </w:pPr>
      <w:proofErr w:type="spellStart"/>
      <w:r w:rsidRPr="00E3551B">
        <w:rPr>
          <w:rFonts w:eastAsia="Times New Roman" w:cstheme="minorHAnsi"/>
          <w:color w:val="212121"/>
          <w:kern w:val="0"/>
          <w:sz w:val="21"/>
          <w:szCs w:val="21"/>
          <w:shd w:val="clear" w:color="auto" w:fill="FFFFFF"/>
          <w:lang w:eastAsia="en-GB"/>
        </w:rPr>
        <w:t>SdeL</w:t>
      </w:r>
      <w:proofErr w:type="spellEnd"/>
      <w:r w:rsidRPr="00E3551B">
        <w:rPr>
          <w:rFonts w:eastAsia="Times New Roman" w:cstheme="minorHAnsi"/>
          <w:color w:val="212121"/>
          <w:kern w:val="0"/>
          <w:sz w:val="21"/>
          <w:szCs w:val="21"/>
          <w:shd w:val="clear" w:color="auto" w:fill="FFFFFF"/>
          <w:lang w:eastAsia="en-GB"/>
        </w:rPr>
        <w:t xml:space="preserve"> is the Director of the Oxford-Royal College of General Practitioners (RCGP) Research and Surveillance Centre (RSC) who provided the GP in hours data.  No other authors have a role that might be construed as a conflict of interest.</w:t>
      </w:r>
    </w:p>
    <w:p w14:paraId="6C2B1396" w14:textId="77777777" w:rsidR="00483ECC" w:rsidRPr="00E3551B" w:rsidRDefault="00483ECC" w:rsidP="00483ECC">
      <w:pPr>
        <w:spacing w:after="0" w:line="240" w:lineRule="auto"/>
        <w:rPr>
          <w:rFonts w:cstheme="minorHAnsi"/>
          <w:color w:val="FF0000"/>
          <w:sz w:val="21"/>
          <w:szCs w:val="21"/>
          <w:shd w:val="clear" w:color="auto" w:fill="FFFFFF"/>
        </w:rPr>
      </w:pPr>
      <w:r w:rsidRPr="00E3551B">
        <w:rPr>
          <w:rFonts w:cstheme="minorHAnsi"/>
          <w:color w:val="FF0000"/>
          <w:sz w:val="21"/>
          <w:szCs w:val="21"/>
          <w:shd w:val="clear" w:color="auto" w:fill="FFFFFF"/>
        </w:rPr>
        <w:t>‎</w:t>
      </w:r>
    </w:p>
    <w:p w14:paraId="4B9B472B" w14:textId="3B22BAF7" w:rsidR="00483ECC" w:rsidRPr="00E3551B" w:rsidRDefault="00483ECC" w:rsidP="00483ECC">
      <w:pPr>
        <w:spacing w:after="0" w:line="240" w:lineRule="auto"/>
        <w:rPr>
          <w:rFonts w:cstheme="minorHAnsi"/>
          <w:b/>
          <w:shd w:val="clear" w:color="auto" w:fill="FFFFFF"/>
        </w:rPr>
      </w:pPr>
      <w:r w:rsidRPr="00E3551B">
        <w:rPr>
          <w:rFonts w:cstheme="minorHAnsi"/>
          <w:b/>
          <w:shd w:val="clear" w:color="auto" w:fill="FFFFFF"/>
        </w:rPr>
        <w:t xml:space="preserve">Data </w:t>
      </w:r>
      <w:r w:rsidR="001934C3">
        <w:rPr>
          <w:rFonts w:cstheme="minorHAnsi"/>
          <w:b/>
          <w:shd w:val="clear" w:color="auto" w:fill="FFFFFF"/>
        </w:rPr>
        <w:t>A</w:t>
      </w:r>
      <w:r w:rsidRPr="00E3551B">
        <w:rPr>
          <w:rFonts w:cstheme="minorHAnsi"/>
          <w:b/>
          <w:shd w:val="clear" w:color="auto" w:fill="FFFFFF"/>
        </w:rPr>
        <w:t>vailability</w:t>
      </w:r>
    </w:p>
    <w:p w14:paraId="1F062932" w14:textId="77777777" w:rsidR="00483ECC" w:rsidRPr="00E3551B" w:rsidRDefault="00483ECC" w:rsidP="00483ECC">
      <w:pPr>
        <w:spacing w:after="0" w:line="240" w:lineRule="auto"/>
        <w:rPr>
          <w:rFonts w:cstheme="minorHAnsi"/>
          <w:sz w:val="21"/>
          <w:szCs w:val="21"/>
          <w:shd w:val="clear" w:color="auto" w:fill="FFFFFF"/>
        </w:rPr>
      </w:pPr>
      <w:r w:rsidRPr="00E3551B">
        <w:rPr>
          <w:rFonts w:cstheme="minorHAnsi"/>
        </w:rPr>
        <w:t xml:space="preserve">Applications for requests to access UKHSA-held anonymised data should be submitted to </w:t>
      </w:r>
      <w:hyperlink r:id="rId17">
        <w:r w:rsidRPr="00E3551B">
          <w:rPr>
            <w:rFonts w:cstheme="minorHAnsi"/>
            <w:color w:val="0000FF"/>
            <w:u w:val="single"/>
          </w:rPr>
          <w:t>https://www.gov.uk/government/publications/accessing-ukhsa-protected-data</w:t>
        </w:r>
      </w:hyperlink>
      <w:r w:rsidRPr="00E3551B">
        <w:rPr>
          <w:rFonts w:cstheme="minorHAnsi"/>
        </w:rPr>
        <w:t xml:space="preserve">. Requests for access to the Oxford-Royal College of General Practitioners Clinical Informatics Digital Hub (ORCHID) sentinel network data can be made through the Primary Care Hosted Research Datasets Independent Scientific Committee: </w:t>
      </w:r>
      <w:r w:rsidRPr="00E3551B">
        <w:rPr>
          <w:rFonts w:cstheme="minorHAnsi"/>
          <w:sz w:val="21"/>
          <w:szCs w:val="21"/>
          <w:shd w:val="clear" w:color="auto" w:fill="FFFFFF"/>
        </w:rPr>
        <w:t>www.phc.ox.ac.uk/intranet/better-workplace-groups-committees-open-meetings/primdisc-committee-1/primdisc-committee.</w:t>
      </w:r>
    </w:p>
    <w:p w14:paraId="4A671E35" w14:textId="77777777" w:rsidR="00483ECC" w:rsidRPr="00E3551B" w:rsidRDefault="00483ECC" w:rsidP="00483ECC">
      <w:pPr>
        <w:spacing w:after="0" w:line="240" w:lineRule="auto"/>
        <w:rPr>
          <w:rFonts w:cstheme="minorHAnsi"/>
          <w:color w:val="FF0000"/>
          <w:sz w:val="21"/>
          <w:szCs w:val="21"/>
          <w:shd w:val="clear" w:color="auto" w:fill="FFFFFF"/>
        </w:rPr>
      </w:pPr>
    </w:p>
    <w:p w14:paraId="0CAD6F8C" w14:textId="77777777" w:rsidR="007F7CD0" w:rsidRDefault="001934C3" w:rsidP="00483ECC">
      <w:pPr>
        <w:spacing w:after="0" w:line="240" w:lineRule="auto"/>
        <w:rPr>
          <w:rFonts w:cstheme="minorHAnsi"/>
        </w:rPr>
      </w:pPr>
      <w:r w:rsidRPr="001934C3">
        <w:rPr>
          <w:rFonts w:cstheme="minorHAnsi"/>
          <w:b/>
          <w:bCs/>
        </w:rPr>
        <w:t xml:space="preserve">Ethics </w:t>
      </w:r>
      <w:r>
        <w:rPr>
          <w:rFonts w:cstheme="minorHAnsi"/>
          <w:b/>
          <w:bCs/>
        </w:rPr>
        <w:t>A</w:t>
      </w:r>
      <w:r w:rsidRPr="001934C3">
        <w:rPr>
          <w:rFonts w:cstheme="minorHAnsi"/>
          <w:b/>
          <w:bCs/>
        </w:rPr>
        <w:t xml:space="preserve">pproval and </w:t>
      </w:r>
      <w:r>
        <w:rPr>
          <w:rFonts w:cstheme="minorHAnsi"/>
          <w:b/>
          <w:bCs/>
        </w:rPr>
        <w:t>C</w:t>
      </w:r>
      <w:r w:rsidRPr="001934C3">
        <w:rPr>
          <w:rFonts w:cstheme="minorHAnsi"/>
          <w:b/>
          <w:bCs/>
        </w:rPr>
        <w:t xml:space="preserve">onsent to </w:t>
      </w:r>
      <w:r>
        <w:rPr>
          <w:rFonts w:cstheme="minorHAnsi"/>
          <w:b/>
          <w:bCs/>
        </w:rPr>
        <w:t>P</w:t>
      </w:r>
      <w:r w:rsidRPr="001934C3">
        <w:rPr>
          <w:rFonts w:cstheme="minorHAnsi"/>
          <w:b/>
          <w:bCs/>
        </w:rPr>
        <w:t>articipate</w:t>
      </w:r>
    </w:p>
    <w:p w14:paraId="242B60B8" w14:textId="749D1710" w:rsidR="00483ECC" w:rsidRDefault="001934C3" w:rsidP="00483ECC">
      <w:pPr>
        <w:spacing w:after="0" w:line="240" w:lineRule="auto"/>
        <w:rPr>
          <w:rFonts w:cstheme="minorHAnsi"/>
        </w:rPr>
      </w:pPr>
      <w:r w:rsidRPr="001934C3">
        <w:rPr>
          <w:rFonts w:cstheme="minorHAnsi"/>
        </w:rPr>
        <w:t>This study was approved by the Primary Care Hosted Research Datasets Independent Scientific Committee (</w:t>
      </w:r>
      <w:proofErr w:type="spellStart"/>
      <w:r w:rsidRPr="001934C3">
        <w:rPr>
          <w:rFonts w:cstheme="minorHAnsi"/>
        </w:rPr>
        <w:t>PrimDISC</w:t>
      </w:r>
      <w:proofErr w:type="spellEnd"/>
      <w:r w:rsidRPr="001934C3">
        <w:rPr>
          <w:rFonts w:cstheme="minorHAnsi"/>
        </w:rPr>
        <w:t xml:space="preserve">), an independent ethics committee responsible for peer review of research protocols involving patient data under its remit. </w:t>
      </w:r>
      <w:proofErr w:type="spellStart"/>
      <w:r w:rsidRPr="001934C3">
        <w:rPr>
          <w:rFonts w:cstheme="minorHAnsi"/>
        </w:rPr>
        <w:t>PrimDISC</w:t>
      </w:r>
      <w:proofErr w:type="spellEnd"/>
      <w:r w:rsidRPr="001934C3">
        <w:rPr>
          <w:rFonts w:cstheme="minorHAnsi"/>
        </w:rPr>
        <w:t xml:space="preserve"> evaluates the scientific merit (including medical, epidemiological, and methodological rigor) of proposed studies to ensure ethical and appropriate use of data.</w:t>
      </w:r>
      <w:r>
        <w:rPr>
          <w:rFonts w:cstheme="minorHAnsi"/>
        </w:rPr>
        <w:t xml:space="preserve"> Informed consent to participate was not obtained from the participants from this study as t</w:t>
      </w:r>
      <w:r w:rsidRPr="001934C3">
        <w:rPr>
          <w:rFonts w:cstheme="minorHAnsi"/>
        </w:rPr>
        <w:t>he UKHSA has access to and presumptive authorisation to process and report in aggregate from a range of data sources under regulation 3 (Health Protection) of the Health Service (Control of Patient Information) Regulation 2002.</w:t>
      </w:r>
      <w:r>
        <w:rPr>
          <w:rFonts w:cstheme="minorHAnsi"/>
        </w:rPr>
        <w:t xml:space="preserve"> Furthermore, the research in this study was carried out in compliance with the Helsinki Declaration. </w:t>
      </w:r>
    </w:p>
    <w:p w14:paraId="6C92FE42" w14:textId="77777777" w:rsidR="001934C3" w:rsidRPr="00E3551B" w:rsidRDefault="001934C3" w:rsidP="00483ECC">
      <w:pPr>
        <w:spacing w:after="0" w:line="240" w:lineRule="auto"/>
        <w:rPr>
          <w:rFonts w:cstheme="minorHAnsi"/>
        </w:rPr>
      </w:pPr>
    </w:p>
    <w:p w14:paraId="02880160" w14:textId="1B03A134" w:rsidR="00483ECC" w:rsidRPr="00E3551B" w:rsidRDefault="00483ECC" w:rsidP="00483ECC">
      <w:pPr>
        <w:spacing w:after="0" w:line="240" w:lineRule="auto"/>
        <w:rPr>
          <w:rFonts w:cstheme="minorHAnsi"/>
        </w:rPr>
      </w:pPr>
      <w:r w:rsidRPr="00E3551B">
        <w:rPr>
          <w:rFonts w:cstheme="minorHAnsi"/>
          <w:b/>
          <w:bCs/>
        </w:rPr>
        <w:t>Consent for Publication:</w:t>
      </w:r>
      <w:r w:rsidRPr="00E3551B">
        <w:rPr>
          <w:rFonts w:cstheme="minorHAnsi"/>
        </w:rPr>
        <w:t xml:space="preserve"> Not applicable</w:t>
      </w:r>
    </w:p>
    <w:p w14:paraId="76A02E98" w14:textId="77777777" w:rsidR="00483ECC" w:rsidRPr="00E3551B" w:rsidRDefault="00483ECC" w:rsidP="00483ECC">
      <w:pPr>
        <w:spacing w:after="0" w:line="240" w:lineRule="auto"/>
        <w:rPr>
          <w:rFonts w:cstheme="minorHAnsi"/>
          <w:color w:val="FF0000"/>
          <w:sz w:val="21"/>
          <w:szCs w:val="21"/>
          <w:shd w:val="clear" w:color="auto" w:fill="FFFFFF"/>
        </w:rPr>
      </w:pPr>
    </w:p>
    <w:p w14:paraId="7A28716E" w14:textId="77777777" w:rsidR="00483ECC" w:rsidRPr="00E3551B" w:rsidRDefault="00483ECC" w:rsidP="00483ECC">
      <w:pPr>
        <w:spacing w:after="0" w:line="240" w:lineRule="auto"/>
        <w:rPr>
          <w:rFonts w:cstheme="minorHAnsi"/>
          <w:color w:val="FF0000"/>
          <w:sz w:val="20"/>
          <w:szCs w:val="20"/>
          <w:shd w:val="clear" w:color="auto" w:fill="FFFFFF"/>
        </w:rPr>
      </w:pPr>
    </w:p>
    <w:p w14:paraId="7C947EAB" w14:textId="77777777" w:rsidR="00483ECC" w:rsidRPr="00E3551B" w:rsidRDefault="00483ECC" w:rsidP="00483ECC">
      <w:pPr>
        <w:spacing w:after="0" w:line="240" w:lineRule="auto"/>
        <w:rPr>
          <w:rFonts w:cstheme="minorHAnsi"/>
          <w:b/>
          <w:bCs/>
        </w:rPr>
      </w:pPr>
      <w:r w:rsidRPr="00E3551B">
        <w:rPr>
          <w:rFonts w:cstheme="minorHAnsi"/>
          <w:b/>
          <w:bCs/>
        </w:rPr>
        <w:t>Acknowledgements</w:t>
      </w:r>
    </w:p>
    <w:p w14:paraId="67CC741C" w14:textId="77777777" w:rsidR="00483ECC" w:rsidRPr="00E3551B" w:rsidRDefault="00483ECC" w:rsidP="00483ECC">
      <w:pPr>
        <w:spacing w:after="0" w:line="240" w:lineRule="auto"/>
        <w:rPr>
          <w:rFonts w:cstheme="minorHAnsi"/>
        </w:rPr>
      </w:pPr>
      <w:r w:rsidRPr="00E3551B">
        <w:rPr>
          <w:rFonts w:cstheme="minorHAnsi"/>
        </w:rPr>
        <w:t>We thank the current UKHSA syndromic data providers, that are NHS111 and NHS England; out-of-hours services providers for submitting data to the general practitioner out-of-hours system; emergency department clinicians, NHS Trusts and NHS England for supporting the Emergency Department Syndromic Surveillance System; and participating The Phoenix Partnership and ORCHID practices supporting general practitioner in-hours; ambulance trusts, and the Association of the Ambulance Chief Executives supporting the National Ambulance Syndromic Surveillance System. We also thank Roger Morbey and other staff in the UKHSA Real-Time Syndromic Surveillance Team for technical and modelling expertise.</w:t>
      </w:r>
    </w:p>
    <w:p w14:paraId="298F381B" w14:textId="77777777" w:rsidR="00483ECC" w:rsidRPr="00E3551B" w:rsidRDefault="00483ECC" w:rsidP="00483ECC">
      <w:pPr>
        <w:spacing w:after="0" w:line="240" w:lineRule="auto"/>
        <w:rPr>
          <w:rFonts w:cstheme="minorHAnsi"/>
        </w:rPr>
      </w:pPr>
    </w:p>
    <w:p w14:paraId="766826CB" w14:textId="77777777" w:rsidR="00483ECC" w:rsidRDefault="00483ECC" w:rsidP="00483ECC">
      <w:pPr>
        <w:spacing w:after="0" w:line="240" w:lineRule="auto"/>
        <w:rPr>
          <w:rFonts w:cstheme="minorHAnsi"/>
        </w:rPr>
      </w:pPr>
      <w:r w:rsidRPr="00E3551B">
        <w:rPr>
          <w:rFonts w:cstheme="minorHAnsi"/>
        </w:rPr>
        <w:t>We would like to thank staff at the Royal College of General Practitioners Research and Surveillance Centre for help extracting ORCHID data for this study. We extend our thanks to staff at the Faculty of Health and Medical Sciences at the University of Surrey for her advice and guidance on primary care data extraction from ORCHID.</w:t>
      </w:r>
    </w:p>
    <w:p w14:paraId="16283559" w14:textId="77777777" w:rsidR="001934C3" w:rsidRDefault="001934C3" w:rsidP="00483ECC">
      <w:pPr>
        <w:spacing w:after="0" w:line="240" w:lineRule="auto"/>
        <w:rPr>
          <w:rFonts w:cstheme="minorHAnsi"/>
        </w:rPr>
      </w:pPr>
    </w:p>
    <w:p w14:paraId="14A5226D" w14:textId="77777777" w:rsidR="00483ECC" w:rsidRPr="00E3551B" w:rsidRDefault="00483ECC" w:rsidP="00483ECC">
      <w:pPr>
        <w:spacing w:after="0" w:line="240" w:lineRule="auto"/>
        <w:rPr>
          <w:rFonts w:cstheme="minorHAnsi"/>
          <w:sz w:val="24"/>
        </w:rPr>
      </w:pPr>
    </w:p>
    <w:p w14:paraId="1E2659A3" w14:textId="77777777" w:rsidR="00483ECC" w:rsidRPr="00E3551B" w:rsidRDefault="00483ECC" w:rsidP="00483ECC">
      <w:pPr>
        <w:spacing w:after="0" w:line="240" w:lineRule="auto"/>
        <w:rPr>
          <w:rFonts w:cstheme="minorHAnsi"/>
          <w:b/>
        </w:rPr>
      </w:pPr>
      <w:r w:rsidRPr="00E3551B">
        <w:rPr>
          <w:rFonts w:cstheme="minorHAnsi"/>
          <w:b/>
        </w:rPr>
        <w:lastRenderedPageBreak/>
        <w:t>Funding</w:t>
      </w:r>
    </w:p>
    <w:p w14:paraId="0AD9C77E" w14:textId="3BC026D4" w:rsidR="00E92ACB" w:rsidRDefault="00483ECC"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r w:rsidRPr="00E3551B">
        <w:rPr>
          <w:rFonts w:asciiTheme="minorHAnsi" w:eastAsiaTheme="minorHAnsi" w:hAnsiTheme="minorHAnsi" w:cstheme="minorHAnsi"/>
          <w:kern w:val="2"/>
          <w:sz w:val="22"/>
          <w:szCs w:val="22"/>
          <w:lang w:eastAsia="en-US"/>
        </w:rPr>
        <w:t>This work was funded by the National Institute for Health and Care Research (NIHR) Health Protection Research Unit (HPRU) in Emergency Preparedness and Response at King’s College London in partnership with the UK Health Security Agency (UKHSA) in collaboration with the University of East Anglia (UEA). AJE is affiliated with the NIHR HPRU in Gastrointestinal Infections at the University of Liverpool. The views expressed are those of the author(s) and not necessarily those of the National Health Service, NIHR, UEA, UK Department of Health or UKHSA.</w:t>
      </w:r>
    </w:p>
    <w:p w14:paraId="397BB5C6"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4B6A61BF"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40C0FAEC"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ACA33DB"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0261037E"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62406BB4"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6E2128AF"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14069156"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04FA6CD5"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9656764"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1F741F93"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1205CBE"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249FD25"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07FBB07B"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C8DC2F3"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FD25CFB"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4DBD8E78"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52683AD"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6574828E"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504F1EE"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43FC35B5"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05D715A1"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9B81FBC"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883227D"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37DD342"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10DAE570"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09E8D5DC"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5C251FB5"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48E3EDAF"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1ABDDCC9"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229FE816"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2A942A9B"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8DBC8B7"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581C0F10"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48E26550"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5EEEFC32"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7877FAC2"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6839D505"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6C552D10"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BC63AEE"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A9B129B" w14:textId="77777777" w:rsidR="001934C3" w:rsidRDefault="001934C3" w:rsidP="00EC0D19">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rPr>
      </w:pPr>
    </w:p>
    <w:p w14:paraId="3E95DBF8" w14:textId="77777777" w:rsidR="001934C3" w:rsidRPr="00E3551B" w:rsidRDefault="001934C3" w:rsidP="00EC0D19">
      <w:pPr>
        <w:pStyle w:val="NormalWeb"/>
        <w:shd w:val="clear" w:color="auto" w:fill="FFFFFF"/>
        <w:spacing w:before="0" w:beforeAutospacing="0" w:after="0" w:afterAutospacing="0"/>
        <w:rPr>
          <w:rFonts w:asciiTheme="minorHAnsi" w:hAnsiTheme="minorHAnsi" w:cstheme="minorHAnsi"/>
        </w:rPr>
      </w:pPr>
    </w:p>
    <w:p w14:paraId="47513822" w14:textId="29BFC009" w:rsidR="00E24212" w:rsidRPr="00483ECC" w:rsidRDefault="00E24212" w:rsidP="00EC0D19">
      <w:pPr>
        <w:pStyle w:val="Heading2"/>
        <w:spacing w:before="0" w:line="240" w:lineRule="auto"/>
        <w:rPr>
          <w:b/>
          <w:bCs/>
          <w:color w:val="auto"/>
        </w:rPr>
      </w:pPr>
      <w:r w:rsidRPr="00483ECC">
        <w:rPr>
          <w:b/>
          <w:bCs/>
          <w:color w:val="auto"/>
        </w:rPr>
        <w:lastRenderedPageBreak/>
        <w:t>References</w:t>
      </w:r>
    </w:p>
    <w:p w14:paraId="53930CBE" w14:textId="2F6AA215" w:rsidR="00B35939" w:rsidRPr="00B35939" w:rsidRDefault="00B35939" w:rsidP="00B35939">
      <w:pPr>
        <w:pStyle w:val="abstract-paragraph"/>
        <w:numPr>
          <w:ilvl w:val="0"/>
          <w:numId w:val="7"/>
        </w:numPr>
        <w:rPr>
          <w:rFonts w:asciiTheme="majorHAnsi" w:hAnsiTheme="majorHAnsi" w:cstheme="majorHAnsi"/>
          <w:sz w:val="21"/>
          <w:szCs w:val="21"/>
        </w:rPr>
      </w:pPr>
      <w:r w:rsidRPr="00456E35">
        <w:rPr>
          <w:rFonts w:asciiTheme="majorHAnsi" w:hAnsiTheme="majorHAnsi" w:cstheme="majorHAnsi"/>
          <w:sz w:val="21"/>
          <w:szCs w:val="21"/>
          <w:lang w:val="nb-NO"/>
        </w:rPr>
        <w:t xml:space="preserve">Nielsen RE, Banner J, Jensen SE. </w:t>
      </w:r>
      <w:r w:rsidRPr="00B35939">
        <w:rPr>
          <w:rFonts w:asciiTheme="majorHAnsi" w:hAnsiTheme="majorHAnsi" w:cstheme="majorHAnsi"/>
          <w:sz w:val="21"/>
          <w:szCs w:val="21"/>
        </w:rPr>
        <w:t xml:space="preserve">Cardiovascular disease in patients with severe mental illness. Nat Rev </w:t>
      </w:r>
      <w:proofErr w:type="spellStart"/>
      <w:r w:rsidRPr="00B35939">
        <w:rPr>
          <w:rFonts w:asciiTheme="majorHAnsi" w:hAnsiTheme="majorHAnsi" w:cstheme="majorHAnsi"/>
          <w:sz w:val="21"/>
          <w:szCs w:val="21"/>
        </w:rPr>
        <w:t>Cardiol</w:t>
      </w:r>
      <w:proofErr w:type="spellEnd"/>
      <w:r w:rsidRPr="00B35939">
        <w:rPr>
          <w:rFonts w:asciiTheme="majorHAnsi" w:hAnsiTheme="majorHAnsi" w:cstheme="majorHAnsi"/>
          <w:sz w:val="21"/>
          <w:szCs w:val="21"/>
        </w:rPr>
        <w:t>. 2021;18(2):136-45.</w:t>
      </w:r>
    </w:p>
    <w:p w14:paraId="4B5CA80B"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GBD Mental Disorders Collaborators. Global, regional, and national burden of 12 mental disorders in 204 countries and territories, 1990–2019: a systematic analysis for the Global Burden of Disease Study 2019. Lancet Psychiatry. 2022;9(2):137-50.</w:t>
      </w:r>
    </w:p>
    <w:p w14:paraId="3CA791BA"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Arias D, Saxena S, </w:t>
      </w:r>
      <w:proofErr w:type="spellStart"/>
      <w:r w:rsidRPr="00B35939">
        <w:rPr>
          <w:rFonts w:asciiTheme="majorHAnsi" w:hAnsiTheme="majorHAnsi" w:cstheme="majorHAnsi"/>
          <w:sz w:val="21"/>
          <w:szCs w:val="21"/>
        </w:rPr>
        <w:t>Verguet</w:t>
      </w:r>
      <w:proofErr w:type="spellEnd"/>
      <w:r w:rsidRPr="00B35939">
        <w:rPr>
          <w:rFonts w:asciiTheme="majorHAnsi" w:hAnsiTheme="majorHAnsi" w:cstheme="majorHAnsi"/>
          <w:sz w:val="21"/>
          <w:szCs w:val="21"/>
        </w:rPr>
        <w:t xml:space="preserve"> S. Quantifying the global burden of mental disorders and their economic value. </w:t>
      </w:r>
      <w:proofErr w:type="spellStart"/>
      <w:r w:rsidRPr="00B35939">
        <w:rPr>
          <w:rFonts w:asciiTheme="majorHAnsi" w:hAnsiTheme="majorHAnsi" w:cstheme="majorHAnsi"/>
          <w:sz w:val="21"/>
          <w:szCs w:val="21"/>
        </w:rPr>
        <w:t>EClinicalMedicine</w:t>
      </w:r>
      <w:proofErr w:type="spellEnd"/>
      <w:r w:rsidRPr="00B35939">
        <w:rPr>
          <w:rFonts w:asciiTheme="majorHAnsi" w:hAnsiTheme="majorHAnsi" w:cstheme="majorHAnsi"/>
          <w:sz w:val="21"/>
          <w:szCs w:val="21"/>
        </w:rPr>
        <w:t>. 2022;54:101675.</w:t>
      </w:r>
    </w:p>
    <w:p w14:paraId="079FCB78" w14:textId="2B14F301" w:rsid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World Health Organization. COVID-19 pandemic triggers 25% increase in prevalence of anxiety and depression worldwide [Internet]. 2022 Mar 2 [cited 2025 Jan 13]. Available from: https://www.who.int/news/item/02-03-2022-covid-19-pandemic-triggers-25-increase-in-prevalence-of-anxiety-and-depression-worldwideCullen W, Gulati G, Kelly BD. Mental health in the COVID-19 pandemic. QJM. 2020;113(5):311-2.</w:t>
      </w:r>
    </w:p>
    <w:p w14:paraId="451F31CA" w14:textId="04EE3AD0" w:rsidR="0095341A" w:rsidRPr="00B35939" w:rsidRDefault="0095341A" w:rsidP="00B35939">
      <w:pPr>
        <w:pStyle w:val="abstract-paragraph"/>
        <w:numPr>
          <w:ilvl w:val="0"/>
          <w:numId w:val="7"/>
        </w:numPr>
        <w:rPr>
          <w:rFonts w:asciiTheme="majorHAnsi" w:hAnsiTheme="majorHAnsi" w:cstheme="majorHAnsi"/>
          <w:sz w:val="21"/>
          <w:szCs w:val="21"/>
        </w:rPr>
      </w:pPr>
      <w:r w:rsidRPr="0095341A">
        <w:rPr>
          <w:rFonts w:asciiTheme="majorHAnsi" w:hAnsiTheme="majorHAnsi" w:cstheme="majorHAnsi"/>
          <w:sz w:val="21"/>
          <w:szCs w:val="21"/>
        </w:rPr>
        <w:t>Cullen W, Gulati G, Kelly BD. Mental health in the COVID-19 pandemic. QJM. 2020;113(5):311-2.</w:t>
      </w:r>
    </w:p>
    <w:p w14:paraId="184D6D8C"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456E35">
        <w:rPr>
          <w:rFonts w:asciiTheme="majorHAnsi" w:hAnsiTheme="majorHAnsi" w:cstheme="majorHAnsi"/>
          <w:sz w:val="21"/>
          <w:szCs w:val="21"/>
          <w:lang w:val="nb-NO"/>
        </w:rPr>
        <w:t xml:space="preserve">Moreno C, Wykes T, Galderisi S, Nordentoft M, Crossley N, Jones N, et al. </w:t>
      </w:r>
      <w:r w:rsidRPr="00B35939">
        <w:rPr>
          <w:rFonts w:asciiTheme="majorHAnsi" w:hAnsiTheme="majorHAnsi" w:cstheme="majorHAnsi"/>
          <w:sz w:val="21"/>
          <w:szCs w:val="21"/>
        </w:rPr>
        <w:t>How mental health care should change as a consequence of the COVID-19 pandemic. Lancet Psychiatry. 2020;7(9):813-24.</w:t>
      </w:r>
    </w:p>
    <w:p w14:paraId="6D705B1D" w14:textId="77777777" w:rsidR="00B35939" w:rsidRPr="00B35939" w:rsidRDefault="00B35939" w:rsidP="00B35939">
      <w:pPr>
        <w:pStyle w:val="abstract-paragraph"/>
        <w:numPr>
          <w:ilvl w:val="0"/>
          <w:numId w:val="7"/>
        </w:numPr>
        <w:rPr>
          <w:rFonts w:asciiTheme="majorHAnsi" w:hAnsiTheme="majorHAnsi" w:cstheme="majorHAnsi"/>
          <w:sz w:val="21"/>
          <w:szCs w:val="21"/>
        </w:rPr>
      </w:pPr>
      <w:proofErr w:type="spellStart"/>
      <w:r w:rsidRPr="00B35939">
        <w:rPr>
          <w:rFonts w:asciiTheme="majorHAnsi" w:hAnsiTheme="majorHAnsi" w:cstheme="majorHAnsi"/>
          <w:sz w:val="21"/>
          <w:szCs w:val="21"/>
        </w:rPr>
        <w:t>Vindegaard</w:t>
      </w:r>
      <w:proofErr w:type="spellEnd"/>
      <w:r w:rsidRPr="00B35939">
        <w:rPr>
          <w:rFonts w:asciiTheme="majorHAnsi" w:hAnsiTheme="majorHAnsi" w:cstheme="majorHAnsi"/>
          <w:sz w:val="21"/>
          <w:szCs w:val="21"/>
        </w:rPr>
        <w:t xml:space="preserve"> N, </w:t>
      </w:r>
      <w:proofErr w:type="spellStart"/>
      <w:r w:rsidRPr="00B35939">
        <w:rPr>
          <w:rFonts w:asciiTheme="majorHAnsi" w:hAnsiTheme="majorHAnsi" w:cstheme="majorHAnsi"/>
          <w:sz w:val="21"/>
          <w:szCs w:val="21"/>
        </w:rPr>
        <w:t>Benros</w:t>
      </w:r>
      <w:proofErr w:type="spellEnd"/>
      <w:r w:rsidRPr="00B35939">
        <w:rPr>
          <w:rFonts w:asciiTheme="majorHAnsi" w:hAnsiTheme="majorHAnsi" w:cstheme="majorHAnsi"/>
          <w:sz w:val="21"/>
          <w:szCs w:val="21"/>
        </w:rPr>
        <w:t xml:space="preserve"> ME. COVID-19 pandemic and mental health consequences: Systematic review of the current evidence. Brain Behav Immun. 2020;89:531-42.</w:t>
      </w:r>
    </w:p>
    <w:p w14:paraId="0A645DC7"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Chiesa V, Antony G, Wismar M, Rechel B. COVID-19 pandemic: health impact of staying at home, social distancing and ‘lockdown’ measures—a systematic review of systematic reviews. J Public Health (</w:t>
      </w:r>
      <w:proofErr w:type="spellStart"/>
      <w:r w:rsidRPr="00B35939">
        <w:rPr>
          <w:rFonts w:asciiTheme="majorHAnsi" w:hAnsiTheme="majorHAnsi" w:cstheme="majorHAnsi"/>
          <w:sz w:val="21"/>
          <w:szCs w:val="21"/>
        </w:rPr>
        <w:t>Oxf</w:t>
      </w:r>
      <w:proofErr w:type="spellEnd"/>
      <w:r w:rsidRPr="00B35939">
        <w:rPr>
          <w:rFonts w:asciiTheme="majorHAnsi" w:hAnsiTheme="majorHAnsi" w:cstheme="majorHAnsi"/>
          <w:sz w:val="21"/>
          <w:szCs w:val="21"/>
        </w:rPr>
        <w:t>). 2021;43(3):e462-81.</w:t>
      </w:r>
    </w:p>
    <w:p w14:paraId="476E40AF"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Brooks SK, Webster RK, Smith LE, Woodland L, Wessely S, Greenberg N, et al. The psychological impact of quarantine and how to reduce it: rapid review of the evidence. Lancet. 2020;395(10227):912-20.</w:t>
      </w:r>
    </w:p>
    <w:p w14:paraId="6BB4458D"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Fletcher R, Kalogeropoulos A, Nielsen RK. News avoidance in the UK remains high as lockdown restrictions are eased. Oxford: Reuters Institute; 2020.</w:t>
      </w:r>
    </w:p>
    <w:p w14:paraId="7DDD131A"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456E35">
        <w:rPr>
          <w:rFonts w:asciiTheme="majorHAnsi" w:hAnsiTheme="majorHAnsi" w:cstheme="majorHAnsi"/>
          <w:sz w:val="21"/>
          <w:szCs w:val="21"/>
          <w:lang w:val="nb-NO"/>
        </w:rPr>
        <w:t xml:space="preserve">Aknin LB, De Neve JE, Dunn EW, Fancourt DE, Goldberg E, Helliwell JF, et al. </w:t>
      </w:r>
      <w:r w:rsidRPr="00B35939">
        <w:rPr>
          <w:rFonts w:asciiTheme="majorHAnsi" w:hAnsiTheme="majorHAnsi" w:cstheme="majorHAnsi"/>
          <w:sz w:val="21"/>
          <w:szCs w:val="21"/>
        </w:rPr>
        <w:t xml:space="preserve">Mental health during the first year of the COVID-19 pandemic: A review and recommendations for moving forward. </w:t>
      </w:r>
      <w:proofErr w:type="spellStart"/>
      <w:r w:rsidRPr="00B35939">
        <w:rPr>
          <w:rFonts w:asciiTheme="majorHAnsi" w:hAnsiTheme="majorHAnsi" w:cstheme="majorHAnsi"/>
          <w:sz w:val="21"/>
          <w:szCs w:val="21"/>
        </w:rPr>
        <w:t>Perspect</w:t>
      </w:r>
      <w:proofErr w:type="spellEnd"/>
      <w:r w:rsidRPr="00B35939">
        <w:rPr>
          <w:rFonts w:asciiTheme="majorHAnsi" w:hAnsiTheme="majorHAnsi" w:cstheme="majorHAnsi"/>
          <w:sz w:val="21"/>
          <w:szCs w:val="21"/>
        </w:rPr>
        <w:t xml:space="preserve"> </w:t>
      </w:r>
      <w:proofErr w:type="spellStart"/>
      <w:r w:rsidRPr="00B35939">
        <w:rPr>
          <w:rFonts w:asciiTheme="majorHAnsi" w:hAnsiTheme="majorHAnsi" w:cstheme="majorHAnsi"/>
          <w:sz w:val="21"/>
          <w:szCs w:val="21"/>
        </w:rPr>
        <w:t>Psychol</w:t>
      </w:r>
      <w:proofErr w:type="spellEnd"/>
      <w:r w:rsidRPr="00B35939">
        <w:rPr>
          <w:rFonts w:asciiTheme="majorHAnsi" w:hAnsiTheme="majorHAnsi" w:cstheme="majorHAnsi"/>
          <w:sz w:val="21"/>
          <w:szCs w:val="21"/>
        </w:rPr>
        <w:t xml:space="preserve"> Sci. 2022;17(4):915-36.</w:t>
      </w:r>
    </w:p>
    <w:p w14:paraId="2532C768"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Bell B, Codreanu M, Machin S. What can previous recessions tell us about the Covid-19 downturn? London: Centre for Economic Performance; 2020. Report No. 007.</w:t>
      </w:r>
    </w:p>
    <w:p w14:paraId="2818971B"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Xiong J, Lipsitz O, Nasri F, Lui LM, Gill H, Phan L, et al. Impact of COVID-19 pandemic on mental health in the general population: A systematic review. J Affect </w:t>
      </w:r>
      <w:proofErr w:type="spellStart"/>
      <w:r w:rsidRPr="00B35939">
        <w:rPr>
          <w:rFonts w:asciiTheme="majorHAnsi" w:hAnsiTheme="majorHAnsi" w:cstheme="majorHAnsi"/>
          <w:sz w:val="21"/>
          <w:szCs w:val="21"/>
        </w:rPr>
        <w:t>Disord</w:t>
      </w:r>
      <w:proofErr w:type="spellEnd"/>
      <w:r w:rsidRPr="00B35939">
        <w:rPr>
          <w:rFonts w:asciiTheme="majorHAnsi" w:hAnsiTheme="majorHAnsi" w:cstheme="majorHAnsi"/>
          <w:sz w:val="21"/>
          <w:szCs w:val="21"/>
        </w:rPr>
        <w:t>. 2020;277:55-64.</w:t>
      </w:r>
    </w:p>
    <w:p w14:paraId="5269B4BC"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Dettmann LM, Adams S, Taylor G. Prevalence of depression and anxiety during the COVID-19 pandemic in a sample of UK adults. Cancer Med. 2022;11(7):1614-22.</w:t>
      </w:r>
    </w:p>
    <w:p w14:paraId="3C47668A"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Bourmistrova NW, Solomon T, Braude P, Strawbridge R, Carter B. Long-term effects of COVID-19 on mental health: A systematic review. J Affect </w:t>
      </w:r>
      <w:proofErr w:type="spellStart"/>
      <w:r w:rsidRPr="00B35939">
        <w:rPr>
          <w:rFonts w:asciiTheme="majorHAnsi" w:hAnsiTheme="majorHAnsi" w:cstheme="majorHAnsi"/>
          <w:sz w:val="21"/>
          <w:szCs w:val="21"/>
        </w:rPr>
        <w:t>Disord</w:t>
      </w:r>
      <w:proofErr w:type="spellEnd"/>
      <w:r w:rsidRPr="00B35939">
        <w:rPr>
          <w:rFonts w:asciiTheme="majorHAnsi" w:hAnsiTheme="majorHAnsi" w:cstheme="majorHAnsi"/>
          <w:sz w:val="21"/>
          <w:szCs w:val="21"/>
        </w:rPr>
        <w:t>. 2022;299:118-25.</w:t>
      </w:r>
    </w:p>
    <w:p w14:paraId="1A359899"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Sun Y, Wu Y, Fan S, Dal Santo T, Li L, Jiang X, et al. Comparison of mental health symptoms before and during the covid-19 pandemic: evidence from a systematic review and meta-analysis of 134 cohorts. BMJ. 2023;380:e074224.</w:t>
      </w:r>
    </w:p>
    <w:p w14:paraId="152BDE9B"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456E35">
        <w:rPr>
          <w:rFonts w:asciiTheme="majorHAnsi" w:hAnsiTheme="majorHAnsi" w:cstheme="majorHAnsi"/>
          <w:sz w:val="21"/>
          <w:szCs w:val="21"/>
          <w:lang w:val="nb-NO"/>
        </w:rPr>
        <w:t xml:space="preserve">Smith GE, Harcourt SE, Hoang U, Lemanska A, Elliot AJ, Morbey RA, et al. </w:t>
      </w:r>
      <w:r w:rsidRPr="00B35939">
        <w:rPr>
          <w:rFonts w:asciiTheme="majorHAnsi" w:hAnsiTheme="majorHAnsi" w:cstheme="majorHAnsi"/>
          <w:sz w:val="21"/>
          <w:szCs w:val="21"/>
        </w:rPr>
        <w:t xml:space="preserve">Mental health presentations across health care settings during the first 9 months of the COVID-19 pandemic in England: retrospective observational study. JMIR Public Health </w:t>
      </w:r>
      <w:proofErr w:type="spellStart"/>
      <w:r w:rsidRPr="00B35939">
        <w:rPr>
          <w:rFonts w:asciiTheme="majorHAnsi" w:hAnsiTheme="majorHAnsi" w:cstheme="majorHAnsi"/>
          <w:sz w:val="21"/>
          <w:szCs w:val="21"/>
        </w:rPr>
        <w:t>Surveill</w:t>
      </w:r>
      <w:proofErr w:type="spellEnd"/>
      <w:r w:rsidRPr="00B35939">
        <w:rPr>
          <w:rFonts w:asciiTheme="majorHAnsi" w:hAnsiTheme="majorHAnsi" w:cstheme="majorHAnsi"/>
          <w:sz w:val="21"/>
          <w:szCs w:val="21"/>
        </w:rPr>
        <w:t>. 2022;8(8):e32347.</w:t>
      </w:r>
    </w:p>
    <w:p w14:paraId="4F079C8D"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Carr MJ, Steeg S, Webb RT, Kapur N, Chew-Graham CA, Abel KM, et al. Effects of the COVID-19 pandemic on primary care-recorded mental illness and self-harm episodes in the UK: a population-based cohort study. Lancet Public Health. 2021;6(2):e124-35.</w:t>
      </w:r>
    </w:p>
    <w:p w14:paraId="720DA88F"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Mansfield KE, Mathur R, </w:t>
      </w:r>
      <w:proofErr w:type="spellStart"/>
      <w:r w:rsidRPr="00B35939">
        <w:rPr>
          <w:rFonts w:asciiTheme="majorHAnsi" w:hAnsiTheme="majorHAnsi" w:cstheme="majorHAnsi"/>
          <w:sz w:val="21"/>
          <w:szCs w:val="21"/>
        </w:rPr>
        <w:t>Tazare</w:t>
      </w:r>
      <w:proofErr w:type="spellEnd"/>
      <w:r w:rsidRPr="00B35939">
        <w:rPr>
          <w:rFonts w:asciiTheme="majorHAnsi" w:hAnsiTheme="majorHAnsi" w:cstheme="majorHAnsi"/>
          <w:sz w:val="21"/>
          <w:szCs w:val="21"/>
        </w:rPr>
        <w:t xml:space="preserve"> J, Henderson AD, Mulick AR, Carreira H, et al. Indirect acute effects of the COVID-19 pandemic on physical and mental health in the UK: a population-based study. Lancet Digit Health. 2021;3(4):e217-30.</w:t>
      </w:r>
    </w:p>
    <w:p w14:paraId="11085FE7"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Sampson EL, Wright J, Dove J, Mukadam N. Psychiatric liaison service referral patterns during the UK COVID-19 pandemic: an observational study. </w:t>
      </w:r>
      <w:proofErr w:type="spellStart"/>
      <w:r w:rsidRPr="00B35939">
        <w:rPr>
          <w:rFonts w:asciiTheme="majorHAnsi" w:hAnsiTheme="majorHAnsi" w:cstheme="majorHAnsi"/>
          <w:sz w:val="21"/>
          <w:szCs w:val="21"/>
        </w:rPr>
        <w:t>Eur</w:t>
      </w:r>
      <w:proofErr w:type="spellEnd"/>
      <w:r w:rsidRPr="00B35939">
        <w:rPr>
          <w:rFonts w:asciiTheme="majorHAnsi" w:hAnsiTheme="majorHAnsi" w:cstheme="majorHAnsi"/>
          <w:sz w:val="21"/>
          <w:szCs w:val="21"/>
        </w:rPr>
        <w:t xml:space="preserve"> J Psychiatry. 2022;36(1):35-42.</w:t>
      </w:r>
    </w:p>
    <w:p w14:paraId="0953CE67"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lastRenderedPageBreak/>
        <w:t>Williams R, Jenkins DA, Ashcroft DM, Brown B, Campbell S, Carr MJ, et al. Diagnosis of physical and mental health conditions in primary care during the COVID-19 pandemic: a retrospective cohort study. Lancet Public Health. 2020;5(10):e543-50.</w:t>
      </w:r>
    </w:p>
    <w:p w14:paraId="6F2202B5"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de Lusignan S, Jones N, Dorward J, Byford R, Liyanage H, Briggs J, et al. The Oxford Royal College of general </w:t>
      </w:r>
      <w:proofErr w:type="gramStart"/>
      <w:r w:rsidRPr="00B35939">
        <w:rPr>
          <w:rFonts w:asciiTheme="majorHAnsi" w:hAnsiTheme="majorHAnsi" w:cstheme="majorHAnsi"/>
          <w:sz w:val="21"/>
          <w:szCs w:val="21"/>
        </w:rPr>
        <w:t>practitioners</w:t>
      </w:r>
      <w:proofErr w:type="gramEnd"/>
      <w:r w:rsidRPr="00B35939">
        <w:rPr>
          <w:rFonts w:asciiTheme="majorHAnsi" w:hAnsiTheme="majorHAnsi" w:cstheme="majorHAnsi"/>
          <w:sz w:val="21"/>
          <w:szCs w:val="21"/>
        </w:rPr>
        <w:t xml:space="preserve"> clinical informatics digital hub: protocol to develop extended COVID-19 surveillance and trial platforms. JMIR Public Health </w:t>
      </w:r>
      <w:proofErr w:type="spellStart"/>
      <w:r w:rsidRPr="00B35939">
        <w:rPr>
          <w:rFonts w:asciiTheme="majorHAnsi" w:hAnsiTheme="majorHAnsi" w:cstheme="majorHAnsi"/>
          <w:sz w:val="21"/>
          <w:szCs w:val="21"/>
        </w:rPr>
        <w:t>Surveill</w:t>
      </w:r>
      <w:proofErr w:type="spellEnd"/>
      <w:r w:rsidRPr="00B35939">
        <w:rPr>
          <w:rFonts w:asciiTheme="majorHAnsi" w:hAnsiTheme="majorHAnsi" w:cstheme="majorHAnsi"/>
          <w:sz w:val="21"/>
          <w:szCs w:val="21"/>
        </w:rPr>
        <w:t>. 2020;6(3):e19773.</w:t>
      </w:r>
    </w:p>
    <w:p w14:paraId="06CEC9ED"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Leston M, Elson WH, Watson C, Lakhani A, Aspden C, Bankhead CR, et al. Representativeness, vaccination uptake, and COVID-19 clinical outcomes 2020-2021 in the UK Oxford-Royal College of general </w:t>
      </w:r>
      <w:proofErr w:type="gramStart"/>
      <w:r w:rsidRPr="00B35939">
        <w:rPr>
          <w:rFonts w:asciiTheme="majorHAnsi" w:hAnsiTheme="majorHAnsi" w:cstheme="majorHAnsi"/>
          <w:sz w:val="21"/>
          <w:szCs w:val="21"/>
        </w:rPr>
        <w:t>practitioners</w:t>
      </w:r>
      <w:proofErr w:type="gramEnd"/>
      <w:r w:rsidRPr="00B35939">
        <w:rPr>
          <w:rFonts w:asciiTheme="majorHAnsi" w:hAnsiTheme="majorHAnsi" w:cstheme="majorHAnsi"/>
          <w:sz w:val="21"/>
          <w:szCs w:val="21"/>
        </w:rPr>
        <w:t xml:space="preserve"> research and surveillance network: cohort profile summary. JMIR Public Health </w:t>
      </w:r>
      <w:proofErr w:type="spellStart"/>
      <w:r w:rsidRPr="00B35939">
        <w:rPr>
          <w:rFonts w:asciiTheme="majorHAnsi" w:hAnsiTheme="majorHAnsi" w:cstheme="majorHAnsi"/>
          <w:sz w:val="21"/>
          <w:szCs w:val="21"/>
        </w:rPr>
        <w:t>Surveill</w:t>
      </w:r>
      <w:proofErr w:type="spellEnd"/>
      <w:r w:rsidRPr="00B35939">
        <w:rPr>
          <w:rFonts w:asciiTheme="majorHAnsi" w:hAnsiTheme="majorHAnsi" w:cstheme="majorHAnsi"/>
          <w:sz w:val="21"/>
          <w:szCs w:val="21"/>
        </w:rPr>
        <w:t>. 2022;8(12):e39141.</w:t>
      </w:r>
    </w:p>
    <w:p w14:paraId="4625396D"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de Lusignan S, Correa A, Smith GE, </w:t>
      </w:r>
      <w:proofErr w:type="spellStart"/>
      <w:r w:rsidRPr="00B35939">
        <w:rPr>
          <w:rFonts w:asciiTheme="majorHAnsi" w:hAnsiTheme="majorHAnsi" w:cstheme="majorHAnsi"/>
          <w:sz w:val="21"/>
          <w:szCs w:val="21"/>
        </w:rPr>
        <w:t>Yonova</w:t>
      </w:r>
      <w:proofErr w:type="spellEnd"/>
      <w:r w:rsidRPr="00B35939">
        <w:rPr>
          <w:rFonts w:asciiTheme="majorHAnsi" w:hAnsiTheme="majorHAnsi" w:cstheme="majorHAnsi"/>
          <w:sz w:val="21"/>
          <w:szCs w:val="21"/>
        </w:rPr>
        <w:t xml:space="preserve"> I, </w:t>
      </w:r>
      <w:proofErr w:type="spellStart"/>
      <w:r w:rsidRPr="00B35939">
        <w:rPr>
          <w:rFonts w:asciiTheme="majorHAnsi" w:hAnsiTheme="majorHAnsi" w:cstheme="majorHAnsi"/>
          <w:sz w:val="21"/>
          <w:szCs w:val="21"/>
        </w:rPr>
        <w:t>Pebody</w:t>
      </w:r>
      <w:proofErr w:type="spellEnd"/>
      <w:r w:rsidRPr="00B35939">
        <w:rPr>
          <w:rFonts w:asciiTheme="majorHAnsi" w:hAnsiTheme="majorHAnsi" w:cstheme="majorHAnsi"/>
          <w:sz w:val="21"/>
          <w:szCs w:val="21"/>
        </w:rPr>
        <w:t xml:space="preserve"> R, Ferreira F, et al. RCGP Research and Surveillance Centre: 50 years’ surveillance of influenza, infections, and respiratory conditions. Br J Gen </w:t>
      </w:r>
      <w:proofErr w:type="spellStart"/>
      <w:r w:rsidRPr="00B35939">
        <w:rPr>
          <w:rFonts w:asciiTheme="majorHAnsi" w:hAnsiTheme="majorHAnsi" w:cstheme="majorHAnsi"/>
          <w:sz w:val="21"/>
          <w:szCs w:val="21"/>
        </w:rPr>
        <w:t>Pract</w:t>
      </w:r>
      <w:proofErr w:type="spellEnd"/>
      <w:r w:rsidRPr="00B35939">
        <w:rPr>
          <w:rFonts w:asciiTheme="majorHAnsi" w:hAnsiTheme="majorHAnsi" w:cstheme="majorHAnsi"/>
          <w:sz w:val="21"/>
          <w:szCs w:val="21"/>
        </w:rPr>
        <w:t>. 2017;67(663):440.</w:t>
      </w:r>
    </w:p>
    <w:p w14:paraId="1D18EA82"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BBC News. Coronavirus: Britons returning from northern Italy told to self-isolate. 2020 Feb 26. Available from: </w:t>
      </w:r>
      <w:hyperlink r:id="rId18" w:tgtFrame="_blank" w:history="1">
        <w:r w:rsidRPr="00B35939">
          <w:rPr>
            <w:rStyle w:val="Hyperlink"/>
            <w:rFonts w:asciiTheme="majorHAnsi" w:hAnsiTheme="majorHAnsi" w:cstheme="majorHAnsi"/>
            <w:sz w:val="21"/>
            <w:szCs w:val="21"/>
          </w:rPr>
          <w:t>https://www.bbc.com/news</w:t>
        </w:r>
      </w:hyperlink>
    </w:p>
    <w:p w14:paraId="5FE943E2"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Hancock N, Smith-Merry J, Jessup G, Wayland S, </w:t>
      </w:r>
      <w:proofErr w:type="spellStart"/>
      <w:r w:rsidRPr="00B35939">
        <w:rPr>
          <w:rFonts w:asciiTheme="majorHAnsi" w:hAnsiTheme="majorHAnsi" w:cstheme="majorHAnsi"/>
          <w:sz w:val="21"/>
          <w:szCs w:val="21"/>
        </w:rPr>
        <w:t>Kokany</w:t>
      </w:r>
      <w:proofErr w:type="spellEnd"/>
      <w:r w:rsidRPr="00B35939">
        <w:rPr>
          <w:rFonts w:asciiTheme="majorHAnsi" w:hAnsiTheme="majorHAnsi" w:cstheme="majorHAnsi"/>
          <w:sz w:val="21"/>
          <w:szCs w:val="21"/>
        </w:rPr>
        <w:t xml:space="preserve"> A. Understanding the ups and downs of living well: the voices of people experiencing early mental health recovery. BMC Psychiatry. 2018;18:1-10.</w:t>
      </w:r>
    </w:p>
    <w:p w14:paraId="12DE19F5"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Walker D, Snowdon K. WHO issues 'highest alert' over coronavirus. BBC News. 2020 Feb 27.</w:t>
      </w:r>
    </w:p>
    <w:p w14:paraId="6D969236"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Institute for Government. Timeline of UK government coronavirus lockdowns and restrictions. 2021. Available from: </w:t>
      </w:r>
      <w:hyperlink r:id="rId19" w:tgtFrame="_blank" w:history="1">
        <w:r w:rsidRPr="00B35939">
          <w:rPr>
            <w:rStyle w:val="Hyperlink"/>
            <w:rFonts w:asciiTheme="majorHAnsi" w:hAnsiTheme="majorHAnsi" w:cstheme="majorHAnsi"/>
            <w:sz w:val="21"/>
            <w:szCs w:val="21"/>
          </w:rPr>
          <w:t>https://www.instituteforgovernment.org.uk/data-visualisation/timeline-coronavirus-lockdowns</w:t>
        </w:r>
      </w:hyperlink>
    </w:p>
    <w:p w14:paraId="44740306"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Turner SL, Karahalios A, Forbes AB, Taljaard M, Grimshaw JM, Cheng AC, et al. Design characteristics and statistical methods used in interrupted time series studies evaluating public health interventions: a review. J Clin </w:t>
      </w:r>
      <w:proofErr w:type="spellStart"/>
      <w:r w:rsidRPr="00B35939">
        <w:rPr>
          <w:rFonts w:asciiTheme="majorHAnsi" w:hAnsiTheme="majorHAnsi" w:cstheme="majorHAnsi"/>
          <w:sz w:val="21"/>
          <w:szCs w:val="21"/>
        </w:rPr>
        <w:t>Epidemiol</w:t>
      </w:r>
      <w:proofErr w:type="spellEnd"/>
      <w:r w:rsidRPr="00B35939">
        <w:rPr>
          <w:rFonts w:asciiTheme="majorHAnsi" w:hAnsiTheme="majorHAnsi" w:cstheme="majorHAnsi"/>
          <w:sz w:val="21"/>
          <w:szCs w:val="21"/>
        </w:rPr>
        <w:t>. 2020;122:1-11.</w:t>
      </w:r>
    </w:p>
    <w:p w14:paraId="31A4DC1D"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Ripley B, Venables B, Bates DM, Hornik K, Gebhardt A, Firth D. Package 'mass'. Vienna: R Foundation; 2002.</w:t>
      </w:r>
    </w:p>
    <w:p w14:paraId="1C9D23B2"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456E35">
        <w:rPr>
          <w:rFonts w:asciiTheme="majorHAnsi" w:hAnsiTheme="majorHAnsi" w:cstheme="majorHAnsi"/>
          <w:sz w:val="21"/>
          <w:szCs w:val="21"/>
          <w:lang w:val="nb-NO"/>
        </w:rPr>
        <w:t xml:space="preserve">Tredennick AT, Hooker G, Ellner SP, Adler PB. </w:t>
      </w:r>
      <w:r w:rsidRPr="00B35939">
        <w:rPr>
          <w:rFonts w:asciiTheme="majorHAnsi" w:hAnsiTheme="majorHAnsi" w:cstheme="majorHAnsi"/>
          <w:sz w:val="21"/>
          <w:szCs w:val="21"/>
        </w:rPr>
        <w:t xml:space="preserve">A practical guide to selecting models for exploration, inference, and prediction in ecology. Methods </w:t>
      </w:r>
      <w:proofErr w:type="spellStart"/>
      <w:r w:rsidRPr="00B35939">
        <w:rPr>
          <w:rFonts w:asciiTheme="majorHAnsi" w:hAnsiTheme="majorHAnsi" w:cstheme="majorHAnsi"/>
          <w:sz w:val="21"/>
          <w:szCs w:val="21"/>
        </w:rPr>
        <w:t>Ecol</w:t>
      </w:r>
      <w:proofErr w:type="spellEnd"/>
      <w:r w:rsidRPr="00B35939">
        <w:rPr>
          <w:rFonts w:asciiTheme="majorHAnsi" w:hAnsiTheme="majorHAnsi" w:cstheme="majorHAnsi"/>
          <w:sz w:val="21"/>
          <w:szCs w:val="21"/>
        </w:rPr>
        <w:t xml:space="preserve"> </w:t>
      </w:r>
      <w:proofErr w:type="spellStart"/>
      <w:r w:rsidRPr="00B35939">
        <w:rPr>
          <w:rFonts w:asciiTheme="majorHAnsi" w:hAnsiTheme="majorHAnsi" w:cstheme="majorHAnsi"/>
          <w:sz w:val="21"/>
          <w:szCs w:val="21"/>
        </w:rPr>
        <w:t>Evol</w:t>
      </w:r>
      <w:proofErr w:type="spellEnd"/>
      <w:r w:rsidRPr="00B35939">
        <w:rPr>
          <w:rFonts w:asciiTheme="majorHAnsi" w:hAnsiTheme="majorHAnsi" w:cstheme="majorHAnsi"/>
          <w:sz w:val="21"/>
          <w:szCs w:val="21"/>
        </w:rPr>
        <w:t>. 2021;12(6):961-79.</w:t>
      </w:r>
    </w:p>
    <w:p w14:paraId="536F315D"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Kindred R, Bates GW. The influence of the COVID-19 pandemic on social anxiety: a systematic review. Int J Environ Res Public Health. 2023;20(3):2362.</w:t>
      </w:r>
    </w:p>
    <w:p w14:paraId="6BC5A47C" w14:textId="77777777" w:rsidR="00B35939" w:rsidRPr="00B35939" w:rsidRDefault="00B35939" w:rsidP="00B35939">
      <w:pPr>
        <w:pStyle w:val="abstract-paragraph"/>
        <w:numPr>
          <w:ilvl w:val="0"/>
          <w:numId w:val="7"/>
        </w:numPr>
        <w:rPr>
          <w:rFonts w:asciiTheme="majorHAnsi" w:hAnsiTheme="majorHAnsi" w:cstheme="majorHAnsi"/>
          <w:sz w:val="21"/>
          <w:szCs w:val="21"/>
        </w:rPr>
      </w:pPr>
      <w:proofErr w:type="spellStart"/>
      <w:r w:rsidRPr="00B35939">
        <w:rPr>
          <w:rFonts w:asciiTheme="majorHAnsi" w:hAnsiTheme="majorHAnsi" w:cstheme="majorHAnsi"/>
          <w:sz w:val="21"/>
          <w:szCs w:val="21"/>
        </w:rPr>
        <w:t>Eimontas</w:t>
      </w:r>
      <w:proofErr w:type="spellEnd"/>
      <w:r w:rsidRPr="00B35939">
        <w:rPr>
          <w:rFonts w:asciiTheme="majorHAnsi" w:hAnsiTheme="majorHAnsi" w:cstheme="majorHAnsi"/>
          <w:sz w:val="21"/>
          <w:szCs w:val="21"/>
        </w:rPr>
        <w:t xml:space="preserve"> J, </w:t>
      </w:r>
      <w:proofErr w:type="spellStart"/>
      <w:r w:rsidRPr="00B35939">
        <w:rPr>
          <w:rFonts w:asciiTheme="majorHAnsi" w:hAnsiTheme="majorHAnsi" w:cstheme="majorHAnsi"/>
          <w:sz w:val="21"/>
          <w:szCs w:val="21"/>
        </w:rPr>
        <w:t>Gegieckaitė</w:t>
      </w:r>
      <w:proofErr w:type="spellEnd"/>
      <w:r w:rsidRPr="00B35939">
        <w:rPr>
          <w:rFonts w:asciiTheme="majorHAnsi" w:hAnsiTheme="majorHAnsi" w:cstheme="majorHAnsi"/>
          <w:sz w:val="21"/>
          <w:szCs w:val="21"/>
        </w:rPr>
        <w:t xml:space="preserve"> G, </w:t>
      </w:r>
      <w:proofErr w:type="spellStart"/>
      <w:r w:rsidRPr="00B35939">
        <w:rPr>
          <w:rFonts w:asciiTheme="majorHAnsi" w:hAnsiTheme="majorHAnsi" w:cstheme="majorHAnsi"/>
          <w:sz w:val="21"/>
          <w:szCs w:val="21"/>
        </w:rPr>
        <w:t>Zamalijeva</w:t>
      </w:r>
      <w:proofErr w:type="spellEnd"/>
      <w:r w:rsidRPr="00B35939">
        <w:rPr>
          <w:rFonts w:asciiTheme="majorHAnsi" w:hAnsiTheme="majorHAnsi" w:cstheme="majorHAnsi"/>
          <w:sz w:val="21"/>
          <w:szCs w:val="21"/>
        </w:rPr>
        <w:t xml:space="preserve"> O, </w:t>
      </w:r>
      <w:proofErr w:type="spellStart"/>
      <w:r w:rsidRPr="00B35939">
        <w:rPr>
          <w:rFonts w:asciiTheme="majorHAnsi" w:hAnsiTheme="majorHAnsi" w:cstheme="majorHAnsi"/>
          <w:sz w:val="21"/>
          <w:szCs w:val="21"/>
        </w:rPr>
        <w:t>Pakalniškienė</w:t>
      </w:r>
      <w:proofErr w:type="spellEnd"/>
      <w:r w:rsidRPr="00B35939">
        <w:rPr>
          <w:rFonts w:asciiTheme="majorHAnsi" w:hAnsiTheme="majorHAnsi" w:cstheme="majorHAnsi"/>
          <w:sz w:val="21"/>
          <w:szCs w:val="21"/>
        </w:rPr>
        <w:t xml:space="preserve"> V. Unmet healthcare needs predict depression symptoms among older adults. Int J Environ Res Public Health. 2022;19(15):9002.</w:t>
      </w:r>
    </w:p>
    <w:p w14:paraId="184411E0" w14:textId="5FE4ADAF" w:rsidR="00B35939" w:rsidRPr="00B35939" w:rsidRDefault="00390DAA" w:rsidP="00B35939">
      <w:pPr>
        <w:pStyle w:val="abstract-paragraph"/>
        <w:numPr>
          <w:ilvl w:val="0"/>
          <w:numId w:val="7"/>
        </w:numPr>
        <w:rPr>
          <w:rFonts w:asciiTheme="majorHAnsi" w:hAnsiTheme="majorHAnsi" w:cstheme="majorHAnsi"/>
          <w:sz w:val="21"/>
          <w:szCs w:val="21"/>
        </w:rPr>
      </w:pPr>
      <w:bookmarkStart w:id="10" w:name="_Hlk222752715"/>
      <w:proofErr w:type="spellStart"/>
      <w:r w:rsidRPr="00390DAA">
        <w:rPr>
          <w:rFonts w:asciiTheme="majorHAnsi" w:hAnsiTheme="majorHAnsi" w:cstheme="majorHAnsi"/>
          <w:sz w:val="21"/>
          <w:szCs w:val="21"/>
        </w:rPr>
        <w:t>Dharmayani</w:t>
      </w:r>
      <w:proofErr w:type="spellEnd"/>
      <w:r w:rsidRPr="00390DAA">
        <w:rPr>
          <w:rFonts w:asciiTheme="majorHAnsi" w:hAnsiTheme="majorHAnsi" w:cstheme="majorHAnsi"/>
          <w:sz w:val="21"/>
          <w:szCs w:val="21"/>
        </w:rPr>
        <w:t xml:space="preserve"> PNA, </w:t>
      </w:r>
      <w:proofErr w:type="spellStart"/>
      <w:r w:rsidRPr="00390DAA">
        <w:rPr>
          <w:rFonts w:asciiTheme="majorHAnsi" w:hAnsiTheme="majorHAnsi" w:cstheme="majorHAnsi"/>
          <w:sz w:val="21"/>
          <w:szCs w:val="21"/>
        </w:rPr>
        <w:t>Mihrshahi</w:t>
      </w:r>
      <w:proofErr w:type="spellEnd"/>
      <w:r w:rsidRPr="00390DAA">
        <w:rPr>
          <w:rFonts w:asciiTheme="majorHAnsi" w:hAnsiTheme="majorHAnsi" w:cstheme="majorHAnsi"/>
          <w:sz w:val="21"/>
          <w:szCs w:val="21"/>
        </w:rPr>
        <w:t xml:space="preserve"> S. The prevalence of psychological distress and its associated sociodemographic factors in the Australian adults aged 18–64 years during COVID-19: data from the Australian National Health Survey. J Affect </w:t>
      </w:r>
      <w:proofErr w:type="spellStart"/>
      <w:r w:rsidRPr="00390DAA">
        <w:rPr>
          <w:rFonts w:asciiTheme="majorHAnsi" w:hAnsiTheme="majorHAnsi" w:cstheme="majorHAnsi"/>
          <w:sz w:val="21"/>
          <w:szCs w:val="21"/>
        </w:rPr>
        <w:t>Disord</w:t>
      </w:r>
      <w:proofErr w:type="spellEnd"/>
      <w:r w:rsidRPr="00390DAA">
        <w:rPr>
          <w:rFonts w:asciiTheme="majorHAnsi" w:hAnsiTheme="majorHAnsi" w:cstheme="majorHAnsi"/>
          <w:sz w:val="21"/>
          <w:szCs w:val="21"/>
        </w:rPr>
        <w:t>. 2025;368:312–9. doi:10.1016/j.jad.2024.09.085.</w:t>
      </w:r>
    </w:p>
    <w:bookmarkEnd w:id="10"/>
    <w:p w14:paraId="066E765A" w14:textId="77777777" w:rsidR="00B35939" w:rsidRPr="00B35939" w:rsidRDefault="00B35939" w:rsidP="00B35939">
      <w:pPr>
        <w:pStyle w:val="abstract-paragraph"/>
        <w:numPr>
          <w:ilvl w:val="0"/>
          <w:numId w:val="7"/>
        </w:numPr>
        <w:rPr>
          <w:rFonts w:asciiTheme="majorHAnsi" w:hAnsiTheme="majorHAnsi" w:cstheme="majorHAnsi"/>
          <w:sz w:val="21"/>
          <w:szCs w:val="21"/>
        </w:rPr>
      </w:pPr>
      <w:proofErr w:type="spellStart"/>
      <w:r w:rsidRPr="00B35939">
        <w:rPr>
          <w:rFonts w:asciiTheme="majorHAnsi" w:hAnsiTheme="majorHAnsi" w:cstheme="majorHAnsi"/>
          <w:sz w:val="21"/>
          <w:szCs w:val="21"/>
        </w:rPr>
        <w:t>Taxiarchi</w:t>
      </w:r>
      <w:proofErr w:type="spellEnd"/>
      <w:r w:rsidRPr="00B35939">
        <w:rPr>
          <w:rFonts w:asciiTheme="majorHAnsi" w:hAnsiTheme="majorHAnsi" w:cstheme="majorHAnsi"/>
          <w:sz w:val="21"/>
          <w:szCs w:val="21"/>
        </w:rPr>
        <w:t xml:space="preserve"> VP, Senior M, Ashcroft DM, Carr MJ, Hope H, </w:t>
      </w:r>
      <w:proofErr w:type="spellStart"/>
      <w:r w:rsidRPr="00B35939">
        <w:rPr>
          <w:rFonts w:asciiTheme="majorHAnsi" w:hAnsiTheme="majorHAnsi" w:cstheme="majorHAnsi"/>
          <w:sz w:val="21"/>
          <w:szCs w:val="21"/>
        </w:rPr>
        <w:t>Hotopf</w:t>
      </w:r>
      <w:proofErr w:type="spellEnd"/>
      <w:r w:rsidRPr="00B35939">
        <w:rPr>
          <w:rFonts w:asciiTheme="majorHAnsi" w:hAnsiTheme="majorHAnsi" w:cstheme="majorHAnsi"/>
          <w:sz w:val="21"/>
          <w:szCs w:val="21"/>
        </w:rPr>
        <w:t xml:space="preserve"> M, et al. Changes to healthcare utilisation and symptoms for common mental health problems over the first 21 months of the COVID-19 pandemic: parallel analyses of electronic health records and survey data in England. Lancet Reg Health Eur. 2023;32:100690.</w:t>
      </w:r>
    </w:p>
    <w:p w14:paraId="56BF021B"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Villaseñor A, Gaughan J, Aragón MJMA, </w:t>
      </w:r>
      <w:proofErr w:type="spellStart"/>
      <w:r w:rsidRPr="00B35939">
        <w:rPr>
          <w:rFonts w:asciiTheme="majorHAnsi" w:hAnsiTheme="majorHAnsi" w:cstheme="majorHAnsi"/>
          <w:sz w:val="21"/>
          <w:szCs w:val="21"/>
        </w:rPr>
        <w:t>Gutacker</w:t>
      </w:r>
      <w:proofErr w:type="spellEnd"/>
      <w:r w:rsidRPr="00B35939">
        <w:rPr>
          <w:rFonts w:asciiTheme="majorHAnsi" w:hAnsiTheme="majorHAnsi" w:cstheme="majorHAnsi"/>
          <w:sz w:val="21"/>
          <w:szCs w:val="21"/>
        </w:rPr>
        <w:t xml:space="preserve"> N, Gravelle H, Goddard M, et al. The impact of COVID-19 on mental health service utilisation in England. SSM Ment Health. 2023;3:100227.</w:t>
      </w:r>
    </w:p>
    <w:p w14:paraId="78C0B479"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 xml:space="preserve">Silva-Valencia J, Lapadula C, Westfall JM, Gaona G, de Lusignan S, Kristiansson RS, et al. Effect of the COVID-19 pandemic on mental health visits in primary care: an interrupted time series analysis from nine </w:t>
      </w:r>
      <w:proofErr w:type="spellStart"/>
      <w:r w:rsidRPr="00B35939">
        <w:rPr>
          <w:rFonts w:asciiTheme="majorHAnsi" w:hAnsiTheme="majorHAnsi" w:cstheme="majorHAnsi"/>
          <w:sz w:val="21"/>
          <w:szCs w:val="21"/>
        </w:rPr>
        <w:t>INTRePID</w:t>
      </w:r>
      <w:proofErr w:type="spellEnd"/>
      <w:r w:rsidRPr="00B35939">
        <w:rPr>
          <w:rFonts w:asciiTheme="majorHAnsi" w:hAnsiTheme="majorHAnsi" w:cstheme="majorHAnsi"/>
          <w:sz w:val="21"/>
          <w:szCs w:val="21"/>
        </w:rPr>
        <w:t xml:space="preserve"> countries. </w:t>
      </w:r>
      <w:proofErr w:type="spellStart"/>
      <w:r w:rsidRPr="00B35939">
        <w:rPr>
          <w:rFonts w:asciiTheme="majorHAnsi" w:hAnsiTheme="majorHAnsi" w:cstheme="majorHAnsi"/>
          <w:sz w:val="21"/>
          <w:szCs w:val="21"/>
        </w:rPr>
        <w:t>EClinicalMedicine</w:t>
      </w:r>
      <w:proofErr w:type="spellEnd"/>
      <w:r w:rsidRPr="00B35939">
        <w:rPr>
          <w:rFonts w:asciiTheme="majorHAnsi" w:hAnsiTheme="majorHAnsi" w:cstheme="majorHAnsi"/>
          <w:sz w:val="21"/>
          <w:szCs w:val="21"/>
        </w:rPr>
        <w:t>. 2024;70:102532.</w:t>
      </w:r>
    </w:p>
    <w:p w14:paraId="13D89107"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Bonanno GA, Gupta S. Resilience after disaster. In: Neria Y, Galea S, Norris FH, editors. Mental Health and Disasters. Cambridge: Cambridge University Press; 2009. p. 145-60.</w:t>
      </w:r>
    </w:p>
    <w:p w14:paraId="764071D0" w14:textId="77777777" w:rsidR="00B35939" w:rsidRP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t>NHS Digital. Adult Psychiatric Morbidity Survey: Survey of Mental Health and Wellbeing, England, 2023-24. 2024. Available from: </w:t>
      </w:r>
      <w:hyperlink r:id="rId20" w:tgtFrame="_blank" w:history="1">
        <w:r w:rsidRPr="00B35939">
          <w:rPr>
            <w:rStyle w:val="Hyperlink"/>
            <w:rFonts w:asciiTheme="majorHAnsi" w:hAnsiTheme="majorHAnsi" w:cstheme="majorHAnsi"/>
            <w:sz w:val="21"/>
            <w:szCs w:val="21"/>
          </w:rPr>
          <w:t>https://digital.nhs.uk/data-and-information/publications/statistical/adult-psychiatric-morbidity-survey/survey-of-mental-health-and-wellbeing-england-2023-24</w:t>
        </w:r>
      </w:hyperlink>
    </w:p>
    <w:p w14:paraId="215B2237" w14:textId="77777777" w:rsidR="00B35939" w:rsidRDefault="00B35939" w:rsidP="00B35939">
      <w:pPr>
        <w:pStyle w:val="abstract-paragraph"/>
        <w:numPr>
          <w:ilvl w:val="0"/>
          <w:numId w:val="7"/>
        </w:numPr>
        <w:rPr>
          <w:rFonts w:asciiTheme="majorHAnsi" w:hAnsiTheme="majorHAnsi" w:cstheme="majorHAnsi"/>
          <w:sz w:val="21"/>
          <w:szCs w:val="21"/>
        </w:rPr>
      </w:pPr>
      <w:r w:rsidRPr="00B35939">
        <w:rPr>
          <w:rFonts w:asciiTheme="majorHAnsi" w:hAnsiTheme="majorHAnsi" w:cstheme="majorHAnsi"/>
          <w:sz w:val="21"/>
          <w:szCs w:val="21"/>
        </w:rPr>
        <w:lastRenderedPageBreak/>
        <w:t xml:space="preserve">Maddock J, Parsons S, Di </w:t>
      </w:r>
      <w:proofErr w:type="spellStart"/>
      <w:r w:rsidRPr="00B35939">
        <w:rPr>
          <w:rFonts w:asciiTheme="majorHAnsi" w:hAnsiTheme="majorHAnsi" w:cstheme="majorHAnsi"/>
          <w:sz w:val="21"/>
          <w:szCs w:val="21"/>
        </w:rPr>
        <w:t>Gessa</w:t>
      </w:r>
      <w:proofErr w:type="spellEnd"/>
      <w:r w:rsidRPr="00B35939">
        <w:rPr>
          <w:rFonts w:asciiTheme="majorHAnsi" w:hAnsiTheme="majorHAnsi" w:cstheme="majorHAnsi"/>
          <w:sz w:val="21"/>
          <w:szCs w:val="21"/>
        </w:rPr>
        <w:t xml:space="preserve"> G, Green MJ, Thompson EJ, Stevenson AJ, et al. Inequalities in healthcare disruptions during the COVID-19 pandemic: evidence from 12 UK population-based longitudinal studies. J Epidemiol Community Health. 2022;76(</w:t>
      </w:r>
      <w:proofErr w:type="spellStart"/>
      <w:r w:rsidRPr="00B35939">
        <w:rPr>
          <w:rFonts w:asciiTheme="majorHAnsi" w:hAnsiTheme="majorHAnsi" w:cstheme="majorHAnsi"/>
          <w:sz w:val="21"/>
          <w:szCs w:val="21"/>
        </w:rPr>
        <w:t>Suppl</w:t>
      </w:r>
      <w:proofErr w:type="spellEnd"/>
      <w:r w:rsidRPr="00B35939">
        <w:rPr>
          <w:rFonts w:asciiTheme="majorHAnsi" w:hAnsiTheme="majorHAnsi" w:cstheme="majorHAnsi"/>
          <w:sz w:val="21"/>
          <w:szCs w:val="21"/>
        </w:rPr>
        <w:t xml:space="preserve"> 1):A1-2.</w:t>
      </w:r>
    </w:p>
    <w:p w14:paraId="0DF4178B" w14:textId="59EDA11D" w:rsidR="00390DAA" w:rsidRPr="00456E35" w:rsidRDefault="00390DAA" w:rsidP="00390DAA">
      <w:pPr>
        <w:pStyle w:val="ListParagraph"/>
        <w:numPr>
          <w:ilvl w:val="0"/>
          <w:numId w:val="7"/>
        </w:numPr>
        <w:rPr>
          <w:rFonts w:asciiTheme="majorHAnsi" w:eastAsia="Times New Roman" w:hAnsiTheme="majorHAnsi" w:cstheme="majorHAnsi"/>
          <w:sz w:val="21"/>
          <w:szCs w:val="21"/>
          <w:lang w:eastAsia="en-GB"/>
        </w:rPr>
      </w:pPr>
      <w:r w:rsidRPr="00390DAA">
        <w:rPr>
          <w:rFonts w:asciiTheme="majorHAnsi" w:eastAsia="Times New Roman" w:hAnsiTheme="majorHAnsi" w:cstheme="majorHAnsi"/>
          <w:sz w:val="21"/>
          <w:szCs w:val="21"/>
          <w:lang w:eastAsia="en-GB"/>
        </w:rPr>
        <w:t xml:space="preserve">Elliot AJ, Hughes HE, Astbury J, Nixon G, Brierley K, Vivancos R, et al. The potential impact of media reporting in syndromic surveillance: an example using a possible cryptosporidium exposure in north west </w:t>
      </w:r>
      <w:proofErr w:type="spellStart"/>
      <w:r w:rsidRPr="00390DAA">
        <w:rPr>
          <w:rFonts w:asciiTheme="majorHAnsi" w:eastAsia="Times New Roman" w:hAnsiTheme="majorHAnsi" w:cstheme="majorHAnsi"/>
          <w:sz w:val="21"/>
          <w:szCs w:val="21"/>
          <w:lang w:eastAsia="en-GB"/>
        </w:rPr>
        <w:t>england</w:t>
      </w:r>
      <w:proofErr w:type="spellEnd"/>
      <w:r w:rsidRPr="00390DAA">
        <w:rPr>
          <w:rFonts w:asciiTheme="majorHAnsi" w:eastAsia="Times New Roman" w:hAnsiTheme="majorHAnsi" w:cstheme="majorHAnsi"/>
          <w:sz w:val="21"/>
          <w:szCs w:val="21"/>
          <w:lang w:eastAsia="en-GB"/>
        </w:rPr>
        <w:t xml:space="preserve">. Euro </w:t>
      </w:r>
      <w:proofErr w:type="spellStart"/>
      <w:r w:rsidRPr="00390DAA">
        <w:rPr>
          <w:rFonts w:asciiTheme="majorHAnsi" w:eastAsia="Times New Roman" w:hAnsiTheme="majorHAnsi" w:cstheme="majorHAnsi"/>
          <w:sz w:val="21"/>
          <w:szCs w:val="21"/>
          <w:lang w:eastAsia="en-GB"/>
        </w:rPr>
        <w:t>Surveill</w:t>
      </w:r>
      <w:proofErr w:type="spellEnd"/>
      <w:r w:rsidRPr="00390DAA">
        <w:rPr>
          <w:rFonts w:asciiTheme="majorHAnsi" w:eastAsia="Times New Roman" w:hAnsiTheme="majorHAnsi" w:cstheme="majorHAnsi"/>
          <w:sz w:val="21"/>
          <w:szCs w:val="21"/>
          <w:lang w:eastAsia="en-GB"/>
        </w:rPr>
        <w:t>. 2016;21(41):30368.</w:t>
      </w:r>
    </w:p>
    <w:sectPr w:rsidR="00390DAA" w:rsidRPr="00456E35">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390F0" w14:textId="77777777" w:rsidR="000F02A5" w:rsidRDefault="000F02A5" w:rsidP="00D24C61">
      <w:pPr>
        <w:spacing w:after="0" w:line="240" w:lineRule="auto"/>
      </w:pPr>
      <w:r>
        <w:separator/>
      </w:r>
    </w:p>
  </w:endnote>
  <w:endnote w:type="continuationSeparator" w:id="0">
    <w:p w14:paraId="078B79CC" w14:textId="77777777" w:rsidR="000F02A5" w:rsidRDefault="000F02A5" w:rsidP="00D24C61">
      <w:pPr>
        <w:spacing w:after="0" w:line="240" w:lineRule="auto"/>
      </w:pPr>
      <w:r>
        <w:continuationSeparator/>
      </w:r>
    </w:p>
  </w:endnote>
  <w:endnote w:type="continuationNotice" w:id="1">
    <w:p w14:paraId="10D3CAF8" w14:textId="77777777" w:rsidR="000F02A5" w:rsidRDefault="000F02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475668"/>
      <w:docPartObj>
        <w:docPartGallery w:val="Page Numbers (Bottom of Page)"/>
        <w:docPartUnique/>
      </w:docPartObj>
    </w:sdtPr>
    <w:sdtContent>
      <w:p w14:paraId="791CD475" w14:textId="60F6E980" w:rsidR="00FA30D6" w:rsidRDefault="00FA30D6">
        <w:pPr>
          <w:pStyle w:val="Footer"/>
          <w:jc w:val="center"/>
        </w:pPr>
        <w:r>
          <w:fldChar w:fldCharType="begin"/>
        </w:r>
        <w:r>
          <w:instrText>PAGE   \* MERGEFORMAT</w:instrText>
        </w:r>
        <w:r>
          <w:fldChar w:fldCharType="separate"/>
        </w:r>
        <w:r>
          <w:t>2</w:t>
        </w:r>
        <w:r>
          <w:fldChar w:fldCharType="end"/>
        </w:r>
      </w:p>
    </w:sdtContent>
  </w:sdt>
  <w:p w14:paraId="11468FB2" w14:textId="77777777" w:rsidR="00FA30D6" w:rsidRDefault="00FA3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3122B" w14:textId="77777777" w:rsidR="000F02A5" w:rsidRDefault="000F02A5" w:rsidP="00D24C61">
      <w:pPr>
        <w:spacing w:after="0" w:line="240" w:lineRule="auto"/>
      </w:pPr>
      <w:r>
        <w:separator/>
      </w:r>
    </w:p>
  </w:footnote>
  <w:footnote w:type="continuationSeparator" w:id="0">
    <w:p w14:paraId="48FFC293" w14:textId="77777777" w:rsidR="000F02A5" w:rsidRDefault="000F02A5" w:rsidP="00D24C61">
      <w:pPr>
        <w:spacing w:after="0" w:line="240" w:lineRule="auto"/>
      </w:pPr>
      <w:r>
        <w:continuationSeparator/>
      </w:r>
    </w:p>
  </w:footnote>
  <w:footnote w:type="continuationNotice" w:id="1">
    <w:p w14:paraId="0342C171" w14:textId="77777777" w:rsidR="000F02A5" w:rsidRDefault="000F02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9FE2" w14:textId="2BA24F1C" w:rsidR="0EEA11BE" w:rsidRDefault="0EEA11BE" w:rsidP="0EEA1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2982" w14:textId="103B5500" w:rsidR="0EEA11BE" w:rsidRDefault="0EEA11BE" w:rsidP="0EEA1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727C"/>
    <w:multiLevelType w:val="hybridMultilevel"/>
    <w:tmpl w:val="AA7AAA16"/>
    <w:lvl w:ilvl="0" w:tplc="7744E4EE">
      <w:start w:val="1"/>
      <w:numFmt w:val="bullet"/>
      <w:lvlText w:val=""/>
      <w:lvlJc w:val="left"/>
      <w:pPr>
        <w:ind w:left="1080" w:hanging="360"/>
      </w:pPr>
      <w:rPr>
        <w:rFonts w:ascii="Symbol" w:hAnsi="Symbol"/>
      </w:rPr>
    </w:lvl>
    <w:lvl w:ilvl="1" w:tplc="FE1637E0">
      <w:start w:val="1"/>
      <w:numFmt w:val="bullet"/>
      <w:lvlText w:val=""/>
      <w:lvlJc w:val="left"/>
      <w:pPr>
        <w:ind w:left="1080" w:hanging="360"/>
      </w:pPr>
      <w:rPr>
        <w:rFonts w:ascii="Symbol" w:hAnsi="Symbol"/>
      </w:rPr>
    </w:lvl>
    <w:lvl w:ilvl="2" w:tplc="F2E82FC4">
      <w:start w:val="1"/>
      <w:numFmt w:val="bullet"/>
      <w:lvlText w:val=""/>
      <w:lvlJc w:val="left"/>
      <w:pPr>
        <w:ind w:left="1080" w:hanging="360"/>
      </w:pPr>
      <w:rPr>
        <w:rFonts w:ascii="Symbol" w:hAnsi="Symbol"/>
      </w:rPr>
    </w:lvl>
    <w:lvl w:ilvl="3" w:tplc="F2DEF8FA">
      <w:start w:val="1"/>
      <w:numFmt w:val="bullet"/>
      <w:lvlText w:val=""/>
      <w:lvlJc w:val="left"/>
      <w:pPr>
        <w:ind w:left="1080" w:hanging="360"/>
      </w:pPr>
      <w:rPr>
        <w:rFonts w:ascii="Symbol" w:hAnsi="Symbol"/>
      </w:rPr>
    </w:lvl>
    <w:lvl w:ilvl="4" w:tplc="2EB8A916">
      <w:start w:val="1"/>
      <w:numFmt w:val="bullet"/>
      <w:lvlText w:val=""/>
      <w:lvlJc w:val="left"/>
      <w:pPr>
        <w:ind w:left="1080" w:hanging="360"/>
      </w:pPr>
      <w:rPr>
        <w:rFonts w:ascii="Symbol" w:hAnsi="Symbol"/>
      </w:rPr>
    </w:lvl>
    <w:lvl w:ilvl="5" w:tplc="1F9AA5D0">
      <w:start w:val="1"/>
      <w:numFmt w:val="bullet"/>
      <w:lvlText w:val=""/>
      <w:lvlJc w:val="left"/>
      <w:pPr>
        <w:ind w:left="1080" w:hanging="360"/>
      </w:pPr>
      <w:rPr>
        <w:rFonts w:ascii="Symbol" w:hAnsi="Symbol"/>
      </w:rPr>
    </w:lvl>
    <w:lvl w:ilvl="6" w:tplc="CA12AC30">
      <w:start w:val="1"/>
      <w:numFmt w:val="bullet"/>
      <w:lvlText w:val=""/>
      <w:lvlJc w:val="left"/>
      <w:pPr>
        <w:ind w:left="1080" w:hanging="360"/>
      </w:pPr>
      <w:rPr>
        <w:rFonts w:ascii="Symbol" w:hAnsi="Symbol"/>
      </w:rPr>
    </w:lvl>
    <w:lvl w:ilvl="7" w:tplc="17CAE2C0">
      <w:start w:val="1"/>
      <w:numFmt w:val="bullet"/>
      <w:lvlText w:val=""/>
      <w:lvlJc w:val="left"/>
      <w:pPr>
        <w:ind w:left="1080" w:hanging="360"/>
      </w:pPr>
      <w:rPr>
        <w:rFonts w:ascii="Symbol" w:hAnsi="Symbol"/>
      </w:rPr>
    </w:lvl>
    <w:lvl w:ilvl="8" w:tplc="62F61264">
      <w:start w:val="1"/>
      <w:numFmt w:val="bullet"/>
      <w:lvlText w:val=""/>
      <w:lvlJc w:val="left"/>
      <w:pPr>
        <w:ind w:left="1080" w:hanging="360"/>
      </w:pPr>
      <w:rPr>
        <w:rFonts w:ascii="Symbol" w:hAnsi="Symbol"/>
      </w:rPr>
    </w:lvl>
  </w:abstractNum>
  <w:abstractNum w:abstractNumId="1" w15:restartNumberingAfterBreak="0">
    <w:nsid w:val="49C67596"/>
    <w:multiLevelType w:val="multilevel"/>
    <w:tmpl w:val="98405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290188"/>
    <w:multiLevelType w:val="hybridMultilevel"/>
    <w:tmpl w:val="F2649206"/>
    <w:lvl w:ilvl="0" w:tplc="86981964">
      <w:start w:val="1"/>
      <w:numFmt w:val="decimal"/>
      <w:lvlText w:val="%1."/>
      <w:lvlJc w:val="left"/>
      <w:pPr>
        <w:ind w:left="1020" w:hanging="360"/>
      </w:pPr>
    </w:lvl>
    <w:lvl w:ilvl="1" w:tplc="72E2DB32">
      <w:start w:val="1"/>
      <w:numFmt w:val="decimal"/>
      <w:lvlText w:val="%2."/>
      <w:lvlJc w:val="left"/>
      <w:pPr>
        <w:ind w:left="1020" w:hanging="360"/>
      </w:pPr>
    </w:lvl>
    <w:lvl w:ilvl="2" w:tplc="CC32142E">
      <w:start w:val="1"/>
      <w:numFmt w:val="decimal"/>
      <w:lvlText w:val="%3."/>
      <w:lvlJc w:val="left"/>
      <w:pPr>
        <w:ind w:left="1020" w:hanging="360"/>
      </w:pPr>
    </w:lvl>
    <w:lvl w:ilvl="3" w:tplc="8A30DAD6">
      <w:start w:val="1"/>
      <w:numFmt w:val="decimal"/>
      <w:lvlText w:val="%4."/>
      <w:lvlJc w:val="left"/>
      <w:pPr>
        <w:ind w:left="1020" w:hanging="360"/>
      </w:pPr>
    </w:lvl>
    <w:lvl w:ilvl="4" w:tplc="D49856CA">
      <w:start w:val="1"/>
      <w:numFmt w:val="decimal"/>
      <w:lvlText w:val="%5."/>
      <w:lvlJc w:val="left"/>
      <w:pPr>
        <w:ind w:left="1020" w:hanging="360"/>
      </w:pPr>
    </w:lvl>
    <w:lvl w:ilvl="5" w:tplc="D870EBFC">
      <w:start w:val="1"/>
      <w:numFmt w:val="decimal"/>
      <w:lvlText w:val="%6."/>
      <w:lvlJc w:val="left"/>
      <w:pPr>
        <w:ind w:left="1020" w:hanging="360"/>
      </w:pPr>
    </w:lvl>
    <w:lvl w:ilvl="6" w:tplc="B55070A8">
      <w:start w:val="1"/>
      <w:numFmt w:val="decimal"/>
      <w:lvlText w:val="%7."/>
      <w:lvlJc w:val="left"/>
      <w:pPr>
        <w:ind w:left="1020" w:hanging="360"/>
      </w:pPr>
    </w:lvl>
    <w:lvl w:ilvl="7" w:tplc="62500E16">
      <w:start w:val="1"/>
      <w:numFmt w:val="decimal"/>
      <w:lvlText w:val="%8."/>
      <w:lvlJc w:val="left"/>
      <w:pPr>
        <w:ind w:left="1020" w:hanging="360"/>
      </w:pPr>
    </w:lvl>
    <w:lvl w:ilvl="8" w:tplc="C36C9206">
      <w:start w:val="1"/>
      <w:numFmt w:val="decimal"/>
      <w:lvlText w:val="%9."/>
      <w:lvlJc w:val="left"/>
      <w:pPr>
        <w:ind w:left="1020" w:hanging="360"/>
      </w:pPr>
    </w:lvl>
  </w:abstractNum>
  <w:abstractNum w:abstractNumId="3" w15:restartNumberingAfterBreak="0">
    <w:nsid w:val="4F762BBA"/>
    <w:multiLevelType w:val="hybridMultilevel"/>
    <w:tmpl w:val="91F4D456"/>
    <w:lvl w:ilvl="0" w:tplc="5C2210E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C45A24"/>
    <w:multiLevelType w:val="hybridMultilevel"/>
    <w:tmpl w:val="A6B601EA"/>
    <w:lvl w:ilvl="0" w:tplc="A7760640">
      <w:start w:val="1"/>
      <w:numFmt w:val="decimal"/>
      <w:lvlText w:val="%1."/>
      <w:lvlJc w:val="left"/>
      <w:pPr>
        <w:ind w:left="1020" w:hanging="360"/>
      </w:pPr>
    </w:lvl>
    <w:lvl w:ilvl="1" w:tplc="0E88FCAC">
      <w:start w:val="1"/>
      <w:numFmt w:val="decimal"/>
      <w:lvlText w:val="%2."/>
      <w:lvlJc w:val="left"/>
      <w:pPr>
        <w:ind w:left="1020" w:hanging="360"/>
      </w:pPr>
    </w:lvl>
    <w:lvl w:ilvl="2" w:tplc="19761B32">
      <w:start w:val="1"/>
      <w:numFmt w:val="decimal"/>
      <w:lvlText w:val="%3."/>
      <w:lvlJc w:val="left"/>
      <w:pPr>
        <w:ind w:left="1020" w:hanging="360"/>
      </w:pPr>
    </w:lvl>
    <w:lvl w:ilvl="3" w:tplc="A1E0926E">
      <w:start w:val="1"/>
      <w:numFmt w:val="decimal"/>
      <w:lvlText w:val="%4."/>
      <w:lvlJc w:val="left"/>
      <w:pPr>
        <w:ind w:left="1020" w:hanging="360"/>
      </w:pPr>
    </w:lvl>
    <w:lvl w:ilvl="4" w:tplc="F83E2102">
      <w:start w:val="1"/>
      <w:numFmt w:val="decimal"/>
      <w:lvlText w:val="%5."/>
      <w:lvlJc w:val="left"/>
      <w:pPr>
        <w:ind w:left="1020" w:hanging="360"/>
      </w:pPr>
    </w:lvl>
    <w:lvl w:ilvl="5" w:tplc="98FA5F72">
      <w:start w:val="1"/>
      <w:numFmt w:val="decimal"/>
      <w:lvlText w:val="%6."/>
      <w:lvlJc w:val="left"/>
      <w:pPr>
        <w:ind w:left="1020" w:hanging="360"/>
      </w:pPr>
    </w:lvl>
    <w:lvl w:ilvl="6" w:tplc="FEAA4BCA">
      <w:start w:val="1"/>
      <w:numFmt w:val="decimal"/>
      <w:lvlText w:val="%7."/>
      <w:lvlJc w:val="left"/>
      <w:pPr>
        <w:ind w:left="1020" w:hanging="360"/>
      </w:pPr>
    </w:lvl>
    <w:lvl w:ilvl="7" w:tplc="FD46EA46">
      <w:start w:val="1"/>
      <w:numFmt w:val="decimal"/>
      <w:lvlText w:val="%8."/>
      <w:lvlJc w:val="left"/>
      <w:pPr>
        <w:ind w:left="1020" w:hanging="360"/>
      </w:pPr>
    </w:lvl>
    <w:lvl w:ilvl="8" w:tplc="1B90C4A8">
      <w:start w:val="1"/>
      <w:numFmt w:val="decimal"/>
      <w:lvlText w:val="%9."/>
      <w:lvlJc w:val="left"/>
      <w:pPr>
        <w:ind w:left="1020" w:hanging="360"/>
      </w:pPr>
    </w:lvl>
  </w:abstractNum>
  <w:abstractNum w:abstractNumId="5" w15:restartNumberingAfterBreak="0">
    <w:nsid w:val="760201D7"/>
    <w:multiLevelType w:val="hybridMultilevel"/>
    <w:tmpl w:val="F0B84C66"/>
    <w:lvl w:ilvl="0" w:tplc="C1C411E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056FD2"/>
    <w:multiLevelType w:val="multilevel"/>
    <w:tmpl w:val="31D8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4888133">
    <w:abstractNumId w:val="6"/>
  </w:num>
  <w:num w:numId="2" w16cid:durableId="187571911">
    <w:abstractNumId w:val="5"/>
  </w:num>
  <w:num w:numId="3" w16cid:durableId="34819414">
    <w:abstractNumId w:val="3"/>
  </w:num>
  <w:num w:numId="4" w16cid:durableId="176696740">
    <w:abstractNumId w:val="4"/>
  </w:num>
  <w:num w:numId="5" w16cid:durableId="1247954431">
    <w:abstractNumId w:val="2"/>
  </w:num>
  <w:num w:numId="6" w16cid:durableId="1994942287">
    <w:abstractNumId w:val="0"/>
  </w:num>
  <w:num w:numId="7" w16cid:durableId="115556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v9t0avlfvre0e0vwo5vpta9dtep0w5pzxp&quot;&gt;climatemh&lt;record-ids&gt;&lt;item&gt;123&lt;/item&gt;&lt;item&gt;186&lt;/item&gt;&lt;item&gt;188&lt;/item&gt;&lt;item&gt;189&lt;/item&gt;&lt;item&gt;190&lt;/item&gt;&lt;item&gt;191&lt;/item&gt;&lt;item&gt;193&lt;/item&gt;&lt;item&gt;194&lt;/item&gt;&lt;item&gt;195&lt;/item&gt;&lt;item&gt;196&lt;/item&gt;&lt;item&gt;197&lt;/item&gt;&lt;item&gt;198&lt;/item&gt;&lt;item&gt;199&lt;/item&gt;&lt;item&gt;203&lt;/item&gt;&lt;item&gt;204&lt;/item&gt;&lt;item&gt;205&lt;/item&gt;&lt;item&gt;206&lt;/item&gt;&lt;item&gt;207&lt;/item&gt;&lt;item&gt;211&lt;/item&gt;&lt;item&gt;213&lt;/item&gt;&lt;item&gt;214&lt;/item&gt;&lt;item&gt;216&lt;/item&gt;&lt;item&gt;217&lt;/item&gt;&lt;item&gt;218&lt;/item&gt;&lt;item&gt;219&lt;/item&gt;&lt;item&gt;221&lt;/item&gt;&lt;item&gt;222&lt;/item&gt;&lt;item&gt;224&lt;/item&gt;&lt;item&gt;225&lt;/item&gt;&lt;item&gt;226&lt;/item&gt;&lt;item&gt;228&lt;/item&gt;&lt;item&gt;229&lt;/item&gt;&lt;item&gt;230&lt;/item&gt;&lt;item&gt;231&lt;/item&gt;&lt;item&gt;232&lt;/item&gt;&lt;item&gt;233&lt;/item&gt;&lt;item&gt;234&lt;/item&gt;&lt;item&gt;237&lt;/item&gt;&lt;item&gt;238&lt;/item&gt;&lt;item&gt;249&lt;/item&gt;&lt;item&gt;250&lt;/item&gt;&lt;item&gt;251&lt;/item&gt;&lt;item&gt;252&lt;/item&gt;&lt;item&gt;253&lt;/item&gt;&lt;item&gt;254&lt;/item&gt;&lt;item&gt;255&lt;/item&gt;&lt;item&gt;257&lt;/item&gt;&lt;item&gt;262&lt;/item&gt;&lt;/record-ids&gt;&lt;/item&gt;&lt;/Libraries&gt;"/>
  </w:docVars>
  <w:rsids>
    <w:rsidRoot w:val="00C05743"/>
    <w:rsid w:val="00001054"/>
    <w:rsid w:val="000020A8"/>
    <w:rsid w:val="000025D4"/>
    <w:rsid w:val="00002A8C"/>
    <w:rsid w:val="000030E0"/>
    <w:rsid w:val="00004E25"/>
    <w:rsid w:val="00006749"/>
    <w:rsid w:val="00010EF2"/>
    <w:rsid w:val="00011A0F"/>
    <w:rsid w:val="00012E90"/>
    <w:rsid w:val="00013A6E"/>
    <w:rsid w:val="000140A6"/>
    <w:rsid w:val="00014102"/>
    <w:rsid w:val="00014AB1"/>
    <w:rsid w:val="00017357"/>
    <w:rsid w:val="00021642"/>
    <w:rsid w:val="0002458D"/>
    <w:rsid w:val="00024EB1"/>
    <w:rsid w:val="0002526B"/>
    <w:rsid w:val="000254A7"/>
    <w:rsid w:val="0002567D"/>
    <w:rsid w:val="00025E5C"/>
    <w:rsid w:val="0002638D"/>
    <w:rsid w:val="00027447"/>
    <w:rsid w:val="00027D7E"/>
    <w:rsid w:val="00030B3A"/>
    <w:rsid w:val="00031288"/>
    <w:rsid w:val="00031D92"/>
    <w:rsid w:val="00031F2A"/>
    <w:rsid w:val="00032049"/>
    <w:rsid w:val="00032638"/>
    <w:rsid w:val="0003272A"/>
    <w:rsid w:val="00032EBA"/>
    <w:rsid w:val="00033399"/>
    <w:rsid w:val="00033CEF"/>
    <w:rsid w:val="0003497D"/>
    <w:rsid w:val="0003564A"/>
    <w:rsid w:val="000366FF"/>
    <w:rsid w:val="000377EA"/>
    <w:rsid w:val="0004033B"/>
    <w:rsid w:val="00040E40"/>
    <w:rsid w:val="00041A8F"/>
    <w:rsid w:val="000428BD"/>
    <w:rsid w:val="00042F8D"/>
    <w:rsid w:val="0004572C"/>
    <w:rsid w:val="00045C5F"/>
    <w:rsid w:val="000461E3"/>
    <w:rsid w:val="000473BD"/>
    <w:rsid w:val="00047978"/>
    <w:rsid w:val="00047C0B"/>
    <w:rsid w:val="0005089A"/>
    <w:rsid w:val="00050A08"/>
    <w:rsid w:val="00050C77"/>
    <w:rsid w:val="000514A6"/>
    <w:rsid w:val="00051A2A"/>
    <w:rsid w:val="00052306"/>
    <w:rsid w:val="00052687"/>
    <w:rsid w:val="000526C4"/>
    <w:rsid w:val="00053D8E"/>
    <w:rsid w:val="00053D9F"/>
    <w:rsid w:val="00054184"/>
    <w:rsid w:val="00054421"/>
    <w:rsid w:val="000550B1"/>
    <w:rsid w:val="000559BD"/>
    <w:rsid w:val="00055F5E"/>
    <w:rsid w:val="00056C71"/>
    <w:rsid w:val="00056FE4"/>
    <w:rsid w:val="00057207"/>
    <w:rsid w:val="000607EF"/>
    <w:rsid w:val="000608F1"/>
    <w:rsid w:val="000611CC"/>
    <w:rsid w:val="000631CD"/>
    <w:rsid w:val="00063ADC"/>
    <w:rsid w:val="00063E3E"/>
    <w:rsid w:val="00063EC6"/>
    <w:rsid w:val="000644D6"/>
    <w:rsid w:val="00064679"/>
    <w:rsid w:val="000647E4"/>
    <w:rsid w:val="00064923"/>
    <w:rsid w:val="00067A78"/>
    <w:rsid w:val="000703B8"/>
    <w:rsid w:val="00070789"/>
    <w:rsid w:val="0007091F"/>
    <w:rsid w:val="00070DA1"/>
    <w:rsid w:val="00072399"/>
    <w:rsid w:val="00072DC9"/>
    <w:rsid w:val="00073500"/>
    <w:rsid w:val="00073A83"/>
    <w:rsid w:val="00073EDE"/>
    <w:rsid w:val="0007499E"/>
    <w:rsid w:val="00074EB4"/>
    <w:rsid w:val="00076230"/>
    <w:rsid w:val="00077B0F"/>
    <w:rsid w:val="00080942"/>
    <w:rsid w:val="0008140F"/>
    <w:rsid w:val="00083985"/>
    <w:rsid w:val="00083B98"/>
    <w:rsid w:val="000851E3"/>
    <w:rsid w:val="00086B28"/>
    <w:rsid w:val="000900C9"/>
    <w:rsid w:val="00090310"/>
    <w:rsid w:val="00091E4C"/>
    <w:rsid w:val="0009221E"/>
    <w:rsid w:val="000927EA"/>
    <w:rsid w:val="00092AC0"/>
    <w:rsid w:val="00093404"/>
    <w:rsid w:val="0009489B"/>
    <w:rsid w:val="00094DAA"/>
    <w:rsid w:val="00095149"/>
    <w:rsid w:val="00096B83"/>
    <w:rsid w:val="000A0402"/>
    <w:rsid w:val="000A0E45"/>
    <w:rsid w:val="000A1B76"/>
    <w:rsid w:val="000A1DA4"/>
    <w:rsid w:val="000A2CB3"/>
    <w:rsid w:val="000A38AC"/>
    <w:rsid w:val="000A4232"/>
    <w:rsid w:val="000A5A6F"/>
    <w:rsid w:val="000B0936"/>
    <w:rsid w:val="000B0C13"/>
    <w:rsid w:val="000B1322"/>
    <w:rsid w:val="000B2895"/>
    <w:rsid w:val="000B2E5D"/>
    <w:rsid w:val="000B30B9"/>
    <w:rsid w:val="000B30C5"/>
    <w:rsid w:val="000B3586"/>
    <w:rsid w:val="000B3944"/>
    <w:rsid w:val="000B3D0F"/>
    <w:rsid w:val="000B3DAD"/>
    <w:rsid w:val="000B4527"/>
    <w:rsid w:val="000B5171"/>
    <w:rsid w:val="000B5669"/>
    <w:rsid w:val="000B5EA6"/>
    <w:rsid w:val="000B6464"/>
    <w:rsid w:val="000B6493"/>
    <w:rsid w:val="000B694C"/>
    <w:rsid w:val="000C2000"/>
    <w:rsid w:val="000C3415"/>
    <w:rsid w:val="000C4B6C"/>
    <w:rsid w:val="000C5356"/>
    <w:rsid w:val="000C5B21"/>
    <w:rsid w:val="000C5DF0"/>
    <w:rsid w:val="000C6305"/>
    <w:rsid w:val="000D1115"/>
    <w:rsid w:val="000D1C0F"/>
    <w:rsid w:val="000D2E4D"/>
    <w:rsid w:val="000D3194"/>
    <w:rsid w:val="000D49FB"/>
    <w:rsid w:val="000D4BEC"/>
    <w:rsid w:val="000D4DCA"/>
    <w:rsid w:val="000D52CA"/>
    <w:rsid w:val="000D52CE"/>
    <w:rsid w:val="000D64AB"/>
    <w:rsid w:val="000D6A04"/>
    <w:rsid w:val="000E07B5"/>
    <w:rsid w:val="000E109D"/>
    <w:rsid w:val="000E28AB"/>
    <w:rsid w:val="000E3A58"/>
    <w:rsid w:val="000E5975"/>
    <w:rsid w:val="000E5BDA"/>
    <w:rsid w:val="000E677D"/>
    <w:rsid w:val="000E7CA8"/>
    <w:rsid w:val="000F0292"/>
    <w:rsid w:val="000F02A5"/>
    <w:rsid w:val="000F0F08"/>
    <w:rsid w:val="000F1844"/>
    <w:rsid w:val="000F19EE"/>
    <w:rsid w:val="000F3AE7"/>
    <w:rsid w:val="000F448A"/>
    <w:rsid w:val="000F4A5B"/>
    <w:rsid w:val="000F591C"/>
    <w:rsid w:val="001004BF"/>
    <w:rsid w:val="001004E9"/>
    <w:rsid w:val="00101143"/>
    <w:rsid w:val="001014F2"/>
    <w:rsid w:val="00101E0C"/>
    <w:rsid w:val="001025B9"/>
    <w:rsid w:val="00103C19"/>
    <w:rsid w:val="00105B64"/>
    <w:rsid w:val="00107351"/>
    <w:rsid w:val="0011057D"/>
    <w:rsid w:val="00110780"/>
    <w:rsid w:val="00110B72"/>
    <w:rsid w:val="00110D75"/>
    <w:rsid w:val="001110B4"/>
    <w:rsid w:val="00111408"/>
    <w:rsid w:val="001128AA"/>
    <w:rsid w:val="001131DB"/>
    <w:rsid w:val="001132E0"/>
    <w:rsid w:val="0011349B"/>
    <w:rsid w:val="00113B07"/>
    <w:rsid w:val="00114089"/>
    <w:rsid w:val="001145A8"/>
    <w:rsid w:val="00114E3E"/>
    <w:rsid w:val="00114F8A"/>
    <w:rsid w:val="001161D8"/>
    <w:rsid w:val="001168C7"/>
    <w:rsid w:val="00116C09"/>
    <w:rsid w:val="001170D6"/>
    <w:rsid w:val="00117271"/>
    <w:rsid w:val="00123791"/>
    <w:rsid w:val="00123C48"/>
    <w:rsid w:val="001242CE"/>
    <w:rsid w:val="001253F7"/>
    <w:rsid w:val="00126FF4"/>
    <w:rsid w:val="00127367"/>
    <w:rsid w:val="00130E67"/>
    <w:rsid w:val="001331D1"/>
    <w:rsid w:val="001364C3"/>
    <w:rsid w:val="001408CB"/>
    <w:rsid w:val="00140CEA"/>
    <w:rsid w:val="00141B49"/>
    <w:rsid w:val="00144D61"/>
    <w:rsid w:val="0014508B"/>
    <w:rsid w:val="0014542C"/>
    <w:rsid w:val="001465C1"/>
    <w:rsid w:val="00147189"/>
    <w:rsid w:val="001502A9"/>
    <w:rsid w:val="0015071C"/>
    <w:rsid w:val="001508F6"/>
    <w:rsid w:val="00151E4C"/>
    <w:rsid w:val="00151F46"/>
    <w:rsid w:val="001524CA"/>
    <w:rsid w:val="001535AF"/>
    <w:rsid w:val="00153654"/>
    <w:rsid w:val="00153EFD"/>
    <w:rsid w:val="00155798"/>
    <w:rsid w:val="00155BE7"/>
    <w:rsid w:val="001560FD"/>
    <w:rsid w:val="001579B6"/>
    <w:rsid w:val="001579CE"/>
    <w:rsid w:val="00160C17"/>
    <w:rsid w:val="00160E1E"/>
    <w:rsid w:val="00161AA3"/>
    <w:rsid w:val="00162149"/>
    <w:rsid w:val="00162156"/>
    <w:rsid w:val="00162197"/>
    <w:rsid w:val="00162818"/>
    <w:rsid w:val="00162A1D"/>
    <w:rsid w:val="00162E2D"/>
    <w:rsid w:val="00165C7B"/>
    <w:rsid w:val="001671CD"/>
    <w:rsid w:val="00167635"/>
    <w:rsid w:val="0016791A"/>
    <w:rsid w:val="00167DEC"/>
    <w:rsid w:val="001708EC"/>
    <w:rsid w:val="00170DB9"/>
    <w:rsid w:val="00171255"/>
    <w:rsid w:val="0017200C"/>
    <w:rsid w:val="001726E2"/>
    <w:rsid w:val="0017345D"/>
    <w:rsid w:val="001762B5"/>
    <w:rsid w:val="001766B0"/>
    <w:rsid w:val="0017689D"/>
    <w:rsid w:val="00176EB4"/>
    <w:rsid w:val="001813E0"/>
    <w:rsid w:val="001816C4"/>
    <w:rsid w:val="00181779"/>
    <w:rsid w:val="00181EFD"/>
    <w:rsid w:val="0018289E"/>
    <w:rsid w:val="0018307C"/>
    <w:rsid w:val="00190E88"/>
    <w:rsid w:val="001910E6"/>
    <w:rsid w:val="0019116A"/>
    <w:rsid w:val="00191C24"/>
    <w:rsid w:val="001934C3"/>
    <w:rsid w:val="001938F4"/>
    <w:rsid w:val="00193A81"/>
    <w:rsid w:val="00193CF1"/>
    <w:rsid w:val="001944A6"/>
    <w:rsid w:val="00194E88"/>
    <w:rsid w:val="001963B7"/>
    <w:rsid w:val="00196805"/>
    <w:rsid w:val="00196852"/>
    <w:rsid w:val="00197355"/>
    <w:rsid w:val="001976B3"/>
    <w:rsid w:val="001A063C"/>
    <w:rsid w:val="001A350A"/>
    <w:rsid w:val="001A4B61"/>
    <w:rsid w:val="001A5312"/>
    <w:rsid w:val="001A6038"/>
    <w:rsid w:val="001A74A2"/>
    <w:rsid w:val="001A7548"/>
    <w:rsid w:val="001A7755"/>
    <w:rsid w:val="001B1282"/>
    <w:rsid w:val="001B20D4"/>
    <w:rsid w:val="001B27AB"/>
    <w:rsid w:val="001B2E74"/>
    <w:rsid w:val="001B446B"/>
    <w:rsid w:val="001B45E6"/>
    <w:rsid w:val="001B4CC3"/>
    <w:rsid w:val="001B4F5E"/>
    <w:rsid w:val="001B6467"/>
    <w:rsid w:val="001B6F90"/>
    <w:rsid w:val="001B6FC1"/>
    <w:rsid w:val="001B71BD"/>
    <w:rsid w:val="001B7515"/>
    <w:rsid w:val="001B7F72"/>
    <w:rsid w:val="001C0679"/>
    <w:rsid w:val="001C09B8"/>
    <w:rsid w:val="001C0DD3"/>
    <w:rsid w:val="001C25B2"/>
    <w:rsid w:val="001C32BC"/>
    <w:rsid w:val="001C33E5"/>
    <w:rsid w:val="001C3522"/>
    <w:rsid w:val="001C40DC"/>
    <w:rsid w:val="001C44AD"/>
    <w:rsid w:val="001C4E10"/>
    <w:rsid w:val="001C63CB"/>
    <w:rsid w:val="001C6779"/>
    <w:rsid w:val="001C7126"/>
    <w:rsid w:val="001C72E5"/>
    <w:rsid w:val="001D0A00"/>
    <w:rsid w:val="001D0A5B"/>
    <w:rsid w:val="001D1A47"/>
    <w:rsid w:val="001D4321"/>
    <w:rsid w:val="001D4AB0"/>
    <w:rsid w:val="001D52F3"/>
    <w:rsid w:val="001D5F3B"/>
    <w:rsid w:val="001D6074"/>
    <w:rsid w:val="001D7588"/>
    <w:rsid w:val="001E1784"/>
    <w:rsid w:val="001E1883"/>
    <w:rsid w:val="001E1D01"/>
    <w:rsid w:val="001E21A6"/>
    <w:rsid w:val="001E294A"/>
    <w:rsid w:val="001E2DDC"/>
    <w:rsid w:val="001E2FC2"/>
    <w:rsid w:val="001E547B"/>
    <w:rsid w:val="001E6032"/>
    <w:rsid w:val="001E6CE0"/>
    <w:rsid w:val="001F0A95"/>
    <w:rsid w:val="001F10C9"/>
    <w:rsid w:val="001F1416"/>
    <w:rsid w:val="001F2400"/>
    <w:rsid w:val="001F2505"/>
    <w:rsid w:val="001F4364"/>
    <w:rsid w:val="001F5C5F"/>
    <w:rsid w:val="001F5E2B"/>
    <w:rsid w:val="001F5F86"/>
    <w:rsid w:val="001F76D0"/>
    <w:rsid w:val="001F79E5"/>
    <w:rsid w:val="002017E5"/>
    <w:rsid w:val="00201DFA"/>
    <w:rsid w:val="002033F9"/>
    <w:rsid w:val="00205EC0"/>
    <w:rsid w:val="002061E7"/>
    <w:rsid w:val="00207528"/>
    <w:rsid w:val="0021160E"/>
    <w:rsid w:val="00212618"/>
    <w:rsid w:val="0021371F"/>
    <w:rsid w:val="00213B47"/>
    <w:rsid w:val="00214647"/>
    <w:rsid w:val="002150F2"/>
    <w:rsid w:val="00215A70"/>
    <w:rsid w:val="00216029"/>
    <w:rsid w:val="00217353"/>
    <w:rsid w:val="00217808"/>
    <w:rsid w:val="0021798D"/>
    <w:rsid w:val="00217F85"/>
    <w:rsid w:val="0022028F"/>
    <w:rsid w:val="00220EE3"/>
    <w:rsid w:val="00221563"/>
    <w:rsid w:val="00223331"/>
    <w:rsid w:val="002237BB"/>
    <w:rsid w:val="0022445B"/>
    <w:rsid w:val="00224775"/>
    <w:rsid w:val="0022493D"/>
    <w:rsid w:val="00224C89"/>
    <w:rsid w:val="00225495"/>
    <w:rsid w:val="00225DDD"/>
    <w:rsid w:val="002260A2"/>
    <w:rsid w:val="00226A9D"/>
    <w:rsid w:val="00227165"/>
    <w:rsid w:val="00230E75"/>
    <w:rsid w:val="00231204"/>
    <w:rsid w:val="0023364E"/>
    <w:rsid w:val="0023368A"/>
    <w:rsid w:val="002346E1"/>
    <w:rsid w:val="00234C12"/>
    <w:rsid w:val="00235F04"/>
    <w:rsid w:val="00240FD2"/>
    <w:rsid w:val="002415E2"/>
    <w:rsid w:val="0024435E"/>
    <w:rsid w:val="002445EB"/>
    <w:rsid w:val="00246A8F"/>
    <w:rsid w:val="00247F16"/>
    <w:rsid w:val="002509C1"/>
    <w:rsid w:val="002511BF"/>
    <w:rsid w:val="00252044"/>
    <w:rsid w:val="002522EA"/>
    <w:rsid w:val="0025336E"/>
    <w:rsid w:val="00253706"/>
    <w:rsid w:val="00254248"/>
    <w:rsid w:val="0025521B"/>
    <w:rsid w:val="002561DB"/>
    <w:rsid w:val="00256332"/>
    <w:rsid w:val="00256AFA"/>
    <w:rsid w:val="00257476"/>
    <w:rsid w:val="00261971"/>
    <w:rsid w:val="00261F80"/>
    <w:rsid w:val="0026226C"/>
    <w:rsid w:val="0026470C"/>
    <w:rsid w:val="00264B85"/>
    <w:rsid w:val="0026559E"/>
    <w:rsid w:val="002657B1"/>
    <w:rsid w:val="00266717"/>
    <w:rsid w:val="0026689A"/>
    <w:rsid w:val="00266AA9"/>
    <w:rsid w:val="00266EB1"/>
    <w:rsid w:val="002675FE"/>
    <w:rsid w:val="002676AF"/>
    <w:rsid w:val="00270190"/>
    <w:rsid w:val="00271707"/>
    <w:rsid w:val="00272F8D"/>
    <w:rsid w:val="002742BB"/>
    <w:rsid w:val="00274BC9"/>
    <w:rsid w:val="00274F89"/>
    <w:rsid w:val="00276205"/>
    <w:rsid w:val="002773CD"/>
    <w:rsid w:val="00277649"/>
    <w:rsid w:val="00277C33"/>
    <w:rsid w:val="00277D45"/>
    <w:rsid w:val="002807D6"/>
    <w:rsid w:val="002809BD"/>
    <w:rsid w:val="00281110"/>
    <w:rsid w:val="00282C9D"/>
    <w:rsid w:val="002830E7"/>
    <w:rsid w:val="00283204"/>
    <w:rsid w:val="00283308"/>
    <w:rsid w:val="00284B3D"/>
    <w:rsid w:val="00285D77"/>
    <w:rsid w:val="00287110"/>
    <w:rsid w:val="002877C1"/>
    <w:rsid w:val="00287879"/>
    <w:rsid w:val="002909DA"/>
    <w:rsid w:val="002910F5"/>
    <w:rsid w:val="00291378"/>
    <w:rsid w:val="00291F40"/>
    <w:rsid w:val="002926D7"/>
    <w:rsid w:val="00293D09"/>
    <w:rsid w:val="00295790"/>
    <w:rsid w:val="00295DB4"/>
    <w:rsid w:val="00296555"/>
    <w:rsid w:val="002965A4"/>
    <w:rsid w:val="00296726"/>
    <w:rsid w:val="00296B18"/>
    <w:rsid w:val="00297DF5"/>
    <w:rsid w:val="002A0458"/>
    <w:rsid w:val="002A0F7D"/>
    <w:rsid w:val="002A159C"/>
    <w:rsid w:val="002A1D37"/>
    <w:rsid w:val="002A20B3"/>
    <w:rsid w:val="002A2CF0"/>
    <w:rsid w:val="002A36AD"/>
    <w:rsid w:val="002A3792"/>
    <w:rsid w:val="002A395D"/>
    <w:rsid w:val="002A43FE"/>
    <w:rsid w:val="002A475C"/>
    <w:rsid w:val="002A6778"/>
    <w:rsid w:val="002A7597"/>
    <w:rsid w:val="002A7E6C"/>
    <w:rsid w:val="002B158F"/>
    <w:rsid w:val="002B16E2"/>
    <w:rsid w:val="002B782E"/>
    <w:rsid w:val="002B7B28"/>
    <w:rsid w:val="002B7DD5"/>
    <w:rsid w:val="002C08BA"/>
    <w:rsid w:val="002C1077"/>
    <w:rsid w:val="002C2027"/>
    <w:rsid w:val="002C2414"/>
    <w:rsid w:val="002C2839"/>
    <w:rsid w:val="002C3057"/>
    <w:rsid w:val="002C3169"/>
    <w:rsid w:val="002C3667"/>
    <w:rsid w:val="002C3F4B"/>
    <w:rsid w:val="002C3FCD"/>
    <w:rsid w:val="002C46AE"/>
    <w:rsid w:val="002C4EEA"/>
    <w:rsid w:val="002C5127"/>
    <w:rsid w:val="002C5E5B"/>
    <w:rsid w:val="002C63E3"/>
    <w:rsid w:val="002C7D29"/>
    <w:rsid w:val="002D06FA"/>
    <w:rsid w:val="002D09D4"/>
    <w:rsid w:val="002D1D8D"/>
    <w:rsid w:val="002D1F03"/>
    <w:rsid w:val="002D24DA"/>
    <w:rsid w:val="002D2AC3"/>
    <w:rsid w:val="002D3257"/>
    <w:rsid w:val="002D4443"/>
    <w:rsid w:val="002D45C9"/>
    <w:rsid w:val="002D4C64"/>
    <w:rsid w:val="002D5C42"/>
    <w:rsid w:val="002D6242"/>
    <w:rsid w:val="002D7B63"/>
    <w:rsid w:val="002E011F"/>
    <w:rsid w:val="002E01D8"/>
    <w:rsid w:val="002E085E"/>
    <w:rsid w:val="002E11FA"/>
    <w:rsid w:val="002E3A98"/>
    <w:rsid w:val="002E521B"/>
    <w:rsid w:val="002E5F52"/>
    <w:rsid w:val="002E7336"/>
    <w:rsid w:val="002E7354"/>
    <w:rsid w:val="002E7A53"/>
    <w:rsid w:val="002F03C7"/>
    <w:rsid w:val="002F1184"/>
    <w:rsid w:val="002F1FE4"/>
    <w:rsid w:val="002F45F2"/>
    <w:rsid w:val="002F79FB"/>
    <w:rsid w:val="002F7D91"/>
    <w:rsid w:val="003009EE"/>
    <w:rsid w:val="00300E28"/>
    <w:rsid w:val="003046DB"/>
    <w:rsid w:val="00304769"/>
    <w:rsid w:val="003068F3"/>
    <w:rsid w:val="003072D4"/>
    <w:rsid w:val="00310BB9"/>
    <w:rsid w:val="00310E24"/>
    <w:rsid w:val="0031100A"/>
    <w:rsid w:val="003121B3"/>
    <w:rsid w:val="00312861"/>
    <w:rsid w:val="0031349E"/>
    <w:rsid w:val="00313F94"/>
    <w:rsid w:val="00315893"/>
    <w:rsid w:val="00316DA0"/>
    <w:rsid w:val="003174CA"/>
    <w:rsid w:val="003174FB"/>
    <w:rsid w:val="00320ABB"/>
    <w:rsid w:val="00320B48"/>
    <w:rsid w:val="00320FAC"/>
    <w:rsid w:val="003213D9"/>
    <w:rsid w:val="0032160B"/>
    <w:rsid w:val="00321725"/>
    <w:rsid w:val="00321827"/>
    <w:rsid w:val="00321F73"/>
    <w:rsid w:val="00322B26"/>
    <w:rsid w:val="003244BC"/>
    <w:rsid w:val="003245A0"/>
    <w:rsid w:val="00324A71"/>
    <w:rsid w:val="00326851"/>
    <w:rsid w:val="00327419"/>
    <w:rsid w:val="00331BB1"/>
    <w:rsid w:val="00332FDA"/>
    <w:rsid w:val="003330F8"/>
    <w:rsid w:val="0033365E"/>
    <w:rsid w:val="0033490B"/>
    <w:rsid w:val="003360CB"/>
    <w:rsid w:val="0033699B"/>
    <w:rsid w:val="00336D26"/>
    <w:rsid w:val="0033737B"/>
    <w:rsid w:val="00337C86"/>
    <w:rsid w:val="00340F76"/>
    <w:rsid w:val="00340F83"/>
    <w:rsid w:val="00342269"/>
    <w:rsid w:val="00343656"/>
    <w:rsid w:val="00344C4D"/>
    <w:rsid w:val="00346033"/>
    <w:rsid w:val="003464F9"/>
    <w:rsid w:val="00347103"/>
    <w:rsid w:val="00347E50"/>
    <w:rsid w:val="00351A78"/>
    <w:rsid w:val="00352CD5"/>
    <w:rsid w:val="00353F30"/>
    <w:rsid w:val="00353FA6"/>
    <w:rsid w:val="00354BF5"/>
    <w:rsid w:val="00354DF8"/>
    <w:rsid w:val="0035642F"/>
    <w:rsid w:val="00357A08"/>
    <w:rsid w:val="00357C9D"/>
    <w:rsid w:val="003608BB"/>
    <w:rsid w:val="003609BA"/>
    <w:rsid w:val="00361050"/>
    <w:rsid w:val="00361779"/>
    <w:rsid w:val="00361C90"/>
    <w:rsid w:val="003638CD"/>
    <w:rsid w:val="00363C3D"/>
    <w:rsid w:val="00364512"/>
    <w:rsid w:val="00364853"/>
    <w:rsid w:val="00365780"/>
    <w:rsid w:val="00365E24"/>
    <w:rsid w:val="00367FD8"/>
    <w:rsid w:val="00370864"/>
    <w:rsid w:val="003711A4"/>
    <w:rsid w:val="00371E79"/>
    <w:rsid w:val="00372568"/>
    <w:rsid w:val="00372E24"/>
    <w:rsid w:val="003759A7"/>
    <w:rsid w:val="00375B75"/>
    <w:rsid w:val="00376835"/>
    <w:rsid w:val="00376E27"/>
    <w:rsid w:val="00377F1F"/>
    <w:rsid w:val="00381265"/>
    <w:rsid w:val="003819EF"/>
    <w:rsid w:val="003830BF"/>
    <w:rsid w:val="0038484A"/>
    <w:rsid w:val="003854BD"/>
    <w:rsid w:val="00385B6D"/>
    <w:rsid w:val="00386D2B"/>
    <w:rsid w:val="00387122"/>
    <w:rsid w:val="00387380"/>
    <w:rsid w:val="00387698"/>
    <w:rsid w:val="00387E25"/>
    <w:rsid w:val="00390064"/>
    <w:rsid w:val="00390DAA"/>
    <w:rsid w:val="00394311"/>
    <w:rsid w:val="00394651"/>
    <w:rsid w:val="00394E29"/>
    <w:rsid w:val="003968E8"/>
    <w:rsid w:val="00396EE1"/>
    <w:rsid w:val="003973D9"/>
    <w:rsid w:val="003A001B"/>
    <w:rsid w:val="003A003A"/>
    <w:rsid w:val="003A0CBE"/>
    <w:rsid w:val="003A10D2"/>
    <w:rsid w:val="003A1D42"/>
    <w:rsid w:val="003A37C8"/>
    <w:rsid w:val="003A3D84"/>
    <w:rsid w:val="003A41CD"/>
    <w:rsid w:val="003A5347"/>
    <w:rsid w:val="003A59D0"/>
    <w:rsid w:val="003A5D93"/>
    <w:rsid w:val="003A5DCA"/>
    <w:rsid w:val="003A6BB4"/>
    <w:rsid w:val="003A6BB5"/>
    <w:rsid w:val="003A7C3D"/>
    <w:rsid w:val="003B07B9"/>
    <w:rsid w:val="003B11A5"/>
    <w:rsid w:val="003B20F2"/>
    <w:rsid w:val="003B25DF"/>
    <w:rsid w:val="003B35B6"/>
    <w:rsid w:val="003B438B"/>
    <w:rsid w:val="003B4A65"/>
    <w:rsid w:val="003B5252"/>
    <w:rsid w:val="003B5DB5"/>
    <w:rsid w:val="003B77B3"/>
    <w:rsid w:val="003B7EC7"/>
    <w:rsid w:val="003C0EE4"/>
    <w:rsid w:val="003C103B"/>
    <w:rsid w:val="003C1350"/>
    <w:rsid w:val="003C16B2"/>
    <w:rsid w:val="003C1CA1"/>
    <w:rsid w:val="003C4318"/>
    <w:rsid w:val="003C4910"/>
    <w:rsid w:val="003C4D15"/>
    <w:rsid w:val="003C5FA9"/>
    <w:rsid w:val="003C6675"/>
    <w:rsid w:val="003C7453"/>
    <w:rsid w:val="003C7E2A"/>
    <w:rsid w:val="003D052E"/>
    <w:rsid w:val="003D1767"/>
    <w:rsid w:val="003D1DC2"/>
    <w:rsid w:val="003D279D"/>
    <w:rsid w:val="003D2B08"/>
    <w:rsid w:val="003D3E4F"/>
    <w:rsid w:val="003D555C"/>
    <w:rsid w:val="003D62AB"/>
    <w:rsid w:val="003D6C18"/>
    <w:rsid w:val="003D7B29"/>
    <w:rsid w:val="003D7D23"/>
    <w:rsid w:val="003E0411"/>
    <w:rsid w:val="003E1E2D"/>
    <w:rsid w:val="003E3352"/>
    <w:rsid w:val="003E394C"/>
    <w:rsid w:val="003E3A8A"/>
    <w:rsid w:val="003E3B8C"/>
    <w:rsid w:val="003F00D9"/>
    <w:rsid w:val="003F0889"/>
    <w:rsid w:val="003F0A68"/>
    <w:rsid w:val="003F2BC4"/>
    <w:rsid w:val="003F37CD"/>
    <w:rsid w:val="003F487F"/>
    <w:rsid w:val="003F4CC2"/>
    <w:rsid w:val="003F55A3"/>
    <w:rsid w:val="003F628A"/>
    <w:rsid w:val="003F7565"/>
    <w:rsid w:val="00400E11"/>
    <w:rsid w:val="00403210"/>
    <w:rsid w:val="00403ED6"/>
    <w:rsid w:val="0040466F"/>
    <w:rsid w:val="00404AC1"/>
    <w:rsid w:val="00406A75"/>
    <w:rsid w:val="00407C76"/>
    <w:rsid w:val="00410545"/>
    <w:rsid w:val="00411836"/>
    <w:rsid w:val="00411DCE"/>
    <w:rsid w:val="00412270"/>
    <w:rsid w:val="00413264"/>
    <w:rsid w:val="004139BF"/>
    <w:rsid w:val="00415483"/>
    <w:rsid w:val="00415803"/>
    <w:rsid w:val="004200BE"/>
    <w:rsid w:val="00420EAF"/>
    <w:rsid w:val="00420EB3"/>
    <w:rsid w:val="00420F23"/>
    <w:rsid w:val="00420F91"/>
    <w:rsid w:val="00421228"/>
    <w:rsid w:val="004215FB"/>
    <w:rsid w:val="00421B30"/>
    <w:rsid w:val="00421CFC"/>
    <w:rsid w:val="004231ED"/>
    <w:rsid w:val="00423513"/>
    <w:rsid w:val="00424538"/>
    <w:rsid w:val="0042459D"/>
    <w:rsid w:val="00424837"/>
    <w:rsid w:val="00430E8F"/>
    <w:rsid w:val="00433F61"/>
    <w:rsid w:val="0043401D"/>
    <w:rsid w:val="00435C12"/>
    <w:rsid w:val="00436DA9"/>
    <w:rsid w:val="004379BA"/>
    <w:rsid w:val="004400CF"/>
    <w:rsid w:val="00440486"/>
    <w:rsid w:val="004405B3"/>
    <w:rsid w:val="00440795"/>
    <w:rsid w:val="0044190A"/>
    <w:rsid w:val="004423DB"/>
    <w:rsid w:val="004427EF"/>
    <w:rsid w:val="00443474"/>
    <w:rsid w:val="004454E3"/>
    <w:rsid w:val="0044696F"/>
    <w:rsid w:val="00446D94"/>
    <w:rsid w:val="004503BB"/>
    <w:rsid w:val="00450FF1"/>
    <w:rsid w:val="0045135F"/>
    <w:rsid w:val="004515A3"/>
    <w:rsid w:val="004539FA"/>
    <w:rsid w:val="0045428D"/>
    <w:rsid w:val="004556A8"/>
    <w:rsid w:val="00455D61"/>
    <w:rsid w:val="00455E15"/>
    <w:rsid w:val="0045624E"/>
    <w:rsid w:val="004562C4"/>
    <w:rsid w:val="00456E35"/>
    <w:rsid w:val="0045728A"/>
    <w:rsid w:val="00460267"/>
    <w:rsid w:val="00460A0C"/>
    <w:rsid w:val="00460E53"/>
    <w:rsid w:val="004612B9"/>
    <w:rsid w:val="004613A7"/>
    <w:rsid w:val="00462690"/>
    <w:rsid w:val="0046294E"/>
    <w:rsid w:val="00462A9F"/>
    <w:rsid w:val="00462E99"/>
    <w:rsid w:val="00464A0F"/>
    <w:rsid w:val="00465179"/>
    <w:rsid w:val="00465CFD"/>
    <w:rsid w:val="0046639A"/>
    <w:rsid w:val="004667EF"/>
    <w:rsid w:val="00466F26"/>
    <w:rsid w:val="00471D39"/>
    <w:rsid w:val="00472692"/>
    <w:rsid w:val="00472A80"/>
    <w:rsid w:val="00472FDC"/>
    <w:rsid w:val="00473C09"/>
    <w:rsid w:val="0047418D"/>
    <w:rsid w:val="00476806"/>
    <w:rsid w:val="00477A92"/>
    <w:rsid w:val="00480D81"/>
    <w:rsid w:val="0048111E"/>
    <w:rsid w:val="00482AF0"/>
    <w:rsid w:val="004835C3"/>
    <w:rsid w:val="004839E6"/>
    <w:rsid w:val="00483ECC"/>
    <w:rsid w:val="00484AC5"/>
    <w:rsid w:val="0048598C"/>
    <w:rsid w:val="004859E0"/>
    <w:rsid w:val="00486576"/>
    <w:rsid w:val="00486B73"/>
    <w:rsid w:val="00486F02"/>
    <w:rsid w:val="004870C5"/>
    <w:rsid w:val="00487457"/>
    <w:rsid w:val="00487E29"/>
    <w:rsid w:val="004905DB"/>
    <w:rsid w:val="00491E15"/>
    <w:rsid w:val="00492F6B"/>
    <w:rsid w:val="004938F0"/>
    <w:rsid w:val="00493F95"/>
    <w:rsid w:val="0049410D"/>
    <w:rsid w:val="004944C6"/>
    <w:rsid w:val="004958F1"/>
    <w:rsid w:val="004959BD"/>
    <w:rsid w:val="00495C0F"/>
    <w:rsid w:val="004961CF"/>
    <w:rsid w:val="004961F9"/>
    <w:rsid w:val="004965F3"/>
    <w:rsid w:val="00496D4D"/>
    <w:rsid w:val="004A0A67"/>
    <w:rsid w:val="004A118F"/>
    <w:rsid w:val="004A2E9A"/>
    <w:rsid w:val="004A3847"/>
    <w:rsid w:val="004A3F18"/>
    <w:rsid w:val="004A6C5E"/>
    <w:rsid w:val="004B033C"/>
    <w:rsid w:val="004B1862"/>
    <w:rsid w:val="004B1A3B"/>
    <w:rsid w:val="004B1E7E"/>
    <w:rsid w:val="004B2AC6"/>
    <w:rsid w:val="004B3674"/>
    <w:rsid w:val="004B3E18"/>
    <w:rsid w:val="004B4A32"/>
    <w:rsid w:val="004B5028"/>
    <w:rsid w:val="004B658A"/>
    <w:rsid w:val="004B7DEF"/>
    <w:rsid w:val="004B7DFB"/>
    <w:rsid w:val="004C1657"/>
    <w:rsid w:val="004C3715"/>
    <w:rsid w:val="004C5311"/>
    <w:rsid w:val="004C6054"/>
    <w:rsid w:val="004C64AA"/>
    <w:rsid w:val="004C77B9"/>
    <w:rsid w:val="004C7950"/>
    <w:rsid w:val="004C7CB9"/>
    <w:rsid w:val="004D0244"/>
    <w:rsid w:val="004D0BFE"/>
    <w:rsid w:val="004D2200"/>
    <w:rsid w:val="004D2F1E"/>
    <w:rsid w:val="004D3172"/>
    <w:rsid w:val="004D3FD2"/>
    <w:rsid w:val="004D4F55"/>
    <w:rsid w:val="004D63A8"/>
    <w:rsid w:val="004D6C57"/>
    <w:rsid w:val="004E0570"/>
    <w:rsid w:val="004E154D"/>
    <w:rsid w:val="004E172C"/>
    <w:rsid w:val="004E18BB"/>
    <w:rsid w:val="004E198C"/>
    <w:rsid w:val="004E32FC"/>
    <w:rsid w:val="004E3AA5"/>
    <w:rsid w:val="004E4AE5"/>
    <w:rsid w:val="004E56BA"/>
    <w:rsid w:val="004E6092"/>
    <w:rsid w:val="004E7AF8"/>
    <w:rsid w:val="004F09FC"/>
    <w:rsid w:val="004F33F6"/>
    <w:rsid w:val="004F36BA"/>
    <w:rsid w:val="004F3934"/>
    <w:rsid w:val="004F4024"/>
    <w:rsid w:val="004F4979"/>
    <w:rsid w:val="004F49C1"/>
    <w:rsid w:val="004F4C6D"/>
    <w:rsid w:val="004F56DF"/>
    <w:rsid w:val="004F6038"/>
    <w:rsid w:val="004F6988"/>
    <w:rsid w:val="004F6CB7"/>
    <w:rsid w:val="004F7561"/>
    <w:rsid w:val="004F7F3C"/>
    <w:rsid w:val="0050026B"/>
    <w:rsid w:val="00500AF2"/>
    <w:rsid w:val="00501A22"/>
    <w:rsid w:val="0050248B"/>
    <w:rsid w:val="0050253C"/>
    <w:rsid w:val="0050257F"/>
    <w:rsid w:val="005027A3"/>
    <w:rsid w:val="00502B6C"/>
    <w:rsid w:val="005032AE"/>
    <w:rsid w:val="0050367D"/>
    <w:rsid w:val="005041A7"/>
    <w:rsid w:val="005101E3"/>
    <w:rsid w:val="005111F6"/>
    <w:rsid w:val="00512E13"/>
    <w:rsid w:val="005130C4"/>
    <w:rsid w:val="00514472"/>
    <w:rsid w:val="00515F65"/>
    <w:rsid w:val="005166F7"/>
    <w:rsid w:val="00516F64"/>
    <w:rsid w:val="00520B4B"/>
    <w:rsid w:val="0052232F"/>
    <w:rsid w:val="00522912"/>
    <w:rsid w:val="00522A46"/>
    <w:rsid w:val="0052305D"/>
    <w:rsid w:val="00523E4D"/>
    <w:rsid w:val="00524391"/>
    <w:rsid w:val="005274B6"/>
    <w:rsid w:val="00527C12"/>
    <w:rsid w:val="0053196B"/>
    <w:rsid w:val="00532C2F"/>
    <w:rsid w:val="005352A9"/>
    <w:rsid w:val="005355A6"/>
    <w:rsid w:val="0053685C"/>
    <w:rsid w:val="00537136"/>
    <w:rsid w:val="00537F44"/>
    <w:rsid w:val="00537FCB"/>
    <w:rsid w:val="005404DF"/>
    <w:rsid w:val="00540F4B"/>
    <w:rsid w:val="00543791"/>
    <w:rsid w:val="005464FF"/>
    <w:rsid w:val="00546A06"/>
    <w:rsid w:val="00547121"/>
    <w:rsid w:val="00547673"/>
    <w:rsid w:val="005524CB"/>
    <w:rsid w:val="00552644"/>
    <w:rsid w:val="00554C85"/>
    <w:rsid w:val="00557792"/>
    <w:rsid w:val="00557D8F"/>
    <w:rsid w:val="00557DA4"/>
    <w:rsid w:val="0056023F"/>
    <w:rsid w:val="00560C39"/>
    <w:rsid w:val="00560E73"/>
    <w:rsid w:val="0056134E"/>
    <w:rsid w:val="005629F2"/>
    <w:rsid w:val="005629FD"/>
    <w:rsid w:val="00562B92"/>
    <w:rsid w:val="00562C04"/>
    <w:rsid w:val="00563448"/>
    <w:rsid w:val="00563624"/>
    <w:rsid w:val="00563D4B"/>
    <w:rsid w:val="00564D22"/>
    <w:rsid w:val="00565492"/>
    <w:rsid w:val="00565A44"/>
    <w:rsid w:val="00566240"/>
    <w:rsid w:val="0056726D"/>
    <w:rsid w:val="0056753A"/>
    <w:rsid w:val="00567572"/>
    <w:rsid w:val="00571413"/>
    <w:rsid w:val="00572063"/>
    <w:rsid w:val="00572C27"/>
    <w:rsid w:val="0057354D"/>
    <w:rsid w:val="005737E4"/>
    <w:rsid w:val="00573950"/>
    <w:rsid w:val="00574D7D"/>
    <w:rsid w:val="005758AD"/>
    <w:rsid w:val="00577C4D"/>
    <w:rsid w:val="00577FA6"/>
    <w:rsid w:val="005802EE"/>
    <w:rsid w:val="00580C55"/>
    <w:rsid w:val="00581D77"/>
    <w:rsid w:val="00582E4C"/>
    <w:rsid w:val="0058331C"/>
    <w:rsid w:val="005833BC"/>
    <w:rsid w:val="00583F37"/>
    <w:rsid w:val="0058498A"/>
    <w:rsid w:val="00584CD3"/>
    <w:rsid w:val="0058666B"/>
    <w:rsid w:val="00586F83"/>
    <w:rsid w:val="00587234"/>
    <w:rsid w:val="00590572"/>
    <w:rsid w:val="00590692"/>
    <w:rsid w:val="00590D37"/>
    <w:rsid w:val="00590E61"/>
    <w:rsid w:val="00591009"/>
    <w:rsid w:val="00591A1D"/>
    <w:rsid w:val="0059322D"/>
    <w:rsid w:val="00593341"/>
    <w:rsid w:val="0059399B"/>
    <w:rsid w:val="0059416C"/>
    <w:rsid w:val="00594CA6"/>
    <w:rsid w:val="00595828"/>
    <w:rsid w:val="0059646C"/>
    <w:rsid w:val="00596EF9"/>
    <w:rsid w:val="00597DF2"/>
    <w:rsid w:val="005A0612"/>
    <w:rsid w:val="005A0635"/>
    <w:rsid w:val="005A1ED5"/>
    <w:rsid w:val="005A2EA7"/>
    <w:rsid w:val="005A4B31"/>
    <w:rsid w:val="005A4C99"/>
    <w:rsid w:val="005A5288"/>
    <w:rsid w:val="005A5448"/>
    <w:rsid w:val="005A56FB"/>
    <w:rsid w:val="005A73CD"/>
    <w:rsid w:val="005B01BD"/>
    <w:rsid w:val="005B0B3D"/>
    <w:rsid w:val="005B12A4"/>
    <w:rsid w:val="005B2C0E"/>
    <w:rsid w:val="005B3BB2"/>
    <w:rsid w:val="005B3C69"/>
    <w:rsid w:val="005B4156"/>
    <w:rsid w:val="005B4F1C"/>
    <w:rsid w:val="005B4FAF"/>
    <w:rsid w:val="005B5646"/>
    <w:rsid w:val="005B715B"/>
    <w:rsid w:val="005B7701"/>
    <w:rsid w:val="005B7E93"/>
    <w:rsid w:val="005C0CBD"/>
    <w:rsid w:val="005C1095"/>
    <w:rsid w:val="005C139F"/>
    <w:rsid w:val="005C18B8"/>
    <w:rsid w:val="005C21EC"/>
    <w:rsid w:val="005C4196"/>
    <w:rsid w:val="005C49EA"/>
    <w:rsid w:val="005C7572"/>
    <w:rsid w:val="005D0453"/>
    <w:rsid w:val="005D1DFC"/>
    <w:rsid w:val="005D2823"/>
    <w:rsid w:val="005D28CB"/>
    <w:rsid w:val="005D2C60"/>
    <w:rsid w:val="005D35BE"/>
    <w:rsid w:val="005D48EE"/>
    <w:rsid w:val="005D7804"/>
    <w:rsid w:val="005D7928"/>
    <w:rsid w:val="005E0DBF"/>
    <w:rsid w:val="005E0FD8"/>
    <w:rsid w:val="005E306A"/>
    <w:rsid w:val="005E3702"/>
    <w:rsid w:val="005E3A56"/>
    <w:rsid w:val="005E4887"/>
    <w:rsid w:val="005E4EB0"/>
    <w:rsid w:val="005E569F"/>
    <w:rsid w:val="005E6F3F"/>
    <w:rsid w:val="005E7319"/>
    <w:rsid w:val="005E7AEC"/>
    <w:rsid w:val="005E7D2C"/>
    <w:rsid w:val="005F02DC"/>
    <w:rsid w:val="005F196D"/>
    <w:rsid w:val="005F1F66"/>
    <w:rsid w:val="005F2CCE"/>
    <w:rsid w:val="005F2EDF"/>
    <w:rsid w:val="005F3155"/>
    <w:rsid w:val="005F3324"/>
    <w:rsid w:val="005F4D5F"/>
    <w:rsid w:val="005F5376"/>
    <w:rsid w:val="005F7D3A"/>
    <w:rsid w:val="0060139F"/>
    <w:rsid w:val="00602EEA"/>
    <w:rsid w:val="00604AB6"/>
    <w:rsid w:val="00604E2B"/>
    <w:rsid w:val="00605781"/>
    <w:rsid w:val="00606BDE"/>
    <w:rsid w:val="00606D49"/>
    <w:rsid w:val="00610DE2"/>
    <w:rsid w:val="0061109F"/>
    <w:rsid w:val="00611E46"/>
    <w:rsid w:val="00612AE6"/>
    <w:rsid w:val="00612B39"/>
    <w:rsid w:val="00612B7A"/>
    <w:rsid w:val="00612EF9"/>
    <w:rsid w:val="00614D4D"/>
    <w:rsid w:val="006172C9"/>
    <w:rsid w:val="00617B7D"/>
    <w:rsid w:val="006222F5"/>
    <w:rsid w:val="00623BF6"/>
    <w:rsid w:val="00624E19"/>
    <w:rsid w:val="00624E1A"/>
    <w:rsid w:val="006256EE"/>
    <w:rsid w:val="00625A1A"/>
    <w:rsid w:val="00625ACF"/>
    <w:rsid w:val="0062617F"/>
    <w:rsid w:val="00631201"/>
    <w:rsid w:val="00631D23"/>
    <w:rsid w:val="006339C3"/>
    <w:rsid w:val="00633C06"/>
    <w:rsid w:val="00633EAA"/>
    <w:rsid w:val="00636726"/>
    <w:rsid w:val="0063696E"/>
    <w:rsid w:val="00636F6F"/>
    <w:rsid w:val="00637D74"/>
    <w:rsid w:val="00637F75"/>
    <w:rsid w:val="006401E5"/>
    <w:rsid w:val="0064047E"/>
    <w:rsid w:val="00640AF3"/>
    <w:rsid w:val="00640FA2"/>
    <w:rsid w:val="00642037"/>
    <w:rsid w:val="00643600"/>
    <w:rsid w:val="00643638"/>
    <w:rsid w:val="00643FFC"/>
    <w:rsid w:val="00644C59"/>
    <w:rsid w:val="0064615F"/>
    <w:rsid w:val="006474E0"/>
    <w:rsid w:val="00650C21"/>
    <w:rsid w:val="006512E7"/>
    <w:rsid w:val="00651C2E"/>
    <w:rsid w:val="006524B4"/>
    <w:rsid w:val="006524FB"/>
    <w:rsid w:val="006529A1"/>
    <w:rsid w:val="006534A4"/>
    <w:rsid w:val="00654F13"/>
    <w:rsid w:val="00656DFB"/>
    <w:rsid w:val="0066113F"/>
    <w:rsid w:val="00662024"/>
    <w:rsid w:val="00662F8F"/>
    <w:rsid w:val="00663BE8"/>
    <w:rsid w:val="00664056"/>
    <w:rsid w:val="00665BA6"/>
    <w:rsid w:val="00670023"/>
    <w:rsid w:val="00670560"/>
    <w:rsid w:val="00670D40"/>
    <w:rsid w:val="00671AD4"/>
    <w:rsid w:val="00672124"/>
    <w:rsid w:val="006724C5"/>
    <w:rsid w:val="00672D4E"/>
    <w:rsid w:val="0067475E"/>
    <w:rsid w:val="00674FBA"/>
    <w:rsid w:val="00675132"/>
    <w:rsid w:val="00675878"/>
    <w:rsid w:val="00675CFC"/>
    <w:rsid w:val="006800AD"/>
    <w:rsid w:val="0068054F"/>
    <w:rsid w:val="00681679"/>
    <w:rsid w:val="00681D47"/>
    <w:rsid w:val="00681DE5"/>
    <w:rsid w:val="0068232A"/>
    <w:rsid w:val="006829E9"/>
    <w:rsid w:val="00684988"/>
    <w:rsid w:val="00685196"/>
    <w:rsid w:val="00685289"/>
    <w:rsid w:val="00685C2D"/>
    <w:rsid w:val="00686D57"/>
    <w:rsid w:val="00690A73"/>
    <w:rsid w:val="00693139"/>
    <w:rsid w:val="006941C2"/>
    <w:rsid w:val="006945EC"/>
    <w:rsid w:val="00695A87"/>
    <w:rsid w:val="00696A01"/>
    <w:rsid w:val="00697583"/>
    <w:rsid w:val="006A0028"/>
    <w:rsid w:val="006A02E5"/>
    <w:rsid w:val="006A14BD"/>
    <w:rsid w:val="006A2CBB"/>
    <w:rsid w:val="006A3D92"/>
    <w:rsid w:val="006A3DF0"/>
    <w:rsid w:val="006A4395"/>
    <w:rsid w:val="006A5C66"/>
    <w:rsid w:val="006A6340"/>
    <w:rsid w:val="006A6EE5"/>
    <w:rsid w:val="006B06DA"/>
    <w:rsid w:val="006B1CD9"/>
    <w:rsid w:val="006B1F80"/>
    <w:rsid w:val="006B3358"/>
    <w:rsid w:val="006B3AD7"/>
    <w:rsid w:val="006B5FBD"/>
    <w:rsid w:val="006B698B"/>
    <w:rsid w:val="006B7B1B"/>
    <w:rsid w:val="006C0DA5"/>
    <w:rsid w:val="006C2FA5"/>
    <w:rsid w:val="006C35AF"/>
    <w:rsid w:val="006C3D63"/>
    <w:rsid w:val="006C5585"/>
    <w:rsid w:val="006C76EC"/>
    <w:rsid w:val="006C7841"/>
    <w:rsid w:val="006D0064"/>
    <w:rsid w:val="006D1BEA"/>
    <w:rsid w:val="006D1C8F"/>
    <w:rsid w:val="006D1DBE"/>
    <w:rsid w:val="006D1FF3"/>
    <w:rsid w:val="006D27BC"/>
    <w:rsid w:val="006D3F30"/>
    <w:rsid w:val="006D45C5"/>
    <w:rsid w:val="006D5059"/>
    <w:rsid w:val="006D6028"/>
    <w:rsid w:val="006D6A78"/>
    <w:rsid w:val="006D6FBE"/>
    <w:rsid w:val="006D70ED"/>
    <w:rsid w:val="006D7BD7"/>
    <w:rsid w:val="006D7E14"/>
    <w:rsid w:val="006E000E"/>
    <w:rsid w:val="006E030D"/>
    <w:rsid w:val="006E24D8"/>
    <w:rsid w:val="006E2655"/>
    <w:rsid w:val="006E265D"/>
    <w:rsid w:val="006E3202"/>
    <w:rsid w:val="006E4A0B"/>
    <w:rsid w:val="006E622D"/>
    <w:rsid w:val="006E6323"/>
    <w:rsid w:val="006E786B"/>
    <w:rsid w:val="006E7C51"/>
    <w:rsid w:val="006F00B7"/>
    <w:rsid w:val="006F0BBD"/>
    <w:rsid w:val="006F0DB9"/>
    <w:rsid w:val="006F21C3"/>
    <w:rsid w:val="006F38F9"/>
    <w:rsid w:val="006F3DC6"/>
    <w:rsid w:val="006F62C4"/>
    <w:rsid w:val="006F6ADC"/>
    <w:rsid w:val="006F6D31"/>
    <w:rsid w:val="006F7ED0"/>
    <w:rsid w:val="007009B5"/>
    <w:rsid w:val="007014ED"/>
    <w:rsid w:val="007015B4"/>
    <w:rsid w:val="007024FB"/>
    <w:rsid w:val="00703091"/>
    <w:rsid w:val="007030D0"/>
    <w:rsid w:val="0070333C"/>
    <w:rsid w:val="007039F2"/>
    <w:rsid w:val="0070495B"/>
    <w:rsid w:val="00705774"/>
    <w:rsid w:val="007068DE"/>
    <w:rsid w:val="00707D82"/>
    <w:rsid w:val="00710A62"/>
    <w:rsid w:val="00712CAC"/>
    <w:rsid w:val="00714CB4"/>
    <w:rsid w:val="0071570B"/>
    <w:rsid w:val="00715BCD"/>
    <w:rsid w:val="00715C10"/>
    <w:rsid w:val="007161AF"/>
    <w:rsid w:val="00716673"/>
    <w:rsid w:val="00717304"/>
    <w:rsid w:val="00717E54"/>
    <w:rsid w:val="00721F2F"/>
    <w:rsid w:val="007233CA"/>
    <w:rsid w:val="00723FA4"/>
    <w:rsid w:val="00724B88"/>
    <w:rsid w:val="00725497"/>
    <w:rsid w:val="00725B89"/>
    <w:rsid w:val="007269F3"/>
    <w:rsid w:val="00726E65"/>
    <w:rsid w:val="00727095"/>
    <w:rsid w:val="0072795C"/>
    <w:rsid w:val="007301F3"/>
    <w:rsid w:val="007307D7"/>
    <w:rsid w:val="00730A75"/>
    <w:rsid w:val="007313CE"/>
    <w:rsid w:val="0073224D"/>
    <w:rsid w:val="007333C3"/>
    <w:rsid w:val="00733C54"/>
    <w:rsid w:val="00734192"/>
    <w:rsid w:val="00734E2D"/>
    <w:rsid w:val="007403DA"/>
    <w:rsid w:val="007403EC"/>
    <w:rsid w:val="007414DC"/>
    <w:rsid w:val="00741CA4"/>
    <w:rsid w:val="00741E12"/>
    <w:rsid w:val="00741FF7"/>
    <w:rsid w:val="007421FD"/>
    <w:rsid w:val="007424A8"/>
    <w:rsid w:val="007442C6"/>
    <w:rsid w:val="0074467E"/>
    <w:rsid w:val="00744BB0"/>
    <w:rsid w:val="0074568E"/>
    <w:rsid w:val="00745B49"/>
    <w:rsid w:val="00745DCB"/>
    <w:rsid w:val="00746D51"/>
    <w:rsid w:val="007476DC"/>
    <w:rsid w:val="0075076C"/>
    <w:rsid w:val="007512CE"/>
    <w:rsid w:val="00751595"/>
    <w:rsid w:val="00752F4D"/>
    <w:rsid w:val="007530CD"/>
    <w:rsid w:val="0075360F"/>
    <w:rsid w:val="00753EE2"/>
    <w:rsid w:val="0075434B"/>
    <w:rsid w:val="007549A6"/>
    <w:rsid w:val="00754BDB"/>
    <w:rsid w:val="0075548C"/>
    <w:rsid w:val="00756556"/>
    <w:rsid w:val="00756C84"/>
    <w:rsid w:val="00760941"/>
    <w:rsid w:val="007610B0"/>
    <w:rsid w:val="00762584"/>
    <w:rsid w:val="0076302B"/>
    <w:rsid w:val="00763EDF"/>
    <w:rsid w:val="00764A2C"/>
    <w:rsid w:val="00772BA4"/>
    <w:rsid w:val="00773691"/>
    <w:rsid w:val="0077474C"/>
    <w:rsid w:val="007748B4"/>
    <w:rsid w:val="00774B87"/>
    <w:rsid w:val="00774C63"/>
    <w:rsid w:val="00774E9F"/>
    <w:rsid w:val="007750DA"/>
    <w:rsid w:val="007773D0"/>
    <w:rsid w:val="00777B85"/>
    <w:rsid w:val="00779079"/>
    <w:rsid w:val="00780501"/>
    <w:rsid w:val="0078121D"/>
    <w:rsid w:val="00781B9D"/>
    <w:rsid w:val="007839C2"/>
    <w:rsid w:val="00783C1F"/>
    <w:rsid w:val="00784D26"/>
    <w:rsid w:val="007859A6"/>
    <w:rsid w:val="0078619B"/>
    <w:rsid w:val="00786239"/>
    <w:rsid w:val="0078671F"/>
    <w:rsid w:val="00786BC3"/>
    <w:rsid w:val="00787260"/>
    <w:rsid w:val="0078730E"/>
    <w:rsid w:val="007879FD"/>
    <w:rsid w:val="00787CB2"/>
    <w:rsid w:val="00787FED"/>
    <w:rsid w:val="007909B1"/>
    <w:rsid w:val="007912B8"/>
    <w:rsid w:val="007914C8"/>
    <w:rsid w:val="007917B7"/>
    <w:rsid w:val="00791A42"/>
    <w:rsid w:val="0079238F"/>
    <w:rsid w:val="00793CBD"/>
    <w:rsid w:val="0079469B"/>
    <w:rsid w:val="00796E35"/>
    <w:rsid w:val="007A1AE9"/>
    <w:rsid w:val="007A1D4E"/>
    <w:rsid w:val="007A2F9A"/>
    <w:rsid w:val="007A37AA"/>
    <w:rsid w:val="007A3E4B"/>
    <w:rsid w:val="007A4712"/>
    <w:rsid w:val="007A570A"/>
    <w:rsid w:val="007A6640"/>
    <w:rsid w:val="007A6A15"/>
    <w:rsid w:val="007A7281"/>
    <w:rsid w:val="007A731D"/>
    <w:rsid w:val="007B1BF0"/>
    <w:rsid w:val="007B3E96"/>
    <w:rsid w:val="007B4259"/>
    <w:rsid w:val="007B5CBF"/>
    <w:rsid w:val="007B6B90"/>
    <w:rsid w:val="007B6B99"/>
    <w:rsid w:val="007B6C46"/>
    <w:rsid w:val="007C075B"/>
    <w:rsid w:val="007C0EF3"/>
    <w:rsid w:val="007C1942"/>
    <w:rsid w:val="007C1C47"/>
    <w:rsid w:val="007C26B9"/>
    <w:rsid w:val="007C28B0"/>
    <w:rsid w:val="007C4DF7"/>
    <w:rsid w:val="007C56F8"/>
    <w:rsid w:val="007C6216"/>
    <w:rsid w:val="007C6314"/>
    <w:rsid w:val="007C69AC"/>
    <w:rsid w:val="007C713B"/>
    <w:rsid w:val="007C728A"/>
    <w:rsid w:val="007D002F"/>
    <w:rsid w:val="007D07BD"/>
    <w:rsid w:val="007D0ACF"/>
    <w:rsid w:val="007D14DF"/>
    <w:rsid w:val="007D296D"/>
    <w:rsid w:val="007D2C26"/>
    <w:rsid w:val="007D314D"/>
    <w:rsid w:val="007D3D26"/>
    <w:rsid w:val="007D6578"/>
    <w:rsid w:val="007D661E"/>
    <w:rsid w:val="007D6A87"/>
    <w:rsid w:val="007D703A"/>
    <w:rsid w:val="007D722C"/>
    <w:rsid w:val="007D776B"/>
    <w:rsid w:val="007D7E42"/>
    <w:rsid w:val="007E1521"/>
    <w:rsid w:val="007E2300"/>
    <w:rsid w:val="007E36FE"/>
    <w:rsid w:val="007E4DA8"/>
    <w:rsid w:val="007E4E19"/>
    <w:rsid w:val="007E6D40"/>
    <w:rsid w:val="007F07CC"/>
    <w:rsid w:val="007F26AE"/>
    <w:rsid w:val="007F2803"/>
    <w:rsid w:val="007F3995"/>
    <w:rsid w:val="007F5D96"/>
    <w:rsid w:val="007F68AF"/>
    <w:rsid w:val="007F7750"/>
    <w:rsid w:val="007F77A0"/>
    <w:rsid w:val="007F7CD0"/>
    <w:rsid w:val="008025BD"/>
    <w:rsid w:val="00802759"/>
    <w:rsid w:val="0080473F"/>
    <w:rsid w:val="00804A00"/>
    <w:rsid w:val="00805767"/>
    <w:rsid w:val="00806915"/>
    <w:rsid w:val="00807384"/>
    <w:rsid w:val="008073F8"/>
    <w:rsid w:val="008107FB"/>
    <w:rsid w:val="008112CA"/>
    <w:rsid w:val="00811A4B"/>
    <w:rsid w:val="00812280"/>
    <w:rsid w:val="008132E6"/>
    <w:rsid w:val="00813E56"/>
    <w:rsid w:val="008155B8"/>
    <w:rsid w:val="00815839"/>
    <w:rsid w:val="0081593E"/>
    <w:rsid w:val="008163A5"/>
    <w:rsid w:val="00817A50"/>
    <w:rsid w:val="0082016B"/>
    <w:rsid w:val="0082029D"/>
    <w:rsid w:val="008216A4"/>
    <w:rsid w:val="00821DF6"/>
    <w:rsid w:val="00821F90"/>
    <w:rsid w:val="0082218A"/>
    <w:rsid w:val="00822820"/>
    <w:rsid w:val="008228B9"/>
    <w:rsid w:val="0082531A"/>
    <w:rsid w:val="008258A3"/>
    <w:rsid w:val="008268BB"/>
    <w:rsid w:val="00827A7F"/>
    <w:rsid w:val="0083172C"/>
    <w:rsid w:val="00831B12"/>
    <w:rsid w:val="00831F98"/>
    <w:rsid w:val="00832385"/>
    <w:rsid w:val="008329F3"/>
    <w:rsid w:val="0083334D"/>
    <w:rsid w:val="00833CF0"/>
    <w:rsid w:val="00833D2A"/>
    <w:rsid w:val="0083536D"/>
    <w:rsid w:val="00835C3C"/>
    <w:rsid w:val="00836029"/>
    <w:rsid w:val="00836E66"/>
    <w:rsid w:val="00836FF7"/>
    <w:rsid w:val="00837113"/>
    <w:rsid w:val="00837C60"/>
    <w:rsid w:val="008402F3"/>
    <w:rsid w:val="008407C8"/>
    <w:rsid w:val="00840F01"/>
    <w:rsid w:val="00841240"/>
    <w:rsid w:val="00841270"/>
    <w:rsid w:val="0084151E"/>
    <w:rsid w:val="00842642"/>
    <w:rsid w:val="00843761"/>
    <w:rsid w:val="00843F68"/>
    <w:rsid w:val="008448BC"/>
    <w:rsid w:val="008457E0"/>
    <w:rsid w:val="00845C14"/>
    <w:rsid w:val="00846C9B"/>
    <w:rsid w:val="00850A49"/>
    <w:rsid w:val="00850BD0"/>
    <w:rsid w:val="00851362"/>
    <w:rsid w:val="00851459"/>
    <w:rsid w:val="008514F2"/>
    <w:rsid w:val="00851D62"/>
    <w:rsid w:val="00851E9E"/>
    <w:rsid w:val="00851FCA"/>
    <w:rsid w:val="008535AE"/>
    <w:rsid w:val="00854656"/>
    <w:rsid w:val="00854E2C"/>
    <w:rsid w:val="00855454"/>
    <w:rsid w:val="00856115"/>
    <w:rsid w:val="00856484"/>
    <w:rsid w:val="00857C8D"/>
    <w:rsid w:val="0086138F"/>
    <w:rsid w:val="00861ED8"/>
    <w:rsid w:val="0086208A"/>
    <w:rsid w:val="00863D06"/>
    <w:rsid w:val="008640BE"/>
    <w:rsid w:val="008679DB"/>
    <w:rsid w:val="0087021F"/>
    <w:rsid w:val="00873315"/>
    <w:rsid w:val="00873338"/>
    <w:rsid w:val="0087384E"/>
    <w:rsid w:val="00873A88"/>
    <w:rsid w:val="00875A25"/>
    <w:rsid w:val="0087728D"/>
    <w:rsid w:val="008779C2"/>
    <w:rsid w:val="00877A28"/>
    <w:rsid w:val="0088157F"/>
    <w:rsid w:val="008823F6"/>
    <w:rsid w:val="0088649B"/>
    <w:rsid w:val="0088736E"/>
    <w:rsid w:val="008876A0"/>
    <w:rsid w:val="00887B63"/>
    <w:rsid w:val="00890C27"/>
    <w:rsid w:val="0089424C"/>
    <w:rsid w:val="00894DD6"/>
    <w:rsid w:val="00895C01"/>
    <w:rsid w:val="00895E4C"/>
    <w:rsid w:val="008971F8"/>
    <w:rsid w:val="00897EC9"/>
    <w:rsid w:val="008A06A1"/>
    <w:rsid w:val="008A0BC8"/>
    <w:rsid w:val="008A1492"/>
    <w:rsid w:val="008A1CDB"/>
    <w:rsid w:val="008A213A"/>
    <w:rsid w:val="008A37F2"/>
    <w:rsid w:val="008A3BA3"/>
    <w:rsid w:val="008A564B"/>
    <w:rsid w:val="008A6654"/>
    <w:rsid w:val="008A6CA4"/>
    <w:rsid w:val="008B0981"/>
    <w:rsid w:val="008B0BCB"/>
    <w:rsid w:val="008B2FDF"/>
    <w:rsid w:val="008B5A95"/>
    <w:rsid w:val="008B659E"/>
    <w:rsid w:val="008B7161"/>
    <w:rsid w:val="008B774A"/>
    <w:rsid w:val="008B77BD"/>
    <w:rsid w:val="008C0501"/>
    <w:rsid w:val="008C1665"/>
    <w:rsid w:val="008C43D4"/>
    <w:rsid w:val="008C472E"/>
    <w:rsid w:val="008C63CA"/>
    <w:rsid w:val="008C67B0"/>
    <w:rsid w:val="008C6FB8"/>
    <w:rsid w:val="008D045C"/>
    <w:rsid w:val="008D1B30"/>
    <w:rsid w:val="008D2120"/>
    <w:rsid w:val="008D2266"/>
    <w:rsid w:val="008D22AA"/>
    <w:rsid w:val="008D26DD"/>
    <w:rsid w:val="008D28FC"/>
    <w:rsid w:val="008D2B9A"/>
    <w:rsid w:val="008D3224"/>
    <w:rsid w:val="008D3B53"/>
    <w:rsid w:val="008D45C8"/>
    <w:rsid w:val="008D4CCD"/>
    <w:rsid w:val="008D5823"/>
    <w:rsid w:val="008E04E5"/>
    <w:rsid w:val="008E0FDB"/>
    <w:rsid w:val="008E193D"/>
    <w:rsid w:val="008E27CE"/>
    <w:rsid w:val="008E32F1"/>
    <w:rsid w:val="008E4954"/>
    <w:rsid w:val="008E4E67"/>
    <w:rsid w:val="008E55FC"/>
    <w:rsid w:val="008E5712"/>
    <w:rsid w:val="008E57F9"/>
    <w:rsid w:val="008E7EF7"/>
    <w:rsid w:val="008F0176"/>
    <w:rsid w:val="008F0386"/>
    <w:rsid w:val="008F0838"/>
    <w:rsid w:val="008F08D7"/>
    <w:rsid w:val="008F1C0F"/>
    <w:rsid w:val="008F252D"/>
    <w:rsid w:val="008F276B"/>
    <w:rsid w:val="008F2957"/>
    <w:rsid w:val="008F4F2A"/>
    <w:rsid w:val="008F5D47"/>
    <w:rsid w:val="008F7936"/>
    <w:rsid w:val="008F7B40"/>
    <w:rsid w:val="00900AEB"/>
    <w:rsid w:val="009011C7"/>
    <w:rsid w:val="00901457"/>
    <w:rsid w:val="00901DBE"/>
    <w:rsid w:val="00901EE8"/>
    <w:rsid w:val="00902374"/>
    <w:rsid w:val="009027E9"/>
    <w:rsid w:val="00903508"/>
    <w:rsid w:val="00903792"/>
    <w:rsid w:val="00903D8C"/>
    <w:rsid w:val="00903FB7"/>
    <w:rsid w:val="00904A5E"/>
    <w:rsid w:val="00905351"/>
    <w:rsid w:val="00907B6A"/>
    <w:rsid w:val="00910818"/>
    <w:rsid w:val="0091097F"/>
    <w:rsid w:val="0091133B"/>
    <w:rsid w:val="0091222F"/>
    <w:rsid w:val="0091244C"/>
    <w:rsid w:val="00912F4C"/>
    <w:rsid w:val="0091357F"/>
    <w:rsid w:val="0091361A"/>
    <w:rsid w:val="009141F6"/>
    <w:rsid w:val="00914637"/>
    <w:rsid w:val="00914BBD"/>
    <w:rsid w:val="009150B1"/>
    <w:rsid w:val="00920A7A"/>
    <w:rsid w:val="0092118E"/>
    <w:rsid w:val="00923959"/>
    <w:rsid w:val="0092430E"/>
    <w:rsid w:val="00926D06"/>
    <w:rsid w:val="00931D98"/>
    <w:rsid w:val="00931EBF"/>
    <w:rsid w:val="00932B1B"/>
    <w:rsid w:val="00933B93"/>
    <w:rsid w:val="00933DB0"/>
    <w:rsid w:val="00933F51"/>
    <w:rsid w:val="00934273"/>
    <w:rsid w:val="00934E7B"/>
    <w:rsid w:val="009358DF"/>
    <w:rsid w:val="00935DDC"/>
    <w:rsid w:val="0094189F"/>
    <w:rsid w:val="00941B06"/>
    <w:rsid w:val="00942FD4"/>
    <w:rsid w:val="009435C4"/>
    <w:rsid w:val="0094452C"/>
    <w:rsid w:val="009447DA"/>
    <w:rsid w:val="009451E2"/>
    <w:rsid w:val="00945C91"/>
    <w:rsid w:val="00945CFC"/>
    <w:rsid w:val="00950095"/>
    <w:rsid w:val="009505CE"/>
    <w:rsid w:val="00951114"/>
    <w:rsid w:val="0095162C"/>
    <w:rsid w:val="00952816"/>
    <w:rsid w:val="009528B0"/>
    <w:rsid w:val="00952F8A"/>
    <w:rsid w:val="0095308C"/>
    <w:rsid w:val="0095331D"/>
    <w:rsid w:val="0095341A"/>
    <w:rsid w:val="0095404E"/>
    <w:rsid w:val="00954A4E"/>
    <w:rsid w:val="00954F70"/>
    <w:rsid w:val="009561BB"/>
    <w:rsid w:val="00956CED"/>
    <w:rsid w:val="00957C14"/>
    <w:rsid w:val="00960203"/>
    <w:rsid w:val="00960478"/>
    <w:rsid w:val="00962B89"/>
    <w:rsid w:val="00965B2A"/>
    <w:rsid w:val="00967F77"/>
    <w:rsid w:val="00970250"/>
    <w:rsid w:val="00970BCB"/>
    <w:rsid w:val="009713E9"/>
    <w:rsid w:val="009730AD"/>
    <w:rsid w:val="0097457E"/>
    <w:rsid w:val="00974A83"/>
    <w:rsid w:val="009753B2"/>
    <w:rsid w:val="00975541"/>
    <w:rsid w:val="00975BD9"/>
    <w:rsid w:val="00975E1C"/>
    <w:rsid w:val="00975FD8"/>
    <w:rsid w:val="009763D7"/>
    <w:rsid w:val="009764E4"/>
    <w:rsid w:val="00977718"/>
    <w:rsid w:val="009802B0"/>
    <w:rsid w:val="009810A5"/>
    <w:rsid w:val="00981308"/>
    <w:rsid w:val="00982815"/>
    <w:rsid w:val="00982E91"/>
    <w:rsid w:val="00983214"/>
    <w:rsid w:val="00983230"/>
    <w:rsid w:val="009834DF"/>
    <w:rsid w:val="00984344"/>
    <w:rsid w:val="009855B0"/>
    <w:rsid w:val="009858D6"/>
    <w:rsid w:val="009864A6"/>
    <w:rsid w:val="009865A8"/>
    <w:rsid w:val="00990177"/>
    <w:rsid w:val="00990958"/>
    <w:rsid w:val="00991875"/>
    <w:rsid w:val="00991962"/>
    <w:rsid w:val="0099203B"/>
    <w:rsid w:val="00992B75"/>
    <w:rsid w:val="00993C2A"/>
    <w:rsid w:val="009954CC"/>
    <w:rsid w:val="00995597"/>
    <w:rsid w:val="00996831"/>
    <w:rsid w:val="00996EAB"/>
    <w:rsid w:val="009A02DD"/>
    <w:rsid w:val="009A0A2B"/>
    <w:rsid w:val="009A0F0F"/>
    <w:rsid w:val="009A158A"/>
    <w:rsid w:val="009A1CDC"/>
    <w:rsid w:val="009A2860"/>
    <w:rsid w:val="009A4999"/>
    <w:rsid w:val="009A5A39"/>
    <w:rsid w:val="009B005A"/>
    <w:rsid w:val="009B223F"/>
    <w:rsid w:val="009B26E3"/>
    <w:rsid w:val="009B2FD0"/>
    <w:rsid w:val="009B5D56"/>
    <w:rsid w:val="009B5E26"/>
    <w:rsid w:val="009B619F"/>
    <w:rsid w:val="009B6318"/>
    <w:rsid w:val="009B74DF"/>
    <w:rsid w:val="009C0456"/>
    <w:rsid w:val="009C0EB6"/>
    <w:rsid w:val="009C13DE"/>
    <w:rsid w:val="009C149D"/>
    <w:rsid w:val="009C167B"/>
    <w:rsid w:val="009C16AB"/>
    <w:rsid w:val="009C1ABC"/>
    <w:rsid w:val="009C2057"/>
    <w:rsid w:val="009C22E1"/>
    <w:rsid w:val="009C3529"/>
    <w:rsid w:val="009C3B61"/>
    <w:rsid w:val="009C4952"/>
    <w:rsid w:val="009C512A"/>
    <w:rsid w:val="009C5474"/>
    <w:rsid w:val="009C56A1"/>
    <w:rsid w:val="009C68AD"/>
    <w:rsid w:val="009C6D0D"/>
    <w:rsid w:val="009C6D94"/>
    <w:rsid w:val="009C76F1"/>
    <w:rsid w:val="009C7EB6"/>
    <w:rsid w:val="009D0A2A"/>
    <w:rsid w:val="009D0C8C"/>
    <w:rsid w:val="009D0C98"/>
    <w:rsid w:val="009D1775"/>
    <w:rsid w:val="009D1995"/>
    <w:rsid w:val="009D2584"/>
    <w:rsid w:val="009D2C28"/>
    <w:rsid w:val="009D2C7D"/>
    <w:rsid w:val="009D51EC"/>
    <w:rsid w:val="009D5A34"/>
    <w:rsid w:val="009D5AEE"/>
    <w:rsid w:val="009E0495"/>
    <w:rsid w:val="009E0A35"/>
    <w:rsid w:val="009E0D59"/>
    <w:rsid w:val="009E1087"/>
    <w:rsid w:val="009E1516"/>
    <w:rsid w:val="009E168D"/>
    <w:rsid w:val="009E2E98"/>
    <w:rsid w:val="009E3063"/>
    <w:rsid w:val="009E3383"/>
    <w:rsid w:val="009E5219"/>
    <w:rsid w:val="009E52B6"/>
    <w:rsid w:val="009E5F33"/>
    <w:rsid w:val="009E692D"/>
    <w:rsid w:val="009E708F"/>
    <w:rsid w:val="009E74E4"/>
    <w:rsid w:val="009E771A"/>
    <w:rsid w:val="009F0557"/>
    <w:rsid w:val="009F2157"/>
    <w:rsid w:val="009F2839"/>
    <w:rsid w:val="009F2BC5"/>
    <w:rsid w:val="009F335C"/>
    <w:rsid w:val="009F37B1"/>
    <w:rsid w:val="009F4030"/>
    <w:rsid w:val="009F4A28"/>
    <w:rsid w:val="009F4A5C"/>
    <w:rsid w:val="009F58B4"/>
    <w:rsid w:val="009F5F86"/>
    <w:rsid w:val="009F658B"/>
    <w:rsid w:val="009F6FD7"/>
    <w:rsid w:val="00A058E4"/>
    <w:rsid w:val="00A05AD1"/>
    <w:rsid w:val="00A11A87"/>
    <w:rsid w:val="00A12F37"/>
    <w:rsid w:val="00A13C26"/>
    <w:rsid w:val="00A13CF3"/>
    <w:rsid w:val="00A1421E"/>
    <w:rsid w:val="00A14731"/>
    <w:rsid w:val="00A15FB8"/>
    <w:rsid w:val="00A17146"/>
    <w:rsid w:val="00A17324"/>
    <w:rsid w:val="00A200B5"/>
    <w:rsid w:val="00A2052B"/>
    <w:rsid w:val="00A2079A"/>
    <w:rsid w:val="00A2165B"/>
    <w:rsid w:val="00A231FB"/>
    <w:rsid w:val="00A23F33"/>
    <w:rsid w:val="00A253EE"/>
    <w:rsid w:val="00A2606F"/>
    <w:rsid w:val="00A264C5"/>
    <w:rsid w:val="00A306C8"/>
    <w:rsid w:val="00A316BD"/>
    <w:rsid w:val="00A31C09"/>
    <w:rsid w:val="00A31C86"/>
    <w:rsid w:val="00A325A3"/>
    <w:rsid w:val="00A32D5D"/>
    <w:rsid w:val="00A3337B"/>
    <w:rsid w:val="00A33594"/>
    <w:rsid w:val="00A35397"/>
    <w:rsid w:val="00A35522"/>
    <w:rsid w:val="00A35AFD"/>
    <w:rsid w:val="00A35EB2"/>
    <w:rsid w:val="00A3734F"/>
    <w:rsid w:val="00A3797F"/>
    <w:rsid w:val="00A402DB"/>
    <w:rsid w:val="00A406CB"/>
    <w:rsid w:val="00A42C1E"/>
    <w:rsid w:val="00A4506A"/>
    <w:rsid w:val="00A45104"/>
    <w:rsid w:val="00A451F0"/>
    <w:rsid w:val="00A4681E"/>
    <w:rsid w:val="00A468AF"/>
    <w:rsid w:val="00A50F80"/>
    <w:rsid w:val="00A52CA5"/>
    <w:rsid w:val="00A5337A"/>
    <w:rsid w:val="00A53425"/>
    <w:rsid w:val="00A53B64"/>
    <w:rsid w:val="00A5421C"/>
    <w:rsid w:val="00A553AA"/>
    <w:rsid w:val="00A5733A"/>
    <w:rsid w:val="00A576FC"/>
    <w:rsid w:val="00A57FE5"/>
    <w:rsid w:val="00A60422"/>
    <w:rsid w:val="00A60890"/>
    <w:rsid w:val="00A60B30"/>
    <w:rsid w:val="00A611D4"/>
    <w:rsid w:val="00A61D8E"/>
    <w:rsid w:val="00A623D0"/>
    <w:rsid w:val="00A62E28"/>
    <w:rsid w:val="00A63AB8"/>
    <w:rsid w:val="00A64997"/>
    <w:rsid w:val="00A65146"/>
    <w:rsid w:val="00A657F9"/>
    <w:rsid w:val="00A66040"/>
    <w:rsid w:val="00A668B4"/>
    <w:rsid w:val="00A70421"/>
    <w:rsid w:val="00A70DAB"/>
    <w:rsid w:val="00A7206D"/>
    <w:rsid w:val="00A72275"/>
    <w:rsid w:val="00A72A1A"/>
    <w:rsid w:val="00A73633"/>
    <w:rsid w:val="00A737B4"/>
    <w:rsid w:val="00A74C15"/>
    <w:rsid w:val="00A7520E"/>
    <w:rsid w:val="00A80409"/>
    <w:rsid w:val="00A81A82"/>
    <w:rsid w:val="00A81CD4"/>
    <w:rsid w:val="00A83990"/>
    <w:rsid w:val="00A845F1"/>
    <w:rsid w:val="00A847A9"/>
    <w:rsid w:val="00A8490D"/>
    <w:rsid w:val="00A857D7"/>
    <w:rsid w:val="00A85B3F"/>
    <w:rsid w:val="00A85DD6"/>
    <w:rsid w:val="00A86CC1"/>
    <w:rsid w:val="00A87FAD"/>
    <w:rsid w:val="00A90EB8"/>
    <w:rsid w:val="00A92610"/>
    <w:rsid w:val="00A937B8"/>
    <w:rsid w:val="00A93C93"/>
    <w:rsid w:val="00A95A6D"/>
    <w:rsid w:val="00A97FA6"/>
    <w:rsid w:val="00AA0F1F"/>
    <w:rsid w:val="00AA16D2"/>
    <w:rsid w:val="00AA1C12"/>
    <w:rsid w:val="00AA2608"/>
    <w:rsid w:val="00AA2A24"/>
    <w:rsid w:val="00AA2F1A"/>
    <w:rsid w:val="00AA3949"/>
    <w:rsid w:val="00AA39AC"/>
    <w:rsid w:val="00AA5FEB"/>
    <w:rsid w:val="00AA6329"/>
    <w:rsid w:val="00AA6E54"/>
    <w:rsid w:val="00AB1043"/>
    <w:rsid w:val="00AB17D5"/>
    <w:rsid w:val="00AB49E0"/>
    <w:rsid w:val="00AB50FE"/>
    <w:rsid w:val="00AB5F9B"/>
    <w:rsid w:val="00AB6751"/>
    <w:rsid w:val="00AB728A"/>
    <w:rsid w:val="00AB751C"/>
    <w:rsid w:val="00AB7D38"/>
    <w:rsid w:val="00AB7E47"/>
    <w:rsid w:val="00AC0368"/>
    <w:rsid w:val="00AC1C79"/>
    <w:rsid w:val="00AC315E"/>
    <w:rsid w:val="00AC3177"/>
    <w:rsid w:val="00AC3C5E"/>
    <w:rsid w:val="00AC4D23"/>
    <w:rsid w:val="00AC4DE3"/>
    <w:rsid w:val="00AC4E2C"/>
    <w:rsid w:val="00AC4FEC"/>
    <w:rsid w:val="00AC7D3C"/>
    <w:rsid w:val="00AC7F5A"/>
    <w:rsid w:val="00AD02AE"/>
    <w:rsid w:val="00AD0FA4"/>
    <w:rsid w:val="00AD1484"/>
    <w:rsid w:val="00AD1A48"/>
    <w:rsid w:val="00AD1C9C"/>
    <w:rsid w:val="00AD2875"/>
    <w:rsid w:val="00AD2D10"/>
    <w:rsid w:val="00AD2DDA"/>
    <w:rsid w:val="00AD39ED"/>
    <w:rsid w:val="00AD3A38"/>
    <w:rsid w:val="00AD3AE7"/>
    <w:rsid w:val="00AD4479"/>
    <w:rsid w:val="00AD5D55"/>
    <w:rsid w:val="00AD5DE8"/>
    <w:rsid w:val="00AD5F09"/>
    <w:rsid w:val="00AD6606"/>
    <w:rsid w:val="00AD698B"/>
    <w:rsid w:val="00AD7616"/>
    <w:rsid w:val="00AD7E06"/>
    <w:rsid w:val="00AE42D0"/>
    <w:rsid w:val="00AE446C"/>
    <w:rsid w:val="00AE51C7"/>
    <w:rsid w:val="00AE56B3"/>
    <w:rsid w:val="00AE5796"/>
    <w:rsid w:val="00AE6BBF"/>
    <w:rsid w:val="00AE6EA4"/>
    <w:rsid w:val="00AE7680"/>
    <w:rsid w:val="00AF0A54"/>
    <w:rsid w:val="00AF1142"/>
    <w:rsid w:val="00AF1B85"/>
    <w:rsid w:val="00AF1CE1"/>
    <w:rsid w:val="00AF256B"/>
    <w:rsid w:val="00AF25F6"/>
    <w:rsid w:val="00AF4046"/>
    <w:rsid w:val="00AF5999"/>
    <w:rsid w:val="00AF6525"/>
    <w:rsid w:val="00AF6F4A"/>
    <w:rsid w:val="00B00347"/>
    <w:rsid w:val="00B0114F"/>
    <w:rsid w:val="00B01C33"/>
    <w:rsid w:val="00B01DB5"/>
    <w:rsid w:val="00B01ED1"/>
    <w:rsid w:val="00B062FC"/>
    <w:rsid w:val="00B10E9E"/>
    <w:rsid w:val="00B11299"/>
    <w:rsid w:val="00B114EC"/>
    <w:rsid w:val="00B11FB9"/>
    <w:rsid w:val="00B120F6"/>
    <w:rsid w:val="00B134D0"/>
    <w:rsid w:val="00B13EF2"/>
    <w:rsid w:val="00B14214"/>
    <w:rsid w:val="00B14EB0"/>
    <w:rsid w:val="00B15931"/>
    <w:rsid w:val="00B220D2"/>
    <w:rsid w:val="00B23915"/>
    <w:rsid w:val="00B24DAF"/>
    <w:rsid w:val="00B251A2"/>
    <w:rsid w:val="00B256CD"/>
    <w:rsid w:val="00B26E1B"/>
    <w:rsid w:val="00B2722E"/>
    <w:rsid w:val="00B317EA"/>
    <w:rsid w:val="00B32AE0"/>
    <w:rsid w:val="00B33091"/>
    <w:rsid w:val="00B33818"/>
    <w:rsid w:val="00B34501"/>
    <w:rsid w:val="00B34D34"/>
    <w:rsid w:val="00B352F3"/>
    <w:rsid w:val="00B35939"/>
    <w:rsid w:val="00B362E1"/>
    <w:rsid w:val="00B36DAC"/>
    <w:rsid w:val="00B36E3D"/>
    <w:rsid w:val="00B40809"/>
    <w:rsid w:val="00B4303F"/>
    <w:rsid w:val="00B43089"/>
    <w:rsid w:val="00B43515"/>
    <w:rsid w:val="00B446F1"/>
    <w:rsid w:val="00B454C3"/>
    <w:rsid w:val="00B454D1"/>
    <w:rsid w:val="00B45651"/>
    <w:rsid w:val="00B45AE2"/>
    <w:rsid w:val="00B46106"/>
    <w:rsid w:val="00B4669A"/>
    <w:rsid w:val="00B46FB3"/>
    <w:rsid w:val="00B47696"/>
    <w:rsid w:val="00B50769"/>
    <w:rsid w:val="00B51E49"/>
    <w:rsid w:val="00B51F9B"/>
    <w:rsid w:val="00B53EBA"/>
    <w:rsid w:val="00B54188"/>
    <w:rsid w:val="00B54208"/>
    <w:rsid w:val="00B54A3F"/>
    <w:rsid w:val="00B55048"/>
    <w:rsid w:val="00B550C3"/>
    <w:rsid w:val="00B55635"/>
    <w:rsid w:val="00B55E1A"/>
    <w:rsid w:val="00B563C4"/>
    <w:rsid w:val="00B56812"/>
    <w:rsid w:val="00B57065"/>
    <w:rsid w:val="00B57C00"/>
    <w:rsid w:val="00B57C21"/>
    <w:rsid w:val="00B57E37"/>
    <w:rsid w:val="00B60352"/>
    <w:rsid w:val="00B61080"/>
    <w:rsid w:val="00B6173F"/>
    <w:rsid w:val="00B61912"/>
    <w:rsid w:val="00B61917"/>
    <w:rsid w:val="00B6261D"/>
    <w:rsid w:val="00B642DB"/>
    <w:rsid w:val="00B643D6"/>
    <w:rsid w:val="00B64DF6"/>
    <w:rsid w:val="00B65AE2"/>
    <w:rsid w:val="00B66DCB"/>
    <w:rsid w:val="00B67FFD"/>
    <w:rsid w:val="00B7040E"/>
    <w:rsid w:val="00B70B2B"/>
    <w:rsid w:val="00B70DB4"/>
    <w:rsid w:val="00B71084"/>
    <w:rsid w:val="00B711B7"/>
    <w:rsid w:val="00B7164C"/>
    <w:rsid w:val="00B72FA2"/>
    <w:rsid w:val="00B73590"/>
    <w:rsid w:val="00B742F8"/>
    <w:rsid w:val="00B748AB"/>
    <w:rsid w:val="00B758BD"/>
    <w:rsid w:val="00B77108"/>
    <w:rsid w:val="00B80205"/>
    <w:rsid w:val="00B812A7"/>
    <w:rsid w:val="00B8182D"/>
    <w:rsid w:val="00B832FB"/>
    <w:rsid w:val="00B858BD"/>
    <w:rsid w:val="00B85E75"/>
    <w:rsid w:val="00B8715B"/>
    <w:rsid w:val="00B87579"/>
    <w:rsid w:val="00B90F3B"/>
    <w:rsid w:val="00B91F3A"/>
    <w:rsid w:val="00B92905"/>
    <w:rsid w:val="00B93B11"/>
    <w:rsid w:val="00B93B89"/>
    <w:rsid w:val="00B948E4"/>
    <w:rsid w:val="00B96102"/>
    <w:rsid w:val="00B961C2"/>
    <w:rsid w:val="00B96974"/>
    <w:rsid w:val="00B97288"/>
    <w:rsid w:val="00BA3288"/>
    <w:rsid w:val="00BA3A36"/>
    <w:rsid w:val="00BA47B3"/>
    <w:rsid w:val="00BA4C87"/>
    <w:rsid w:val="00BA5ACA"/>
    <w:rsid w:val="00BA5FA1"/>
    <w:rsid w:val="00BA6A18"/>
    <w:rsid w:val="00BA6C0B"/>
    <w:rsid w:val="00BA7B7A"/>
    <w:rsid w:val="00BA7E5C"/>
    <w:rsid w:val="00BB0F06"/>
    <w:rsid w:val="00BB17E9"/>
    <w:rsid w:val="00BB1A20"/>
    <w:rsid w:val="00BB1D22"/>
    <w:rsid w:val="00BB21EF"/>
    <w:rsid w:val="00BB2982"/>
    <w:rsid w:val="00BB3A53"/>
    <w:rsid w:val="00BB412C"/>
    <w:rsid w:val="00BB4278"/>
    <w:rsid w:val="00BB480C"/>
    <w:rsid w:val="00BB621E"/>
    <w:rsid w:val="00BB6745"/>
    <w:rsid w:val="00BB6C51"/>
    <w:rsid w:val="00BC059A"/>
    <w:rsid w:val="00BC0D14"/>
    <w:rsid w:val="00BC123C"/>
    <w:rsid w:val="00BC3F48"/>
    <w:rsid w:val="00BC3FA7"/>
    <w:rsid w:val="00BC49C9"/>
    <w:rsid w:val="00BC4A28"/>
    <w:rsid w:val="00BC4C22"/>
    <w:rsid w:val="00BC4C47"/>
    <w:rsid w:val="00BC4CFA"/>
    <w:rsid w:val="00BC6588"/>
    <w:rsid w:val="00BC6C52"/>
    <w:rsid w:val="00BD0B96"/>
    <w:rsid w:val="00BD0BA9"/>
    <w:rsid w:val="00BD136B"/>
    <w:rsid w:val="00BD158B"/>
    <w:rsid w:val="00BD18C6"/>
    <w:rsid w:val="00BD193A"/>
    <w:rsid w:val="00BD1B98"/>
    <w:rsid w:val="00BD42D3"/>
    <w:rsid w:val="00BD42F7"/>
    <w:rsid w:val="00BD4F2F"/>
    <w:rsid w:val="00BD556D"/>
    <w:rsid w:val="00BD5A17"/>
    <w:rsid w:val="00BD6BD0"/>
    <w:rsid w:val="00BD7517"/>
    <w:rsid w:val="00BD7865"/>
    <w:rsid w:val="00BD7D11"/>
    <w:rsid w:val="00BE0684"/>
    <w:rsid w:val="00BE109D"/>
    <w:rsid w:val="00BE22B7"/>
    <w:rsid w:val="00BE247D"/>
    <w:rsid w:val="00BE2706"/>
    <w:rsid w:val="00BE304D"/>
    <w:rsid w:val="00BE6361"/>
    <w:rsid w:val="00BE6979"/>
    <w:rsid w:val="00BE6EEF"/>
    <w:rsid w:val="00BF0762"/>
    <w:rsid w:val="00BF15FE"/>
    <w:rsid w:val="00BF1F47"/>
    <w:rsid w:val="00BF2164"/>
    <w:rsid w:val="00BF3509"/>
    <w:rsid w:val="00BF3631"/>
    <w:rsid w:val="00BF3B0A"/>
    <w:rsid w:val="00BF3ECD"/>
    <w:rsid w:val="00BF42C3"/>
    <w:rsid w:val="00BF6A56"/>
    <w:rsid w:val="00C017C4"/>
    <w:rsid w:val="00C05743"/>
    <w:rsid w:val="00C07271"/>
    <w:rsid w:val="00C076D4"/>
    <w:rsid w:val="00C07912"/>
    <w:rsid w:val="00C12AB9"/>
    <w:rsid w:val="00C12BC8"/>
    <w:rsid w:val="00C133B1"/>
    <w:rsid w:val="00C13AEF"/>
    <w:rsid w:val="00C13E86"/>
    <w:rsid w:val="00C14F65"/>
    <w:rsid w:val="00C15C8C"/>
    <w:rsid w:val="00C175E2"/>
    <w:rsid w:val="00C175FB"/>
    <w:rsid w:val="00C17AC3"/>
    <w:rsid w:val="00C20924"/>
    <w:rsid w:val="00C20C7C"/>
    <w:rsid w:val="00C20D86"/>
    <w:rsid w:val="00C21DAD"/>
    <w:rsid w:val="00C22231"/>
    <w:rsid w:val="00C2236B"/>
    <w:rsid w:val="00C2296A"/>
    <w:rsid w:val="00C23D4B"/>
    <w:rsid w:val="00C25592"/>
    <w:rsid w:val="00C26062"/>
    <w:rsid w:val="00C279F8"/>
    <w:rsid w:val="00C304C9"/>
    <w:rsid w:val="00C3122F"/>
    <w:rsid w:val="00C31288"/>
    <w:rsid w:val="00C31337"/>
    <w:rsid w:val="00C317DE"/>
    <w:rsid w:val="00C32228"/>
    <w:rsid w:val="00C323D0"/>
    <w:rsid w:val="00C33BD0"/>
    <w:rsid w:val="00C3439B"/>
    <w:rsid w:val="00C34FDC"/>
    <w:rsid w:val="00C358FC"/>
    <w:rsid w:val="00C35D1D"/>
    <w:rsid w:val="00C369CB"/>
    <w:rsid w:val="00C377A9"/>
    <w:rsid w:val="00C37F3C"/>
    <w:rsid w:val="00C4090D"/>
    <w:rsid w:val="00C42729"/>
    <w:rsid w:val="00C43292"/>
    <w:rsid w:val="00C4376F"/>
    <w:rsid w:val="00C43F41"/>
    <w:rsid w:val="00C4423C"/>
    <w:rsid w:val="00C447B6"/>
    <w:rsid w:val="00C45609"/>
    <w:rsid w:val="00C46DF8"/>
    <w:rsid w:val="00C470F1"/>
    <w:rsid w:val="00C47C11"/>
    <w:rsid w:val="00C47F12"/>
    <w:rsid w:val="00C500BD"/>
    <w:rsid w:val="00C52F14"/>
    <w:rsid w:val="00C530E2"/>
    <w:rsid w:val="00C5579A"/>
    <w:rsid w:val="00C55963"/>
    <w:rsid w:val="00C61679"/>
    <w:rsid w:val="00C617A1"/>
    <w:rsid w:val="00C61F6C"/>
    <w:rsid w:val="00C64081"/>
    <w:rsid w:val="00C65B70"/>
    <w:rsid w:val="00C67CB2"/>
    <w:rsid w:val="00C67FEA"/>
    <w:rsid w:val="00C708AD"/>
    <w:rsid w:val="00C7183E"/>
    <w:rsid w:val="00C7189F"/>
    <w:rsid w:val="00C7209C"/>
    <w:rsid w:val="00C727F0"/>
    <w:rsid w:val="00C73B32"/>
    <w:rsid w:val="00C7543F"/>
    <w:rsid w:val="00C755BA"/>
    <w:rsid w:val="00C76CC5"/>
    <w:rsid w:val="00C77A09"/>
    <w:rsid w:val="00C80C61"/>
    <w:rsid w:val="00C8211F"/>
    <w:rsid w:val="00C82F1B"/>
    <w:rsid w:val="00C82F6D"/>
    <w:rsid w:val="00C8300A"/>
    <w:rsid w:val="00C8331E"/>
    <w:rsid w:val="00C849BC"/>
    <w:rsid w:val="00C862EC"/>
    <w:rsid w:val="00C867DC"/>
    <w:rsid w:val="00C8777C"/>
    <w:rsid w:val="00C87D25"/>
    <w:rsid w:val="00C936B1"/>
    <w:rsid w:val="00C93800"/>
    <w:rsid w:val="00C94139"/>
    <w:rsid w:val="00C94BF9"/>
    <w:rsid w:val="00C95533"/>
    <w:rsid w:val="00C956A3"/>
    <w:rsid w:val="00C95F0C"/>
    <w:rsid w:val="00C96C1A"/>
    <w:rsid w:val="00C978D4"/>
    <w:rsid w:val="00CA0AB7"/>
    <w:rsid w:val="00CA1E11"/>
    <w:rsid w:val="00CA29DA"/>
    <w:rsid w:val="00CA2A35"/>
    <w:rsid w:val="00CA4222"/>
    <w:rsid w:val="00CA4EE9"/>
    <w:rsid w:val="00CA5D9F"/>
    <w:rsid w:val="00CA60E9"/>
    <w:rsid w:val="00CA7589"/>
    <w:rsid w:val="00CA7DA9"/>
    <w:rsid w:val="00CB0114"/>
    <w:rsid w:val="00CB0946"/>
    <w:rsid w:val="00CB135F"/>
    <w:rsid w:val="00CB3376"/>
    <w:rsid w:val="00CB480D"/>
    <w:rsid w:val="00CB50FE"/>
    <w:rsid w:val="00CB6804"/>
    <w:rsid w:val="00CB72AD"/>
    <w:rsid w:val="00CB79F7"/>
    <w:rsid w:val="00CC0751"/>
    <w:rsid w:val="00CC2933"/>
    <w:rsid w:val="00CC3287"/>
    <w:rsid w:val="00CC4062"/>
    <w:rsid w:val="00CC40D5"/>
    <w:rsid w:val="00CC4118"/>
    <w:rsid w:val="00CC5154"/>
    <w:rsid w:val="00CC6389"/>
    <w:rsid w:val="00CC677D"/>
    <w:rsid w:val="00CC6AA7"/>
    <w:rsid w:val="00CC7057"/>
    <w:rsid w:val="00CC7E52"/>
    <w:rsid w:val="00CC7EE6"/>
    <w:rsid w:val="00CD2660"/>
    <w:rsid w:val="00CD3AA9"/>
    <w:rsid w:val="00CD3C92"/>
    <w:rsid w:val="00CD3F05"/>
    <w:rsid w:val="00CD3FAF"/>
    <w:rsid w:val="00CD4140"/>
    <w:rsid w:val="00CD4779"/>
    <w:rsid w:val="00CD4AD2"/>
    <w:rsid w:val="00CD5D2C"/>
    <w:rsid w:val="00CD614B"/>
    <w:rsid w:val="00CD7668"/>
    <w:rsid w:val="00CD774A"/>
    <w:rsid w:val="00CE1A72"/>
    <w:rsid w:val="00CE27AE"/>
    <w:rsid w:val="00CE3B9D"/>
    <w:rsid w:val="00CE440B"/>
    <w:rsid w:val="00CE4804"/>
    <w:rsid w:val="00CE6450"/>
    <w:rsid w:val="00CE6DD3"/>
    <w:rsid w:val="00CE7092"/>
    <w:rsid w:val="00CE71D4"/>
    <w:rsid w:val="00CE78B0"/>
    <w:rsid w:val="00CE7DBC"/>
    <w:rsid w:val="00CF05D0"/>
    <w:rsid w:val="00CF0681"/>
    <w:rsid w:val="00CF0D23"/>
    <w:rsid w:val="00CF5250"/>
    <w:rsid w:val="00CF544D"/>
    <w:rsid w:val="00CF5E91"/>
    <w:rsid w:val="00CF6B9A"/>
    <w:rsid w:val="00CF718A"/>
    <w:rsid w:val="00CF7310"/>
    <w:rsid w:val="00CF77AC"/>
    <w:rsid w:val="00CF7E6E"/>
    <w:rsid w:val="00D002BD"/>
    <w:rsid w:val="00D00375"/>
    <w:rsid w:val="00D0193C"/>
    <w:rsid w:val="00D032BC"/>
    <w:rsid w:val="00D03551"/>
    <w:rsid w:val="00D04C77"/>
    <w:rsid w:val="00D054D4"/>
    <w:rsid w:val="00D062EB"/>
    <w:rsid w:val="00D063E9"/>
    <w:rsid w:val="00D06F02"/>
    <w:rsid w:val="00D07402"/>
    <w:rsid w:val="00D07A99"/>
    <w:rsid w:val="00D0B0B6"/>
    <w:rsid w:val="00D10D6B"/>
    <w:rsid w:val="00D116DB"/>
    <w:rsid w:val="00D12298"/>
    <w:rsid w:val="00D12B00"/>
    <w:rsid w:val="00D12CD7"/>
    <w:rsid w:val="00D13440"/>
    <w:rsid w:val="00D1366E"/>
    <w:rsid w:val="00D13BD8"/>
    <w:rsid w:val="00D15163"/>
    <w:rsid w:val="00D1746B"/>
    <w:rsid w:val="00D20686"/>
    <w:rsid w:val="00D2260A"/>
    <w:rsid w:val="00D2352E"/>
    <w:rsid w:val="00D236B3"/>
    <w:rsid w:val="00D23C2B"/>
    <w:rsid w:val="00D24C61"/>
    <w:rsid w:val="00D25637"/>
    <w:rsid w:val="00D25691"/>
    <w:rsid w:val="00D25BE9"/>
    <w:rsid w:val="00D2662D"/>
    <w:rsid w:val="00D27767"/>
    <w:rsid w:val="00D30932"/>
    <w:rsid w:val="00D3100C"/>
    <w:rsid w:val="00D313F4"/>
    <w:rsid w:val="00D31E45"/>
    <w:rsid w:val="00D33E9C"/>
    <w:rsid w:val="00D34EA6"/>
    <w:rsid w:val="00D35871"/>
    <w:rsid w:val="00D3627C"/>
    <w:rsid w:val="00D372F3"/>
    <w:rsid w:val="00D379CA"/>
    <w:rsid w:val="00D414AA"/>
    <w:rsid w:val="00D431D0"/>
    <w:rsid w:val="00D44541"/>
    <w:rsid w:val="00D453C6"/>
    <w:rsid w:val="00D467FF"/>
    <w:rsid w:val="00D46ACD"/>
    <w:rsid w:val="00D471DC"/>
    <w:rsid w:val="00D475CD"/>
    <w:rsid w:val="00D50E8A"/>
    <w:rsid w:val="00D51127"/>
    <w:rsid w:val="00D51ADD"/>
    <w:rsid w:val="00D51BE4"/>
    <w:rsid w:val="00D52037"/>
    <w:rsid w:val="00D529E1"/>
    <w:rsid w:val="00D53292"/>
    <w:rsid w:val="00D5385E"/>
    <w:rsid w:val="00D53F00"/>
    <w:rsid w:val="00D54BB0"/>
    <w:rsid w:val="00D55893"/>
    <w:rsid w:val="00D55B6D"/>
    <w:rsid w:val="00D601EB"/>
    <w:rsid w:val="00D612CB"/>
    <w:rsid w:val="00D612E9"/>
    <w:rsid w:val="00D61A5B"/>
    <w:rsid w:val="00D61D66"/>
    <w:rsid w:val="00D6248A"/>
    <w:rsid w:val="00D62F4F"/>
    <w:rsid w:val="00D638AE"/>
    <w:rsid w:val="00D63978"/>
    <w:rsid w:val="00D65411"/>
    <w:rsid w:val="00D65DF5"/>
    <w:rsid w:val="00D6629C"/>
    <w:rsid w:val="00D6790E"/>
    <w:rsid w:val="00D70228"/>
    <w:rsid w:val="00D706E0"/>
    <w:rsid w:val="00D7122B"/>
    <w:rsid w:val="00D715BA"/>
    <w:rsid w:val="00D717EC"/>
    <w:rsid w:val="00D71EFB"/>
    <w:rsid w:val="00D720C3"/>
    <w:rsid w:val="00D73803"/>
    <w:rsid w:val="00D73A11"/>
    <w:rsid w:val="00D74450"/>
    <w:rsid w:val="00D75365"/>
    <w:rsid w:val="00D75E88"/>
    <w:rsid w:val="00D7661E"/>
    <w:rsid w:val="00D76A57"/>
    <w:rsid w:val="00D770AF"/>
    <w:rsid w:val="00D806CC"/>
    <w:rsid w:val="00D807EE"/>
    <w:rsid w:val="00D81FD0"/>
    <w:rsid w:val="00D82E2B"/>
    <w:rsid w:val="00D84D58"/>
    <w:rsid w:val="00D85145"/>
    <w:rsid w:val="00D86457"/>
    <w:rsid w:val="00D8796C"/>
    <w:rsid w:val="00D879A7"/>
    <w:rsid w:val="00D879D7"/>
    <w:rsid w:val="00D92544"/>
    <w:rsid w:val="00D927AB"/>
    <w:rsid w:val="00D92936"/>
    <w:rsid w:val="00D933CA"/>
    <w:rsid w:val="00D9400F"/>
    <w:rsid w:val="00D95607"/>
    <w:rsid w:val="00D959ED"/>
    <w:rsid w:val="00D961A4"/>
    <w:rsid w:val="00D9630D"/>
    <w:rsid w:val="00D96536"/>
    <w:rsid w:val="00D97EFE"/>
    <w:rsid w:val="00D97F22"/>
    <w:rsid w:val="00DA0D7F"/>
    <w:rsid w:val="00DA13D8"/>
    <w:rsid w:val="00DA13F7"/>
    <w:rsid w:val="00DA1A73"/>
    <w:rsid w:val="00DA2030"/>
    <w:rsid w:val="00DA2B67"/>
    <w:rsid w:val="00DA36BE"/>
    <w:rsid w:val="00DA45B4"/>
    <w:rsid w:val="00DA4DD6"/>
    <w:rsid w:val="00DA5E79"/>
    <w:rsid w:val="00DA6081"/>
    <w:rsid w:val="00DA6221"/>
    <w:rsid w:val="00DA7267"/>
    <w:rsid w:val="00DB13CE"/>
    <w:rsid w:val="00DB13ED"/>
    <w:rsid w:val="00DB2253"/>
    <w:rsid w:val="00DB4B22"/>
    <w:rsid w:val="00DB5160"/>
    <w:rsid w:val="00DB6644"/>
    <w:rsid w:val="00DB67A4"/>
    <w:rsid w:val="00DB73BA"/>
    <w:rsid w:val="00DC0D89"/>
    <w:rsid w:val="00DC307C"/>
    <w:rsid w:val="00DC3CE5"/>
    <w:rsid w:val="00DC3E8B"/>
    <w:rsid w:val="00DC4A76"/>
    <w:rsid w:val="00DC597D"/>
    <w:rsid w:val="00DC5D51"/>
    <w:rsid w:val="00DC6009"/>
    <w:rsid w:val="00DC6F6B"/>
    <w:rsid w:val="00DC703E"/>
    <w:rsid w:val="00DC7F22"/>
    <w:rsid w:val="00DD0AC2"/>
    <w:rsid w:val="00DD0F4D"/>
    <w:rsid w:val="00DD1664"/>
    <w:rsid w:val="00DD3208"/>
    <w:rsid w:val="00DD3339"/>
    <w:rsid w:val="00DD3D78"/>
    <w:rsid w:val="00DD6270"/>
    <w:rsid w:val="00DD6D16"/>
    <w:rsid w:val="00DD7304"/>
    <w:rsid w:val="00DD790E"/>
    <w:rsid w:val="00DE22A9"/>
    <w:rsid w:val="00DE2471"/>
    <w:rsid w:val="00DE4214"/>
    <w:rsid w:val="00DE4D88"/>
    <w:rsid w:val="00DE5132"/>
    <w:rsid w:val="00DE5A09"/>
    <w:rsid w:val="00DE6592"/>
    <w:rsid w:val="00DE65B2"/>
    <w:rsid w:val="00DE6BF3"/>
    <w:rsid w:val="00DE7C08"/>
    <w:rsid w:val="00DF092B"/>
    <w:rsid w:val="00DF18EF"/>
    <w:rsid w:val="00DF4305"/>
    <w:rsid w:val="00DF678C"/>
    <w:rsid w:val="00DF6A75"/>
    <w:rsid w:val="00E007DA"/>
    <w:rsid w:val="00E00A14"/>
    <w:rsid w:val="00E01372"/>
    <w:rsid w:val="00E01D6A"/>
    <w:rsid w:val="00E03550"/>
    <w:rsid w:val="00E036AB"/>
    <w:rsid w:val="00E07F06"/>
    <w:rsid w:val="00E1077A"/>
    <w:rsid w:val="00E10E56"/>
    <w:rsid w:val="00E12150"/>
    <w:rsid w:val="00E12E5D"/>
    <w:rsid w:val="00E136FA"/>
    <w:rsid w:val="00E1516F"/>
    <w:rsid w:val="00E15184"/>
    <w:rsid w:val="00E16021"/>
    <w:rsid w:val="00E17869"/>
    <w:rsid w:val="00E17AA9"/>
    <w:rsid w:val="00E20DAE"/>
    <w:rsid w:val="00E2255F"/>
    <w:rsid w:val="00E2349B"/>
    <w:rsid w:val="00E24212"/>
    <w:rsid w:val="00E260C7"/>
    <w:rsid w:val="00E26136"/>
    <w:rsid w:val="00E2778A"/>
    <w:rsid w:val="00E278EB"/>
    <w:rsid w:val="00E27EA0"/>
    <w:rsid w:val="00E30861"/>
    <w:rsid w:val="00E30C9B"/>
    <w:rsid w:val="00E31A7E"/>
    <w:rsid w:val="00E33B18"/>
    <w:rsid w:val="00E3551B"/>
    <w:rsid w:val="00E35B85"/>
    <w:rsid w:val="00E36225"/>
    <w:rsid w:val="00E3652E"/>
    <w:rsid w:val="00E3677D"/>
    <w:rsid w:val="00E36CE7"/>
    <w:rsid w:val="00E36F8E"/>
    <w:rsid w:val="00E37344"/>
    <w:rsid w:val="00E37A6A"/>
    <w:rsid w:val="00E41521"/>
    <w:rsid w:val="00E41BD2"/>
    <w:rsid w:val="00E422B1"/>
    <w:rsid w:val="00E43687"/>
    <w:rsid w:val="00E43706"/>
    <w:rsid w:val="00E43BF3"/>
    <w:rsid w:val="00E448A2"/>
    <w:rsid w:val="00E44A6D"/>
    <w:rsid w:val="00E456A9"/>
    <w:rsid w:val="00E459D7"/>
    <w:rsid w:val="00E46339"/>
    <w:rsid w:val="00E50B15"/>
    <w:rsid w:val="00E520F1"/>
    <w:rsid w:val="00E5232C"/>
    <w:rsid w:val="00E52612"/>
    <w:rsid w:val="00E53A4E"/>
    <w:rsid w:val="00E55F6B"/>
    <w:rsid w:val="00E563DE"/>
    <w:rsid w:val="00E61C77"/>
    <w:rsid w:val="00E637F3"/>
    <w:rsid w:val="00E638F0"/>
    <w:rsid w:val="00E63A68"/>
    <w:rsid w:val="00E65003"/>
    <w:rsid w:val="00E65D12"/>
    <w:rsid w:val="00E6651E"/>
    <w:rsid w:val="00E667D5"/>
    <w:rsid w:val="00E66892"/>
    <w:rsid w:val="00E67000"/>
    <w:rsid w:val="00E67DE9"/>
    <w:rsid w:val="00E716E7"/>
    <w:rsid w:val="00E71849"/>
    <w:rsid w:val="00E72772"/>
    <w:rsid w:val="00E72B3E"/>
    <w:rsid w:val="00E73B80"/>
    <w:rsid w:val="00E746F1"/>
    <w:rsid w:val="00E7486E"/>
    <w:rsid w:val="00E74B60"/>
    <w:rsid w:val="00E76994"/>
    <w:rsid w:val="00E8185C"/>
    <w:rsid w:val="00E83855"/>
    <w:rsid w:val="00E84ABB"/>
    <w:rsid w:val="00E85CA7"/>
    <w:rsid w:val="00E86775"/>
    <w:rsid w:val="00E8743C"/>
    <w:rsid w:val="00E907AE"/>
    <w:rsid w:val="00E91943"/>
    <w:rsid w:val="00E91CD8"/>
    <w:rsid w:val="00E92ACB"/>
    <w:rsid w:val="00E92B9E"/>
    <w:rsid w:val="00E938A9"/>
    <w:rsid w:val="00E93A81"/>
    <w:rsid w:val="00E93FAE"/>
    <w:rsid w:val="00E94C02"/>
    <w:rsid w:val="00E95BBF"/>
    <w:rsid w:val="00E95D12"/>
    <w:rsid w:val="00E9759B"/>
    <w:rsid w:val="00EA08D4"/>
    <w:rsid w:val="00EA1CE6"/>
    <w:rsid w:val="00EA2C6A"/>
    <w:rsid w:val="00EA4F25"/>
    <w:rsid w:val="00EA5050"/>
    <w:rsid w:val="00EA50BC"/>
    <w:rsid w:val="00EA5515"/>
    <w:rsid w:val="00EA61FC"/>
    <w:rsid w:val="00EA6301"/>
    <w:rsid w:val="00EA6D0B"/>
    <w:rsid w:val="00EB1F1D"/>
    <w:rsid w:val="00EB23E3"/>
    <w:rsid w:val="00EB33E5"/>
    <w:rsid w:val="00EB4131"/>
    <w:rsid w:val="00EB621D"/>
    <w:rsid w:val="00EB627C"/>
    <w:rsid w:val="00EB6FCC"/>
    <w:rsid w:val="00EB75BC"/>
    <w:rsid w:val="00EB7C6E"/>
    <w:rsid w:val="00EB7E69"/>
    <w:rsid w:val="00EC09CD"/>
    <w:rsid w:val="00EC0D19"/>
    <w:rsid w:val="00EC235F"/>
    <w:rsid w:val="00EC252B"/>
    <w:rsid w:val="00EC3E16"/>
    <w:rsid w:val="00EC40F8"/>
    <w:rsid w:val="00EC4352"/>
    <w:rsid w:val="00EC5911"/>
    <w:rsid w:val="00EC61CC"/>
    <w:rsid w:val="00EC7422"/>
    <w:rsid w:val="00ED0637"/>
    <w:rsid w:val="00ED1AD6"/>
    <w:rsid w:val="00ED25C9"/>
    <w:rsid w:val="00ED299F"/>
    <w:rsid w:val="00ED2D82"/>
    <w:rsid w:val="00ED3319"/>
    <w:rsid w:val="00ED3719"/>
    <w:rsid w:val="00ED3B58"/>
    <w:rsid w:val="00ED5D07"/>
    <w:rsid w:val="00ED6CF8"/>
    <w:rsid w:val="00EE0848"/>
    <w:rsid w:val="00EE11F2"/>
    <w:rsid w:val="00EE1437"/>
    <w:rsid w:val="00EE1C34"/>
    <w:rsid w:val="00EE1F62"/>
    <w:rsid w:val="00EE207A"/>
    <w:rsid w:val="00EE3241"/>
    <w:rsid w:val="00EE367B"/>
    <w:rsid w:val="00EE3A80"/>
    <w:rsid w:val="00EE47BE"/>
    <w:rsid w:val="00EE5780"/>
    <w:rsid w:val="00EE5D8D"/>
    <w:rsid w:val="00EE62B9"/>
    <w:rsid w:val="00EE7538"/>
    <w:rsid w:val="00EF05C8"/>
    <w:rsid w:val="00EF10BD"/>
    <w:rsid w:val="00EF12A4"/>
    <w:rsid w:val="00EF1823"/>
    <w:rsid w:val="00EF20C3"/>
    <w:rsid w:val="00EF494E"/>
    <w:rsid w:val="00EF4CA8"/>
    <w:rsid w:val="00EF5D68"/>
    <w:rsid w:val="00EF6031"/>
    <w:rsid w:val="00EF767A"/>
    <w:rsid w:val="00EF79A7"/>
    <w:rsid w:val="00EF7D62"/>
    <w:rsid w:val="00F00483"/>
    <w:rsid w:val="00F0233D"/>
    <w:rsid w:val="00F026FC"/>
    <w:rsid w:val="00F03FCC"/>
    <w:rsid w:val="00F0406B"/>
    <w:rsid w:val="00F06E5B"/>
    <w:rsid w:val="00F0788E"/>
    <w:rsid w:val="00F10560"/>
    <w:rsid w:val="00F10E06"/>
    <w:rsid w:val="00F110A9"/>
    <w:rsid w:val="00F1284B"/>
    <w:rsid w:val="00F12E0E"/>
    <w:rsid w:val="00F145BF"/>
    <w:rsid w:val="00F15CCF"/>
    <w:rsid w:val="00F15DF3"/>
    <w:rsid w:val="00F16059"/>
    <w:rsid w:val="00F160EC"/>
    <w:rsid w:val="00F16F61"/>
    <w:rsid w:val="00F172DC"/>
    <w:rsid w:val="00F1765C"/>
    <w:rsid w:val="00F21110"/>
    <w:rsid w:val="00F21CD3"/>
    <w:rsid w:val="00F21E03"/>
    <w:rsid w:val="00F22630"/>
    <w:rsid w:val="00F22B73"/>
    <w:rsid w:val="00F23B76"/>
    <w:rsid w:val="00F25017"/>
    <w:rsid w:val="00F272AC"/>
    <w:rsid w:val="00F273C8"/>
    <w:rsid w:val="00F32587"/>
    <w:rsid w:val="00F325B0"/>
    <w:rsid w:val="00F32FB2"/>
    <w:rsid w:val="00F33733"/>
    <w:rsid w:val="00F3487E"/>
    <w:rsid w:val="00F35DA7"/>
    <w:rsid w:val="00F3668B"/>
    <w:rsid w:val="00F3689E"/>
    <w:rsid w:val="00F36F3A"/>
    <w:rsid w:val="00F376D8"/>
    <w:rsid w:val="00F40952"/>
    <w:rsid w:val="00F40FB5"/>
    <w:rsid w:val="00F4125C"/>
    <w:rsid w:val="00F41293"/>
    <w:rsid w:val="00F415D8"/>
    <w:rsid w:val="00F4323F"/>
    <w:rsid w:val="00F4690D"/>
    <w:rsid w:val="00F46BC5"/>
    <w:rsid w:val="00F477D6"/>
    <w:rsid w:val="00F478EA"/>
    <w:rsid w:val="00F517B3"/>
    <w:rsid w:val="00F51BF7"/>
    <w:rsid w:val="00F522BE"/>
    <w:rsid w:val="00F527F0"/>
    <w:rsid w:val="00F53257"/>
    <w:rsid w:val="00F53471"/>
    <w:rsid w:val="00F5385A"/>
    <w:rsid w:val="00F54D17"/>
    <w:rsid w:val="00F55364"/>
    <w:rsid w:val="00F55934"/>
    <w:rsid w:val="00F5611A"/>
    <w:rsid w:val="00F56BA7"/>
    <w:rsid w:val="00F57A98"/>
    <w:rsid w:val="00F60276"/>
    <w:rsid w:val="00F60563"/>
    <w:rsid w:val="00F60DD8"/>
    <w:rsid w:val="00F61C8F"/>
    <w:rsid w:val="00F627DB"/>
    <w:rsid w:val="00F62D7D"/>
    <w:rsid w:val="00F63029"/>
    <w:rsid w:val="00F66653"/>
    <w:rsid w:val="00F66B1B"/>
    <w:rsid w:val="00F67F37"/>
    <w:rsid w:val="00F70E53"/>
    <w:rsid w:val="00F72D3F"/>
    <w:rsid w:val="00F72E14"/>
    <w:rsid w:val="00F72E3E"/>
    <w:rsid w:val="00F73316"/>
    <w:rsid w:val="00F7401D"/>
    <w:rsid w:val="00F76A36"/>
    <w:rsid w:val="00F8049C"/>
    <w:rsid w:val="00F806EC"/>
    <w:rsid w:val="00F811BC"/>
    <w:rsid w:val="00F8123B"/>
    <w:rsid w:val="00F816B1"/>
    <w:rsid w:val="00F818E1"/>
    <w:rsid w:val="00F81A13"/>
    <w:rsid w:val="00F82224"/>
    <w:rsid w:val="00F82747"/>
    <w:rsid w:val="00F82CC7"/>
    <w:rsid w:val="00F83644"/>
    <w:rsid w:val="00F85B97"/>
    <w:rsid w:val="00F86617"/>
    <w:rsid w:val="00F8751D"/>
    <w:rsid w:val="00F902AE"/>
    <w:rsid w:val="00F9067A"/>
    <w:rsid w:val="00F91BD4"/>
    <w:rsid w:val="00F9395B"/>
    <w:rsid w:val="00F93A55"/>
    <w:rsid w:val="00F943DF"/>
    <w:rsid w:val="00F953B0"/>
    <w:rsid w:val="00F9779A"/>
    <w:rsid w:val="00FA043C"/>
    <w:rsid w:val="00FA100C"/>
    <w:rsid w:val="00FA13CF"/>
    <w:rsid w:val="00FA207C"/>
    <w:rsid w:val="00FA30D6"/>
    <w:rsid w:val="00FA3993"/>
    <w:rsid w:val="00FA39CA"/>
    <w:rsid w:val="00FA3FB2"/>
    <w:rsid w:val="00FA7EAB"/>
    <w:rsid w:val="00FAE431"/>
    <w:rsid w:val="00FB217F"/>
    <w:rsid w:val="00FB2396"/>
    <w:rsid w:val="00FB28D8"/>
    <w:rsid w:val="00FB3AB6"/>
    <w:rsid w:val="00FB4446"/>
    <w:rsid w:val="00FB507D"/>
    <w:rsid w:val="00FB5662"/>
    <w:rsid w:val="00FB5EB6"/>
    <w:rsid w:val="00FC147E"/>
    <w:rsid w:val="00FC2B2F"/>
    <w:rsid w:val="00FC3694"/>
    <w:rsid w:val="00FC37ED"/>
    <w:rsid w:val="00FC3814"/>
    <w:rsid w:val="00FC4719"/>
    <w:rsid w:val="00FC57FC"/>
    <w:rsid w:val="00FC5969"/>
    <w:rsid w:val="00FC6261"/>
    <w:rsid w:val="00FC68A1"/>
    <w:rsid w:val="00FC6D6D"/>
    <w:rsid w:val="00FC73DC"/>
    <w:rsid w:val="00FC77C5"/>
    <w:rsid w:val="00FD19C5"/>
    <w:rsid w:val="00FD1C66"/>
    <w:rsid w:val="00FD3523"/>
    <w:rsid w:val="00FD4189"/>
    <w:rsid w:val="00FD461A"/>
    <w:rsid w:val="00FD5015"/>
    <w:rsid w:val="00FD58E1"/>
    <w:rsid w:val="00FD5BE7"/>
    <w:rsid w:val="00FE13AB"/>
    <w:rsid w:val="00FE18F3"/>
    <w:rsid w:val="00FE3354"/>
    <w:rsid w:val="00FE3994"/>
    <w:rsid w:val="00FE40A4"/>
    <w:rsid w:val="00FE48E3"/>
    <w:rsid w:val="00FE4D68"/>
    <w:rsid w:val="00FE4D85"/>
    <w:rsid w:val="00FE7C00"/>
    <w:rsid w:val="00FF00F5"/>
    <w:rsid w:val="00FF0E0D"/>
    <w:rsid w:val="00FF1665"/>
    <w:rsid w:val="00FF1D36"/>
    <w:rsid w:val="00FF37C1"/>
    <w:rsid w:val="00FF37CC"/>
    <w:rsid w:val="00FF4E89"/>
    <w:rsid w:val="00FF660F"/>
    <w:rsid w:val="00FF6F76"/>
    <w:rsid w:val="00FF7C6C"/>
    <w:rsid w:val="0122462E"/>
    <w:rsid w:val="014B8A20"/>
    <w:rsid w:val="01B131B8"/>
    <w:rsid w:val="01EB13CA"/>
    <w:rsid w:val="01F11AAB"/>
    <w:rsid w:val="025E4BFC"/>
    <w:rsid w:val="02B2C901"/>
    <w:rsid w:val="02EB49BA"/>
    <w:rsid w:val="030F2EDB"/>
    <w:rsid w:val="0334A85A"/>
    <w:rsid w:val="03A68AC6"/>
    <w:rsid w:val="03E8E6E8"/>
    <w:rsid w:val="0426CE24"/>
    <w:rsid w:val="0427C07C"/>
    <w:rsid w:val="043010FE"/>
    <w:rsid w:val="043A0A72"/>
    <w:rsid w:val="04688CA6"/>
    <w:rsid w:val="048D7145"/>
    <w:rsid w:val="04930B0D"/>
    <w:rsid w:val="04AA0776"/>
    <w:rsid w:val="04E1E83A"/>
    <w:rsid w:val="04FCEC3F"/>
    <w:rsid w:val="0504F09A"/>
    <w:rsid w:val="050830FF"/>
    <w:rsid w:val="054E539F"/>
    <w:rsid w:val="0582F19B"/>
    <w:rsid w:val="059CEB6B"/>
    <w:rsid w:val="05A323D9"/>
    <w:rsid w:val="05B747D4"/>
    <w:rsid w:val="06EEBC01"/>
    <w:rsid w:val="0738E1CB"/>
    <w:rsid w:val="0755BDF6"/>
    <w:rsid w:val="075659AE"/>
    <w:rsid w:val="0758DE06"/>
    <w:rsid w:val="0764EA00"/>
    <w:rsid w:val="07B1C4C7"/>
    <w:rsid w:val="07D523FB"/>
    <w:rsid w:val="08229C33"/>
    <w:rsid w:val="082F8844"/>
    <w:rsid w:val="0847948C"/>
    <w:rsid w:val="08671504"/>
    <w:rsid w:val="089E9C8F"/>
    <w:rsid w:val="08BF29EF"/>
    <w:rsid w:val="08EE323B"/>
    <w:rsid w:val="08FFFB53"/>
    <w:rsid w:val="09024196"/>
    <w:rsid w:val="09511AE5"/>
    <w:rsid w:val="0958923C"/>
    <w:rsid w:val="0973D1F7"/>
    <w:rsid w:val="0A66BE72"/>
    <w:rsid w:val="0A7FB545"/>
    <w:rsid w:val="0AD3B4BA"/>
    <w:rsid w:val="0AD42836"/>
    <w:rsid w:val="0B0DBC9D"/>
    <w:rsid w:val="0B1F8AB3"/>
    <w:rsid w:val="0B217B8A"/>
    <w:rsid w:val="0B2A4E26"/>
    <w:rsid w:val="0B5115C1"/>
    <w:rsid w:val="0B5942D7"/>
    <w:rsid w:val="0BAF8C86"/>
    <w:rsid w:val="0BC745EC"/>
    <w:rsid w:val="0BCF1F54"/>
    <w:rsid w:val="0BE04C94"/>
    <w:rsid w:val="0BEEBC20"/>
    <w:rsid w:val="0C067BE6"/>
    <w:rsid w:val="0C06EFE9"/>
    <w:rsid w:val="0CA08EA4"/>
    <w:rsid w:val="0CDC8B26"/>
    <w:rsid w:val="0CED1037"/>
    <w:rsid w:val="0CFB3752"/>
    <w:rsid w:val="0CFCCBFD"/>
    <w:rsid w:val="0D2B912E"/>
    <w:rsid w:val="0D63AEEA"/>
    <w:rsid w:val="0D7C7502"/>
    <w:rsid w:val="0DBC9093"/>
    <w:rsid w:val="0DC6585A"/>
    <w:rsid w:val="0DEE0771"/>
    <w:rsid w:val="0E4C98E3"/>
    <w:rsid w:val="0E4DEA06"/>
    <w:rsid w:val="0E517536"/>
    <w:rsid w:val="0E740BE1"/>
    <w:rsid w:val="0EB01332"/>
    <w:rsid w:val="0EB6861A"/>
    <w:rsid w:val="0EBFA45C"/>
    <w:rsid w:val="0EEA11BE"/>
    <w:rsid w:val="0EF2C4A9"/>
    <w:rsid w:val="0F287018"/>
    <w:rsid w:val="0F47EA8A"/>
    <w:rsid w:val="0F5BE3EB"/>
    <w:rsid w:val="0FA4AC3E"/>
    <w:rsid w:val="1024D9B9"/>
    <w:rsid w:val="104F846E"/>
    <w:rsid w:val="1098DFB4"/>
    <w:rsid w:val="10B48B1D"/>
    <w:rsid w:val="10F7DFA4"/>
    <w:rsid w:val="115EEFA3"/>
    <w:rsid w:val="1174FAF2"/>
    <w:rsid w:val="117E702A"/>
    <w:rsid w:val="11AC7408"/>
    <w:rsid w:val="12292CDD"/>
    <w:rsid w:val="1272E870"/>
    <w:rsid w:val="12A5CAF3"/>
    <w:rsid w:val="12EAD438"/>
    <w:rsid w:val="12EC0735"/>
    <w:rsid w:val="132CE91E"/>
    <w:rsid w:val="133CA09F"/>
    <w:rsid w:val="13BCCE90"/>
    <w:rsid w:val="13CBEE74"/>
    <w:rsid w:val="13F5304C"/>
    <w:rsid w:val="14829688"/>
    <w:rsid w:val="14839D63"/>
    <w:rsid w:val="14850410"/>
    <w:rsid w:val="148E2258"/>
    <w:rsid w:val="14C5240D"/>
    <w:rsid w:val="14D2ED83"/>
    <w:rsid w:val="14DF0996"/>
    <w:rsid w:val="154A5F82"/>
    <w:rsid w:val="1562A752"/>
    <w:rsid w:val="15B2F797"/>
    <w:rsid w:val="15B57961"/>
    <w:rsid w:val="15C7C92F"/>
    <w:rsid w:val="15E98F83"/>
    <w:rsid w:val="16124C2A"/>
    <w:rsid w:val="1663941A"/>
    <w:rsid w:val="17810866"/>
    <w:rsid w:val="17B42260"/>
    <w:rsid w:val="17EE89FD"/>
    <w:rsid w:val="17F042B8"/>
    <w:rsid w:val="1840620B"/>
    <w:rsid w:val="1843A930"/>
    <w:rsid w:val="18AEFAE0"/>
    <w:rsid w:val="18B3376C"/>
    <w:rsid w:val="18C0F5BB"/>
    <w:rsid w:val="18C77F66"/>
    <w:rsid w:val="19226DB7"/>
    <w:rsid w:val="19D08129"/>
    <w:rsid w:val="1A02CC5E"/>
    <w:rsid w:val="1A0C8CBD"/>
    <w:rsid w:val="1A761F8F"/>
    <w:rsid w:val="1AEA8123"/>
    <w:rsid w:val="1B260EA5"/>
    <w:rsid w:val="1B81DC39"/>
    <w:rsid w:val="1B81F60D"/>
    <w:rsid w:val="1B978CA1"/>
    <w:rsid w:val="1C0C495B"/>
    <w:rsid w:val="1C22DF7D"/>
    <w:rsid w:val="1C5E3019"/>
    <w:rsid w:val="1C631E47"/>
    <w:rsid w:val="1CA97637"/>
    <w:rsid w:val="1CB981E3"/>
    <w:rsid w:val="1CCCE914"/>
    <w:rsid w:val="1CCF23A0"/>
    <w:rsid w:val="1D0995BA"/>
    <w:rsid w:val="1DF1FB30"/>
    <w:rsid w:val="1E1817D9"/>
    <w:rsid w:val="1E2571C9"/>
    <w:rsid w:val="1E3A585E"/>
    <w:rsid w:val="1E73EB79"/>
    <w:rsid w:val="1EFCDC62"/>
    <w:rsid w:val="1F0C83B2"/>
    <w:rsid w:val="1F56A0C6"/>
    <w:rsid w:val="1F95765B"/>
    <w:rsid w:val="1FA3CAE0"/>
    <w:rsid w:val="1FFD4760"/>
    <w:rsid w:val="204A6C03"/>
    <w:rsid w:val="20582BB9"/>
    <w:rsid w:val="20715926"/>
    <w:rsid w:val="213D9EDC"/>
    <w:rsid w:val="2140D183"/>
    <w:rsid w:val="21490982"/>
    <w:rsid w:val="217F3C07"/>
    <w:rsid w:val="2185FB17"/>
    <w:rsid w:val="218831CE"/>
    <w:rsid w:val="219122A2"/>
    <w:rsid w:val="2191EDBC"/>
    <w:rsid w:val="21A66DE1"/>
    <w:rsid w:val="21F3E42F"/>
    <w:rsid w:val="2222D0D7"/>
    <w:rsid w:val="22495EEA"/>
    <w:rsid w:val="2280F3ED"/>
    <w:rsid w:val="229EA872"/>
    <w:rsid w:val="22A91515"/>
    <w:rsid w:val="22EA4AEB"/>
    <w:rsid w:val="22F2C2AC"/>
    <w:rsid w:val="234A6B6C"/>
    <w:rsid w:val="234CBDCC"/>
    <w:rsid w:val="23CC5E02"/>
    <w:rsid w:val="23D1C4D2"/>
    <w:rsid w:val="240D38D6"/>
    <w:rsid w:val="247DA96E"/>
    <w:rsid w:val="249441E0"/>
    <w:rsid w:val="249B3A3D"/>
    <w:rsid w:val="24CFFCC9"/>
    <w:rsid w:val="25236375"/>
    <w:rsid w:val="252C4C86"/>
    <w:rsid w:val="2568FF41"/>
    <w:rsid w:val="256B4648"/>
    <w:rsid w:val="257F6060"/>
    <w:rsid w:val="2583250A"/>
    <w:rsid w:val="258BB7CA"/>
    <w:rsid w:val="25D92173"/>
    <w:rsid w:val="260D0B18"/>
    <w:rsid w:val="262D7B64"/>
    <w:rsid w:val="26D948A4"/>
    <w:rsid w:val="26E3E7A6"/>
    <w:rsid w:val="271E26E9"/>
    <w:rsid w:val="271EB5A7"/>
    <w:rsid w:val="2770A575"/>
    <w:rsid w:val="27DE6DF7"/>
    <w:rsid w:val="27F1C5A5"/>
    <w:rsid w:val="2809AB4D"/>
    <w:rsid w:val="280B7A2B"/>
    <w:rsid w:val="28175B6A"/>
    <w:rsid w:val="283773E1"/>
    <w:rsid w:val="285A9575"/>
    <w:rsid w:val="2899EE24"/>
    <w:rsid w:val="28B270A6"/>
    <w:rsid w:val="28B7C4C0"/>
    <w:rsid w:val="28DB818E"/>
    <w:rsid w:val="29677738"/>
    <w:rsid w:val="29A12B6E"/>
    <w:rsid w:val="29ADA13A"/>
    <w:rsid w:val="29B46257"/>
    <w:rsid w:val="29E7F958"/>
    <w:rsid w:val="2A0ED02F"/>
    <w:rsid w:val="2A22B656"/>
    <w:rsid w:val="2A331479"/>
    <w:rsid w:val="2A38FEB0"/>
    <w:rsid w:val="2A5234D6"/>
    <w:rsid w:val="2A79FC3A"/>
    <w:rsid w:val="2A88B2A5"/>
    <w:rsid w:val="2A9EA8CC"/>
    <w:rsid w:val="2AAE7371"/>
    <w:rsid w:val="2AEA863C"/>
    <w:rsid w:val="2B50C707"/>
    <w:rsid w:val="2B527D40"/>
    <w:rsid w:val="2B5AFD21"/>
    <w:rsid w:val="2B7C24E1"/>
    <w:rsid w:val="2BE5D9DD"/>
    <w:rsid w:val="2C2A9A96"/>
    <w:rsid w:val="2C2F9821"/>
    <w:rsid w:val="2C51C224"/>
    <w:rsid w:val="2CB99158"/>
    <w:rsid w:val="2CC2548E"/>
    <w:rsid w:val="2CE09F71"/>
    <w:rsid w:val="2D0C2B65"/>
    <w:rsid w:val="2D1436E7"/>
    <w:rsid w:val="2D17315A"/>
    <w:rsid w:val="2D75B165"/>
    <w:rsid w:val="2DAD000F"/>
    <w:rsid w:val="2DB6F496"/>
    <w:rsid w:val="2DD499D4"/>
    <w:rsid w:val="2DFBFB25"/>
    <w:rsid w:val="2E093C54"/>
    <w:rsid w:val="2E20AF16"/>
    <w:rsid w:val="2E7A8B52"/>
    <w:rsid w:val="2EA23766"/>
    <w:rsid w:val="2EC7BAB5"/>
    <w:rsid w:val="2F381FE2"/>
    <w:rsid w:val="2F9DEA5F"/>
    <w:rsid w:val="2FB02BAF"/>
    <w:rsid w:val="30065208"/>
    <w:rsid w:val="30274E53"/>
    <w:rsid w:val="30343C5B"/>
    <w:rsid w:val="3051AF83"/>
    <w:rsid w:val="30522FA1"/>
    <w:rsid w:val="30867145"/>
    <w:rsid w:val="30939419"/>
    <w:rsid w:val="3097E657"/>
    <w:rsid w:val="30B65AB1"/>
    <w:rsid w:val="30BEC0CE"/>
    <w:rsid w:val="30D0D3EE"/>
    <w:rsid w:val="30EC7E0A"/>
    <w:rsid w:val="31082A85"/>
    <w:rsid w:val="312956B9"/>
    <w:rsid w:val="31527A95"/>
    <w:rsid w:val="3154794B"/>
    <w:rsid w:val="315DE888"/>
    <w:rsid w:val="31795B48"/>
    <w:rsid w:val="318C1BD9"/>
    <w:rsid w:val="31964057"/>
    <w:rsid w:val="31986416"/>
    <w:rsid w:val="31C610BE"/>
    <w:rsid w:val="32454CBD"/>
    <w:rsid w:val="326C332A"/>
    <w:rsid w:val="3274D687"/>
    <w:rsid w:val="327A8CBE"/>
    <w:rsid w:val="3293C3B6"/>
    <w:rsid w:val="32D14E4B"/>
    <w:rsid w:val="330B1CDF"/>
    <w:rsid w:val="33246FB1"/>
    <w:rsid w:val="336B1C68"/>
    <w:rsid w:val="340A00AD"/>
    <w:rsid w:val="341D1DD8"/>
    <w:rsid w:val="3459EACD"/>
    <w:rsid w:val="347444E6"/>
    <w:rsid w:val="349DFB0E"/>
    <w:rsid w:val="34D3A880"/>
    <w:rsid w:val="34DD265B"/>
    <w:rsid w:val="34FDBD09"/>
    <w:rsid w:val="352437B5"/>
    <w:rsid w:val="35433BE1"/>
    <w:rsid w:val="35512B37"/>
    <w:rsid w:val="355C2086"/>
    <w:rsid w:val="35EE2B19"/>
    <w:rsid w:val="3619E071"/>
    <w:rsid w:val="362909E6"/>
    <w:rsid w:val="362B0CA5"/>
    <w:rsid w:val="3630D86E"/>
    <w:rsid w:val="3646DD61"/>
    <w:rsid w:val="3686D228"/>
    <w:rsid w:val="36970220"/>
    <w:rsid w:val="369C4C39"/>
    <w:rsid w:val="36DBF3B9"/>
    <w:rsid w:val="36F712A7"/>
    <w:rsid w:val="37109460"/>
    <w:rsid w:val="372B3CF8"/>
    <w:rsid w:val="3731BA1A"/>
    <w:rsid w:val="37ACD5F8"/>
    <w:rsid w:val="37BD16FF"/>
    <w:rsid w:val="37BD23F7"/>
    <w:rsid w:val="37E361AF"/>
    <w:rsid w:val="37F000DF"/>
    <w:rsid w:val="38403D6D"/>
    <w:rsid w:val="3863D2A5"/>
    <w:rsid w:val="388A049E"/>
    <w:rsid w:val="38CC5E7C"/>
    <w:rsid w:val="39081FB4"/>
    <w:rsid w:val="3935545A"/>
    <w:rsid w:val="395225B5"/>
    <w:rsid w:val="39666969"/>
    <w:rsid w:val="398BBB2A"/>
    <w:rsid w:val="399616BF"/>
    <w:rsid w:val="399A0263"/>
    <w:rsid w:val="39DECAFE"/>
    <w:rsid w:val="3A33FB0A"/>
    <w:rsid w:val="3A610B7E"/>
    <w:rsid w:val="3A6B694C"/>
    <w:rsid w:val="3A6EA2D0"/>
    <w:rsid w:val="3A9179D6"/>
    <w:rsid w:val="3A9F460F"/>
    <w:rsid w:val="3AA6A1B8"/>
    <w:rsid w:val="3AB0FEAB"/>
    <w:rsid w:val="3B11B349"/>
    <w:rsid w:val="3B3F077D"/>
    <w:rsid w:val="3B483933"/>
    <w:rsid w:val="3B619D0F"/>
    <w:rsid w:val="3B77517F"/>
    <w:rsid w:val="3BBE3ACD"/>
    <w:rsid w:val="3BC02067"/>
    <w:rsid w:val="3BC164F5"/>
    <w:rsid w:val="3BC92C38"/>
    <w:rsid w:val="3BD5ED9E"/>
    <w:rsid w:val="3BDF200C"/>
    <w:rsid w:val="3C0A586F"/>
    <w:rsid w:val="3C25DA1A"/>
    <w:rsid w:val="3C336F61"/>
    <w:rsid w:val="3C531FEF"/>
    <w:rsid w:val="3CB03B63"/>
    <w:rsid w:val="3CBAC684"/>
    <w:rsid w:val="3CD91E67"/>
    <w:rsid w:val="3CF54CCE"/>
    <w:rsid w:val="3D067399"/>
    <w:rsid w:val="3D29B53D"/>
    <w:rsid w:val="3D2EE0CE"/>
    <w:rsid w:val="3D42FEF2"/>
    <w:rsid w:val="3D44F568"/>
    <w:rsid w:val="3D489748"/>
    <w:rsid w:val="3DC87FE4"/>
    <w:rsid w:val="3E112F6A"/>
    <w:rsid w:val="3E17C1E5"/>
    <w:rsid w:val="3E9D5CDC"/>
    <w:rsid w:val="3EA1E680"/>
    <w:rsid w:val="3F0ECB5A"/>
    <w:rsid w:val="3F6C39F5"/>
    <w:rsid w:val="3F72DD80"/>
    <w:rsid w:val="3F94A7BC"/>
    <w:rsid w:val="3FE0DE75"/>
    <w:rsid w:val="3FEC1F6B"/>
    <w:rsid w:val="40106AEC"/>
    <w:rsid w:val="4089C453"/>
    <w:rsid w:val="40A3A105"/>
    <w:rsid w:val="40A5B1B7"/>
    <w:rsid w:val="40A8A34C"/>
    <w:rsid w:val="40CC7E9D"/>
    <w:rsid w:val="40CC8588"/>
    <w:rsid w:val="40FD6F8B"/>
    <w:rsid w:val="4139D9B5"/>
    <w:rsid w:val="4148EECB"/>
    <w:rsid w:val="415E313D"/>
    <w:rsid w:val="41BCA494"/>
    <w:rsid w:val="41F573CB"/>
    <w:rsid w:val="426E4116"/>
    <w:rsid w:val="4277DF98"/>
    <w:rsid w:val="4289B8AB"/>
    <w:rsid w:val="42B2AEC3"/>
    <w:rsid w:val="43AFCB7F"/>
    <w:rsid w:val="43BBA56E"/>
    <w:rsid w:val="43C3BB7E"/>
    <w:rsid w:val="43F49304"/>
    <w:rsid w:val="444BAF42"/>
    <w:rsid w:val="445DB8EE"/>
    <w:rsid w:val="44601930"/>
    <w:rsid w:val="448AABA8"/>
    <w:rsid w:val="44CCE86C"/>
    <w:rsid w:val="44D04C90"/>
    <w:rsid w:val="44DBE604"/>
    <w:rsid w:val="4519A18D"/>
    <w:rsid w:val="45240C3F"/>
    <w:rsid w:val="453F1AD7"/>
    <w:rsid w:val="45D5B5A1"/>
    <w:rsid w:val="4604CD14"/>
    <w:rsid w:val="461005B3"/>
    <w:rsid w:val="46318C4E"/>
    <w:rsid w:val="467965DD"/>
    <w:rsid w:val="472A34AE"/>
    <w:rsid w:val="475D29B1"/>
    <w:rsid w:val="47712636"/>
    <w:rsid w:val="479931A8"/>
    <w:rsid w:val="479EC295"/>
    <w:rsid w:val="47C58EF6"/>
    <w:rsid w:val="483D0D89"/>
    <w:rsid w:val="4843AF32"/>
    <w:rsid w:val="484C940E"/>
    <w:rsid w:val="48A6B7A4"/>
    <w:rsid w:val="48F70F9B"/>
    <w:rsid w:val="4911F0E9"/>
    <w:rsid w:val="4944A249"/>
    <w:rsid w:val="49812A83"/>
    <w:rsid w:val="49D38994"/>
    <w:rsid w:val="49D45AB5"/>
    <w:rsid w:val="49E29CCF"/>
    <w:rsid w:val="49F73EA8"/>
    <w:rsid w:val="4A10FFBD"/>
    <w:rsid w:val="4A25B5FA"/>
    <w:rsid w:val="4A2BF716"/>
    <w:rsid w:val="4A379AAF"/>
    <w:rsid w:val="4A962C31"/>
    <w:rsid w:val="4A9F91A4"/>
    <w:rsid w:val="4AA41BBF"/>
    <w:rsid w:val="4AB79C37"/>
    <w:rsid w:val="4AC59921"/>
    <w:rsid w:val="4BABE0DD"/>
    <w:rsid w:val="4C6538E3"/>
    <w:rsid w:val="4C7E13E7"/>
    <w:rsid w:val="4CB3FCFA"/>
    <w:rsid w:val="4CCB2BE9"/>
    <w:rsid w:val="4CDD18A4"/>
    <w:rsid w:val="4CF8E74F"/>
    <w:rsid w:val="4CFB0002"/>
    <w:rsid w:val="4DC5E4AB"/>
    <w:rsid w:val="4DCD989A"/>
    <w:rsid w:val="4DE94917"/>
    <w:rsid w:val="4E037614"/>
    <w:rsid w:val="4EC37963"/>
    <w:rsid w:val="4ED95B63"/>
    <w:rsid w:val="4EDD3316"/>
    <w:rsid w:val="4EF3E9BE"/>
    <w:rsid w:val="4F2D5F69"/>
    <w:rsid w:val="4F312259"/>
    <w:rsid w:val="4F31CF08"/>
    <w:rsid w:val="4F688319"/>
    <w:rsid w:val="4FE249D9"/>
    <w:rsid w:val="4FECE25A"/>
    <w:rsid w:val="50314EE6"/>
    <w:rsid w:val="505D0772"/>
    <w:rsid w:val="506B1119"/>
    <w:rsid w:val="506ED7CE"/>
    <w:rsid w:val="507CA238"/>
    <w:rsid w:val="5088B003"/>
    <w:rsid w:val="509A51CC"/>
    <w:rsid w:val="50BD749B"/>
    <w:rsid w:val="50E8470D"/>
    <w:rsid w:val="510FD47F"/>
    <w:rsid w:val="5128B48A"/>
    <w:rsid w:val="516DADB9"/>
    <w:rsid w:val="5186C578"/>
    <w:rsid w:val="51C1AE0D"/>
    <w:rsid w:val="52978AA5"/>
    <w:rsid w:val="52AEB3F0"/>
    <w:rsid w:val="52EDDC52"/>
    <w:rsid w:val="53324E37"/>
    <w:rsid w:val="535B740A"/>
    <w:rsid w:val="53712AE5"/>
    <w:rsid w:val="53819E06"/>
    <w:rsid w:val="53A09E3A"/>
    <w:rsid w:val="53C3F1B2"/>
    <w:rsid w:val="53F4033A"/>
    <w:rsid w:val="541C8D94"/>
    <w:rsid w:val="54557A50"/>
    <w:rsid w:val="5477A3B6"/>
    <w:rsid w:val="5498F944"/>
    <w:rsid w:val="54A05AC6"/>
    <w:rsid w:val="54AAF17B"/>
    <w:rsid w:val="54D61609"/>
    <w:rsid w:val="5523C787"/>
    <w:rsid w:val="5523F84C"/>
    <w:rsid w:val="55335776"/>
    <w:rsid w:val="553FC182"/>
    <w:rsid w:val="5577110F"/>
    <w:rsid w:val="55882496"/>
    <w:rsid w:val="558BAD2C"/>
    <w:rsid w:val="55DA2270"/>
    <w:rsid w:val="560784BC"/>
    <w:rsid w:val="564554FF"/>
    <w:rsid w:val="5654D2A0"/>
    <w:rsid w:val="56B61984"/>
    <w:rsid w:val="56F5CE87"/>
    <w:rsid w:val="56FE8531"/>
    <w:rsid w:val="574FEF58"/>
    <w:rsid w:val="580A74E2"/>
    <w:rsid w:val="58182895"/>
    <w:rsid w:val="58182D28"/>
    <w:rsid w:val="583F00E8"/>
    <w:rsid w:val="585B138D"/>
    <w:rsid w:val="58684434"/>
    <w:rsid w:val="58CB574C"/>
    <w:rsid w:val="58D03E25"/>
    <w:rsid w:val="58E00808"/>
    <w:rsid w:val="591DD5A9"/>
    <w:rsid w:val="593E70E0"/>
    <w:rsid w:val="59AB0641"/>
    <w:rsid w:val="59CA2599"/>
    <w:rsid w:val="59D9C1C5"/>
    <w:rsid w:val="59FC440F"/>
    <w:rsid w:val="5A108195"/>
    <w:rsid w:val="5A390973"/>
    <w:rsid w:val="5A40FB09"/>
    <w:rsid w:val="5AF4313D"/>
    <w:rsid w:val="5B0E5702"/>
    <w:rsid w:val="5B7419D1"/>
    <w:rsid w:val="5B88013B"/>
    <w:rsid w:val="5C04AAB3"/>
    <w:rsid w:val="5C1A7D53"/>
    <w:rsid w:val="5C2F9032"/>
    <w:rsid w:val="5C51060D"/>
    <w:rsid w:val="5D104490"/>
    <w:rsid w:val="5D17C4AD"/>
    <w:rsid w:val="5D45F3E5"/>
    <w:rsid w:val="5D4A8FA9"/>
    <w:rsid w:val="5DB16E4E"/>
    <w:rsid w:val="5DCBB4DF"/>
    <w:rsid w:val="5DDC1162"/>
    <w:rsid w:val="5DFFB3ED"/>
    <w:rsid w:val="5E230496"/>
    <w:rsid w:val="5E283A28"/>
    <w:rsid w:val="5E3243EF"/>
    <w:rsid w:val="5E601333"/>
    <w:rsid w:val="5E60F6FD"/>
    <w:rsid w:val="5EA8EC22"/>
    <w:rsid w:val="5EBF6932"/>
    <w:rsid w:val="5ECB3813"/>
    <w:rsid w:val="5EE342C5"/>
    <w:rsid w:val="5F03545F"/>
    <w:rsid w:val="5F0B7D5E"/>
    <w:rsid w:val="5F1528F7"/>
    <w:rsid w:val="5F204546"/>
    <w:rsid w:val="5F2A0231"/>
    <w:rsid w:val="5F371E2A"/>
    <w:rsid w:val="5F69DB10"/>
    <w:rsid w:val="5FAF5C47"/>
    <w:rsid w:val="5FDF484C"/>
    <w:rsid w:val="5FF362BC"/>
    <w:rsid w:val="602056D3"/>
    <w:rsid w:val="603917F1"/>
    <w:rsid w:val="60672C73"/>
    <w:rsid w:val="6072C850"/>
    <w:rsid w:val="6076D184"/>
    <w:rsid w:val="607B976C"/>
    <w:rsid w:val="60854757"/>
    <w:rsid w:val="609C0EDB"/>
    <w:rsid w:val="61108A20"/>
    <w:rsid w:val="6131D6F8"/>
    <w:rsid w:val="61709D4B"/>
    <w:rsid w:val="6177A3ED"/>
    <w:rsid w:val="618F2BF8"/>
    <w:rsid w:val="619AE4FA"/>
    <w:rsid w:val="61C7F259"/>
    <w:rsid w:val="61F1910A"/>
    <w:rsid w:val="620E2340"/>
    <w:rsid w:val="6229A16E"/>
    <w:rsid w:val="622EDE20"/>
    <w:rsid w:val="629E60B3"/>
    <w:rsid w:val="62B4C419"/>
    <w:rsid w:val="62D57096"/>
    <w:rsid w:val="62E99B6F"/>
    <w:rsid w:val="63173E2F"/>
    <w:rsid w:val="63723754"/>
    <w:rsid w:val="6374DFA6"/>
    <w:rsid w:val="63B25338"/>
    <w:rsid w:val="6427542D"/>
    <w:rsid w:val="64437D31"/>
    <w:rsid w:val="64572A87"/>
    <w:rsid w:val="648DEED7"/>
    <w:rsid w:val="64D02021"/>
    <w:rsid w:val="6522E667"/>
    <w:rsid w:val="652D18F3"/>
    <w:rsid w:val="656E7B6A"/>
    <w:rsid w:val="65C83D1A"/>
    <w:rsid w:val="65F4C272"/>
    <w:rsid w:val="66738F81"/>
    <w:rsid w:val="668BC5AC"/>
    <w:rsid w:val="676CE698"/>
    <w:rsid w:val="67726148"/>
    <w:rsid w:val="678F5C3D"/>
    <w:rsid w:val="67B21A27"/>
    <w:rsid w:val="67C34A6B"/>
    <w:rsid w:val="67CBBE51"/>
    <w:rsid w:val="67DAE03A"/>
    <w:rsid w:val="6812D984"/>
    <w:rsid w:val="682DA8F7"/>
    <w:rsid w:val="6841A998"/>
    <w:rsid w:val="68DF381E"/>
    <w:rsid w:val="68F6A5C0"/>
    <w:rsid w:val="6911FFDA"/>
    <w:rsid w:val="69164DB3"/>
    <w:rsid w:val="694D8756"/>
    <w:rsid w:val="6991C262"/>
    <w:rsid w:val="69D11C66"/>
    <w:rsid w:val="6A130320"/>
    <w:rsid w:val="6A294D93"/>
    <w:rsid w:val="6A618B84"/>
    <w:rsid w:val="6AAF62C6"/>
    <w:rsid w:val="6AE300C6"/>
    <w:rsid w:val="6AE901E3"/>
    <w:rsid w:val="6AF87F4D"/>
    <w:rsid w:val="6B1C8041"/>
    <w:rsid w:val="6BB06EBB"/>
    <w:rsid w:val="6BB266D9"/>
    <w:rsid w:val="6BCD3A0A"/>
    <w:rsid w:val="6BDD5212"/>
    <w:rsid w:val="6BE525C1"/>
    <w:rsid w:val="6BFD7DA2"/>
    <w:rsid w:val="6BFEC416"/>
    <w:rsid w:val="6C2E8F52"/>
    <w:rsid w:val="6C3D57BF"/>
    <w:rsid w:val="6C768B12"/>
    <w:rsid w:val="6C82CBFF"/>
    <w:rsid w:val="6C8346AE"/>
    <w:rsid w:val="6CB89F88"/>
    <w:rsid w:val="6CC8167E"/>
    <w:rsid w:val="6D071C03"/>
    <w:rsid w:val="6D8C0FB1"/>
    <w:rsid w:val="6DC7B243"/>
    <w:rsid w:val="6DE01736"/>
    <w:rsid w:val="6E0E89C4"/>
    <w:rsid w:val="6E43FA19"/>
    <w:rsid w:val="6E459B45"/>
    <w:rsid w:val="6E85C1A0"/>
    <w:rsid w:val="6E890F12"/>
    <w:rsid w:val="6EB202F9"/>
    <w:rsid w:val="6EC61D9D"/>
    <w:rsid w:val="6ED0E4B7"/>
    <w:rsid w:val="6F08DC22"/>
    <w:rsid w:val="6F1E5D99"/>
    <w:rsid w:val="6F39C1AA"/>
    <w:rsid w:val="6F3AEB08"/>
    <w:rsid w:val="6FABA5BB"/>
    <w:rsid w:val="6FD28C76"/>
    <w:rsid w:val="6FF061E4"/>
    <w:rsid w:val="70229705"/>
    <w:rsid w:val="7043934E"/>
    <w:rsid w:val="704958F6"/>
    <w:rsid w:val="70594042"/>
    <w:rsid w:val="706D80E6"/>
    <w:rsid w:val="706FB091"/>
    <w:rsid w:val="707553E7"/>
    <w:rsid w:val="7091E21A"/>
    <w:rsid w:val="70F9D4D9"/>
    <w:rsid w:val="71083594"/>
    <w:rsid w:val="711053AB"/>
    <w:rsid w:val="7117579A"/>
    <w:rsid w:val="71682B16"/>
    <w:rsid w:val="71D13E67"/>
    <w:rsid w:val="71EB512C"/>
    <w:rsid w:val="7201FF9E"/>
    <w:rsid w:val="722989DF"/>
    <w:rsid w:val="722D10FA"/>
    <w:rsid w:val="7238145D"/>
    <w:rsid w:val="724C03CA"/>
    <w:rsid w:val="726F5D61"/>
    <w:rsid w:val="72792264"/>
    <w:rsid w:val="72CFD3F7"/>
    <w:rsid w:val="72F06106"/>
    <w:rsid w:val="7345A19D"/>
    <w:rsid w:val="73C9B9B1"/>
    <w:rsid w:val="7433B71D"/>
    <w:rsid w:val="743DE0E2"/>
    <w:rsid w:val="7462EE00"/>
    <w:rsid w:val="7562B987"/>
    <w:rsid w:val="7588395A"/>
    <w:rsid w:val="75C00B44"/>
    <w:rsid w:val="75C66CBF"/>
    <w:rsid w:val="76BB2991"/>
    <w:rsid w:val="76DB95B7"/>
    <w:rsid w:val="76FD9779"/>
    <w:rsid w:val="7729895E"/>
    <w:rsid w:val="77409420"/>
    <w:rsid w:val="77842F89"/>
    <w:rsid w:val="7798A174"/>
    <w:rsid w:val="77B01ECB"/>
    <w:rsid w:val="77B404A5"/>
    <w:rsid w:val="7847F570"/>
    <w:rsid w:val="7854E501"/>
    <w:rsid w:val="7857F422"/>
    <w:rsid w:val="78994E04"/>
    <w:rsid w:val="78D4EEA2"/>
    <w:rsid w:val="78E1D33B"/>
    <w:rsid w:val="7953EDE1"/>
    <w:rsid w:val="797D84CE"/>
    <w:rsid w:val="79A64D8A"/>
    <w:rsid w:val="79AC518A"/>
    <w:rsid w:val="79BC4E8B"/>
    <w:rsid w:val="79ED03F9"/>
    <w:rsid w:val="7A080B44"/>
    <w:rsid w:val="7A0A5381"/>
    <w:rsid w:val="7A0ADC82"/>
    <w:rsid w:val="7A1550FB"/>
    <w:rsid w:val="7A78AAC6"/>
    <w:rsid w:val="7A8BACB2"/>
    <w:rsid w:val="7AC8B4E1"/>
    <w:rsid w:val="7AD5505E"/>
    <w:rsid w:val="7B011527"/>
    <w:rsid w:val="7B0DE545"/>
    <w:rsid w:val="7B19A38D"/>
    <w:rsid w:val="7B53C8B9"/>
    <w:rsid w:val="7B574397"/>
    <w:rsid w:val="7B581149"/>
    <w:rsid w:val="7B8221D8"/>
    <w:rsid w:val="7BCB50B1"/>
    <w:rsid w:val="7BCB8AAD"/>
    <w:rsid w:val="7BDB97EB"/>
    <w:rsid w:val="7BE6D12F"/>
    <w:rsid w:val="7C238274"/>
    <w:rsid w:val="7C25947E"/>
    <w:rsid w:val="7C2C6503"/>
    <w:rsid w:val="7C30E922"/>
    <w:rsid w:val="7C7D2FC1"/>
    <w:rsid w:val="7C830D30"/>
    <w:rsid w:val="7CA16039"/>
    <w:rsid w:val="7CA3DEAB"/>
    <w:rsid w:val="7CB01CF1"/>
    <w:rsid w:val="7CBFB31E"/>
    <w:rsid w:val="7CF9C2CD"/>
    <w:rsid w:val="7D1912EF"/>
    <w:rsid w:val="7D2A3CC6"/>
    <w:rsid w:val="7D2DC046"/>
    <w:rsid w:val="7D91A9FA"/>
    <w:rsid w:val="7DB7D1FC"/>
    <w:rsid w:val="7DDAD178"/>
    <w:rsid w:val="7DF7F929"/>
    <w:rsid w:val="7E06C4A0"/>
    <w:rsid w:val="7E871407"/>
    <w:rsid w:val="7EBFD63F"/>
    <w:rsid w:val="7EE4EB3C"/>
    <w:rsid w:val="7F090AEC"/>
    <w:rsid w:val="7F1ADB98"/>
    <w:rsid w:val="7F38EDE0"/>
    <w:rsid w:val="7F5347D4"/>
    <w:rsid w:val="7F6D51AA"/>
    <w:rsid w:val="7FA68F77"/>
    <w:rsid w:val="7FB4D1C8"/>
    <w:rsid w:val="7FB70329"/>
    <w:rsid w:val="7FBA70F4"/>
    <w:rsid w:val="7FC4330E"/>
    <w:rsid w:val="7FCC204D"/>
    <w:rsid w:val="7FCC73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03DAC"/>
  <w15:docId w15:val="{D9954DBF-5164-4953-AC8F-AD8A082F4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A00"/>
  </w:style>
  <w:style w:type="paragraph" w:styleId="Heading1">
    <w:name w:val="heading 1"/>
    <w:basedOn w:val="Normal"/>
    <w:link w:val="Heading1Char"/>
    <w:uiPriority w:val="9"/>
    <w:qFormat/>
    <w:rsid w:val="00C057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C057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57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0574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C0574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743"/>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C05743"/>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05743"/>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abstract-sub-heading">
    <w:name w:val="abstract-sub-heading"/>
    <w:basedOn w:val="DefaultParagraphFont"/>
    <w:rsid w:val="00C05743"/>
  </w:style>
  <w:style w:type="character" w:styleId="CommentReference">
    <w:name w:val="annotation reference"/>
    <w:basedOn w:val="DefaultParagraphFont"/>
    <w:uiPriority w:val="99"/>
    <w:semiHidden/>
    <w:unhideWhenUsed/>
    <w:rsid w:val="00C05743"/>
    <w:rPr>
      <w:sz w:val="16"/>
      <w:szCs w:val="16"/>
    </w:rPr>
  </w:style>
  <w:style w:type="paragraph" w:styleId="CommentText">
    <w:name w:val="annotation text"/>
    <w:basedOn w:val="Normal"/>
    <w:link w:val="CommentTextChar"/>
    <w:uiPriority w:val="99"/>
    <w:unhideWhenUsed/>
    <w:rsid w:val="00C05743"/>
    <w:pPr>
      <w:spacing w:line="240" w:lineRule="auto"/>
    </w:pPr>
    <w:rPr>
      <w:sz w:val="20"/>
      <w:szCs w:val="20"/>
    </w:rPr>
  </w:style>
  <w:style w:type="character" w:customStyle="1" w:styleId="CommentTextChar">
    <w:name w:val="Comment Text Char"/>
    <w:basedOn w:val="DefaultParagraphFont"/>
    <w:link w:val="CommentText"/>
    <w:uiPriority w:val="99"/>
    <w:rsid w:val="00C05743"/>
    <w:rPr>
      <w:sz w:val="20"/>
      <w:szCs w:val="20"/>
    </w:rPr>
  </w:style>
  <w:style w:type="paragraph" w:styleId="CommentSubject">
    <w:name w:val="annotation subject"/>
    <w:basedOn w:val="CommentText"/>
    <w:next w:val="CommentText"/>
    <w:link w:val="CommentSubjectChar"/>
    <w:uiPriority w:val="99"/>
    <w:semiHidden/>
    <w:unhideWhenUsed/>
    <w:rsid w:val="00C05743"/>
    <w:rPr>
      <w:b/>
      <w:bCs/>
    </w:rPr>
  </w:style>
  <w:style w:type="character" w:customStyle="1" w:styleId="CommentSubjectChar">
    <w:name w:val="Comment Subject Char"/>
    <w:basedOn w:val="CommentTextChar"/>
    <w:link w:val="CommentSubject"/>
    <w:uiPriority w:val="99"/>
    <w:semiHidden/>
    <w:rsid w:val="00C05743"/>
    <w:rPr>
      <w:b/>
      <w:bCs/>
      <w:sz w:val="20"/>
      <w:szCs w:val="20"/>
    </w:rPr>
  </w:style>
  <w:style w:type="character" w:styleId="Strong">
    <w:name w:val="Strong"/>
    <w:basedOn w:val="DefaultParagraphFont"/>
    <w:uiPriority w:val="22"/>
    <w:qFormat/>
    <w:rsid w:val="00C05743"/>
    <w:rPr>
      <w:b/>
      <w:bCs/>
    </w:rPr>
  </w:style>
  <w:style w:type="character" w:customStyle="1" w:styleId="Heading2Char">
    <w:name w:val="Heading 2 Char"/>
    <w:basedOn w:val="DefaultParagraphFont"/>
    <w:link w:val="Heading2"/>
    <w:uiPriority w:val="9"/>
    <w:rsid w:val="00C0574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C0574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05743"/>
    <w:rPr>
      <w:rFonts w:ascii="Times New Roman" w:eastAsia="Times New Roman" w:hAnsi="Times New Roman" w:cs="Times New Roman"/>
      <w:b/>
      <w:bCs/>
      <w:kern w:val="0"/>
      <w:sz w:val="20"/>
      <w:szCs w:val="20"/>
      <w:lang w:eastAsia="en-GB"/>
    </w:rPr>
  </w:style>
  <w:style w:type="paragraph" w:customStyle="1" w:styleId="msonormal0">
    <w:name w:val="msonormal"/>
    <w:basedOn w:val="Normal"/>
    <w:rsid w:val="00C05743"/>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customStyle="1" w:styleId="abstract-paragraph">
    <w:name w:val="abstract-paragraph"/>
    <w:basedOn w:val="Normal"/>
    <w:link w:val="abstract-paragraphChar"/>
    <w:rsid w:val="00C05743"/>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footers">
    <w:name w:val="footers"/>
    <w:basedOn w:val="DefaultParagraphFont"/>
    <w:rsid w:val="00C05743"/>
  </w:style>
  <w:style w:type="character" w:customStyle="1" w:styleId="tooltip">
    <w:name w:val="tooltip"/>
    <w:basedOn w:val="DefaultParagraphFont"/>
    <w:rsid w:val="00C05743"/>
  </w:style>
  <w:style w:type="character" w:customStyle="1" w:styleId="tooltiptext">
    <w:name w:val="tooltiptext"/>
    <w:basedOn w:val="DefaultParagraphFont"/>
    <w:rsid w:val="00C05743"/>
  </w:style>
  <w:style w:type="character" w:styleId="Hyperlink">
    <w:name w:val="Hyperlink"/>
    <w:basedOn w:val="DefaultParagraphFont"/>
    <w:uiPriority w:val="99"/>
    <w:unhideWhenUsed/>
    <w:rsid w:val="00C05743"/>
    <w:rPr>
      <w:color w:val="0000FF"/>
      <w:u w:val="single"/>
    </w:rPr>
  </w:style>
  <w:style w:type="character" w:styleId="FollowedHyperlink">
    <w:name w:val="FollowedHyperlink"/>
    <w:basedOn w:val="DefaultParagraphFont"/>
    <w:uiPriority w:val="99"/>
    <w:semiHidden/>
    <w:unhideWhenUsed/>
    <w:rsid w:val="00C05743"/>
    <w:rPr>
      <w:color w:val="800080"/>
      <w:u w:val="single"/>
    </w:rPr>
  </w:style>
  <w:style w:type="character" w:customStyle="1" w:styleId="typcn">
    <w:name w:val="typcn"/>
    <w:basedOn w:val="DefaultParagraphFont"/>
    <w:rsid w:val="00C05743"/>
  </w:style>
  <w:style w:type="character" w:styleId="PlaceholderText">
    <w:name w:val="Placeholder Text"/>
    <w:basedOn w:val="DefaultParagraphFont"/>
    <w:uiPriority w:val="99"/>
    <w:semiHidden/>
    <w:rsid w:val="00B446F1"/>
    <w:rPr>
      <w:color w:val="808080"/>
    </w:rPr>
  </w:style>
  <w:style w:type="character" w:styleId="UnresolvedMention">
    <w:name w:val="Unresolved Mention"/>
    <w:basedOn w:val="DefaultParagraphFont"/>
    <w:uiPriority w:val="99"/>
    <w:semiHidden/>
    <w:unhideWhenUsed/>
    <w:rsid w:val="00941B06"/>
    <w:rPr>
      <w:color w:val="605E5C"/>
      <w:shd w:val="clear" w:color="auto" w:fill="E1DFDD"/>
    </w:rPr>
  </w:style>
  <w:style w:type="character" w:customStyle="1" w:styleId="normaltextrun">
    <w:name w:val="normaltextrun"/>
    <w:basedOn w:val="DefaultParagraphFont"/>
    <w:rsid w:val="00AB50FE"/>
  </w:style>
  <w:style w:type="paragraph" w:styleId="ListParagraph">
    <w:name w:val="List Paragraph"/>
    <w:basedOn w:val="Normal"/>
    <w:uiPriority w:val="34"/>
    <w:qFormat/>
    <w:rsid w:val="002C46AE"/>
    <w:pPr>
      <w:ind w:left="720"/>
      <w:contextualSpacing/>
    </w:pPr>
    <w:rPr>
      <w:rFonts w:ascii="Arial" w:hAnsi="Arial" w:cs="Arial"/>
      <w:kern w:val="0"/>
      <w:szCs w:val="32"/>
    </w:rPr>
  </w:style>
  <w:style w:type="table" w:styleId="TableGrid">
    <w:name w:val="Table Grid"/>
    <w:basedOn w:val="TableNormal"/>
    <w:uiPriority w:val="39"/>
    <w:rsid w:val="0083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6D94"/>
    <w:pPr>
      <w:spacing w:after="0" w:line="240" w:lineRule="auto"/>
    </w:pPr>
  </w:style>
  <w:style w:type="paragraph" w:styleId="Header">
    <w:name w:val="header"/>
    <w:basedOn w:val="Normal"/>
    <w:link w:val="HeaderChar"/>
    <w:uiPriority w:val="99"/>
    <w:unhideWhenUsed/>
    <w:rsid w:val="00D24C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C61"/>
  </w:style>
  <w:style w:type="paragraph" w:styleId="Footer">
    <w:name w:val="footer"/>
    <w:basedOn w:val="Normal"/>
    <w:link w:val="FooterChar"/>
    <w:uiPriority w:val="99"/>
    <w:unhideWhenUsed/>
    <w:rsid w:val="00D24C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C61"/>
  </w:style>
  <w:style w:type="paragraph" w:customStyle="1" w:styleId="EndNoteBibliographyTitle">
    <w:name w:val="EndNote Bibliography Title"/>
    <w:basedOn w:val="Normal"/>
    <w:link w:val="EndNoteBibliographyTitleChar"/>
    <w:rsid w:val="00784D26"/>
    <w:pPr>
      <w:spacing w:after="0"/>
      <w:jc w:val="center"/>
    </w:pPr>
    <w:rPr>
      <w:rFonts w:ascii="Calibri" w:hAnsi="Calibri" w:cs="Calibri"/>
      <w:noProof/>
      <w:lang w:val="en-US"/>
    </w:rPr>
  </w:style>
  <w:style w:type="character" w:customStyle="1" w:styleId="abstract-paragraphChar">
    <w:name w:val="abstract-paragraph Char"/>
    <w:basedOn w:val="DefaultParagraphFont"/>
    <w:link w:val="abstract-paragraph"/>
    <w:rsid w:val="00784D26"/>
    <w:rPr>
      <w:rFonts w:ascii="Times New Roman" w:eastAsia="Times New Roman" w:hAnsi="Times New Roman" w:cs="Times New Roman"/>
      <w:kern w:val="0"/>
      <w:sz w:val="24"/>
      <w:szCs w:val="24"/>
      <w:lang w:eastAsia="en-GB"/>
    </w:rPr>
  </w:style>
  <w:style w:type="character" w:customStyle="1" w:styleId="EndNoteBibliographyTitleChar">
    <w:name w:val="EndNote Bibliography Title Char"/>
    <w:basedOn w:val="abstract-paragraphChar"/>
    <w:link w:val="EndNoteBibliographyTitle"/>
    <w:rsid w:val="00784D26"/>
    <w:rPr>
      <w:rFonts w:ascii="Calibri" w:eastAsia="Times New Roman" w:hAnsi="Calibri" w:cs="Calibri"/>
      <w:noProof/>
      <w:kern w:val="0"/>
      <w:sz w:val="24"/>
      <w:szCs w:val="24"/>
      <w:lang w:val="en-US" w:eastAsia="en-GB"/>
    </w:rPr>
  </w:style>
  <w:style w:type="paragraph" w:customStyle="1" w:styleId="EndNoteBibliography">
    <w:name w:val="EndNote Bibliography"/>
    <w:basedOn w:val="Normal"/>
    <w:link w:val="EndNoteBibliographyChar"/>
    <w:rsid w:val="00784D26"/>
    <w:pPr>
      <w:spacing w:line="240" w:lineRule="auto"/>
    </w:pPr>
    <w:rPr>
      <w:rFonts w:ascii="Calibri" w:hAnsi="Calibri" w:cs="Calibri"/>
      <w:noProof/>
      <w:lang w:val="en-US"/>
    </w:rPr>
  </w:style>
  <w:style w:type="character" w:customStyle="1" w:styleId="EndNoteBibliographyChar">
    <w:name w:val="EndNote Bibliography Char"/>
    <w:basedOn w:val="abstract-paragraphChar"/>
    <w:link w:val="EndNoteBibliography"/>
    <w:rsid w:val="00784D26"/>
    <w:rPr>
      <w:rFonts w:ascii="Calibri" w:eastAsia="Times New Roman" w:hAnsi="Calibri" w:cs="Calibri"/>
      <w:noProof/>
      <w:kern w:val="0"/>
      <w:sz w:val="24"/>
      <w:szCs w:val="24"/>
      <w:lang w:val="en-US" w:eastAsia="en-GB"/>
    </w:rPr>
  </w:style>
  <w:style w:type="character" w:customStyle="1" w:styleId="dropblock">
    <w:name w:val="dropblock"/>
    <w:basedOn w:val="DefaultParagraphFont"/>
    <w:rsid w:val="007D7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2604">
      <w:bodyDiv w:val="1"/>
      <w:marLeft w:val="0"/>
      <w:marRight w:val="0"/>
      <w:marTop w:val="0"/>
      <w:marBottom w:val="0"/>
      <w:divBdr>
        <w:top w:val="none" w:sz="0" w:space="0" w:color="auto"/>
        <w:left w:val="none" w:sz="0" w:space="0" w:color="auto"/>
        <w:bottom w:val="none" w:sz="0" w:space="0" w:color="auto"/>
        <w:right w:val="none" w:sz="0" w:space="0" w:color="auto"/>
      </w:divBdr>
    </w:div>
    <w:div w:id="201720036">
      <w:bodyDiv w:val="1"/>
      <w:marLeft w:val="0"/>
      <w:marRight w:val="0"/>
      <w:marTop w:val="0"/>
      <w:marBottom w:val="0"/>
      <w:divBdr>
        <w:top w:val="none" w:sz="0" w:space="0" w:color="auto"/>
        <w:left w:val="none" w:sz="0" w:space="0" w:color="auto"/>
        <w:bottom w:val="none" w:sz="0" w:space="0" w:color="auto"/>
        <w:right w:val="none" w:sz="0" w:space="0" w:color="auto"/>
      </w:divBdr>
    </w:div>
    <w:div w:id="358168675">
      <w:bodyDiv w:val="1"/>
      <w:marLeft w:val="0"/>
      <w:marRight w:val="0"/>
      <w:marTop w:val="0"/>
      <w:marBottom w:val="0"/>
      <w:divBdr>
        <w:top w:val="none" w:sz="0" w:space="0" w:color="auto"/>
        <w:left w:val="none" w:sz="0" w:space="0" w:color="auto"/>
        <w:bottom w:val="none" w:sz="0" w:space="0" w:color="auto"/>
        <w:right w:val="none" w:sz="0" w:space="0" w:color="auto"/>
      </w:divBdr>
    </w:div>
    <w:div w:id="558514062">
      <w:bodyDiv w:val="1"/>
      <w:marLeft w:val="0"/>
      <w:marRight w:val="0"/>
      <w:marTop w:val="0"/>
      <w:marBottom w:val="0"/>
      <w:divBdr>
        <w:top w:val="none" w:sz="0" w:space="0" w:color="auto"/>
        <w:left w:val="none" w:sz="0" w:space="0" w:color="auto"/>
        <w:bottom w:val="none" w:sz="0" w:space="0" w:color="auto"/>
        <w:right w:val="none" w:sz="0" w:space="0" w:color="auto"/>
      </w:divBdr>
    </w:div>
    <w:div w:id="630942099">
      <w:bodyDiv w:val="1"/>
      <w:marLeft w:val="0"/>
      <w:marRight w:val="0"/>
      <w:marTop w:val="0"/>
      <w:marBottom w:val="0"/>
      <w:divBdr>
        <w:top w:val="none" w:sz="0" w:space="0" w:color="auto"/>
        <w:left w:val="none" w:sz="0" w:space="0" w:color="auto"/>
        <w:bottom w:val="none" w:sz="0" w:space="0" w:color="auto"/>
        <w:right w:val="none" w:sz="0" w:space="0" w:color="auto"/>
      </w:divBdr>
      <w:divsChild>
        <w:div w:id="757218791">
          <w:marLeft w:val="0"/>
          <w:marRight w:val="0"/>
          <w:marTop w:val="0"/>
          <w:marBottom w:val="0"/>
          <w:divBdr>
            <w:top w:val="none" w:sz="0" w:space="0" w:color="auto"/>
            <w:left w:val="none" w:sz="0" w:space="0" w:color="auto"/>
            <w:bottom w:val="none" w:sz="0" w:space="0" w:color="auto"/>
            <w:right w:val="none" w:sz="0" w:space="0" w:color="auto"/>
          </w:divBdr>
        </w:div>
        <w:div w:id="1389105989">
          <w:marLeft w:val="0"/>
          <w:marRight w:val="0"/>
          <w:marTop w:val="0"/>
          <w:marBottom w:val="0"/>
          <w:divBdr>
            <w:top w:val="none" w:sz="0" w:space="0" w:color="auto"/>
            <w:left w:val="none" w:sz="0" w:space="0" w:color="auto"/>
            <w:bottom w:val="none" w:sz="0" w:space="0" w:color="auto"/>
            <w:right w:val="none" w:sz="0" w:space="0" w:color="auto"/>
          </w:divBdr>
        </w:div>
        <w:div w:id="1488014820">
          <w:marLeft w:val="0"/>
          <w:marRight w:val="0"/>
          <w:marTop w:val="0"/>
          <w:marBottom w:val="0"/>
          <w:divBdr>
            <w:top w:val="none" w:sz="0" w:space="0" w:color="auto"/>
            <w:left w:val="none" w:sz="0" w:space="0" w:color="auto"/>
            <w:bottom w:val="none" w:sz="0" w:space="0" w:color="auto"/>
            <w:right w:val="none" w:sz="0" w:space="0" w:color="auto"/>
          </w:divBdr>
        </w:div>
        <w:div w:id="1059785476">
          <w:marLeft w:val="0"/>
          <w:marRight w:val="0"/>
          <w:marTop w:val="0"/>
          <w:marBottom w:val="0"/>
          <w:divBdr>
            <w:top w:val="none" w:sz="0" w:space="0" w:color="auto"/>
            <w:left w:val="none" w:sz="0" w:space="0" w:color="auto"/>
            <w:bottom w:val="none" w:sz="0" w:space="0" w:color="auto"/>
            <w:right w:val="none" w:sz="0" w:space="0" w:color="auto"/>
          </w:divBdr>
        </w:div>
        <w:div w:id="885917591">
          <w:marLeft w:val="0"/>
          <w:marRight w:val="0"/>
          <w:marTop w:val="0"/>
          <w:marBottom w:val="0"/>
          <w:divBdr>
            <w:top w:val="none" w:sz="0" w:space="0" w:color="auto"/>
            <w:left w:val="none" w:sz="0" w:space="0" w:color="auto"/>
            <w:bottom w:val="none" w:sz="0" w:space="0" w:color="auto"/>
            <w:right w:val="none" w:sz="0" w:space="0" w:color="auto"/>
          </w:divBdr>
        </w:div>
        <w:div w:id="613752143">
          <w:marLeft w:val="0"/>
          <w:marRight w:val="0"/>
          <w:marTop w:val="0"/>
          <w:marBottom w:val="0"/>
          <w:divBdr>
            <w:top w:val="none" w:sz="0" w:space="0" w:color="auto"/>
            <w:left w:val="none" w:sz="0" w:space="0" w:color="auto"/>
            <w:bottom w:val="none" w:sz="0" w:space="0" w:color="auto"/>
            <w:right w:val="none" w:sz="0" w:space="0" w:color="auto"/>
          </w:divBdr>
        </w:div>
        <w:div w:id="1823304880">
          <w:marLeft w:val="0"/>
          <w:marRight w:val="0"/>
          <w:marTop w:val="0"/>
          <w:marBottom w:val="0"/>
          <w:divBdr>
            <w:top w:val="none" w:sz="0" w:space="0" w:color="auto"/>
            <w:left w:val="none" w:sz="0" w:space="0" w:color="auto"/>
            <w:bottom w:val="none" w:sz="0" w:space="0" w:color="auto"/>
            <w:right w:val="none" w:sz="0" w:space="0" w:color="auto"/>
          </w:divBdr>
        </w:div>
        <w:div w:id="1027951253">
          <w:marLeft w:val="0"/>
          <w:marRight w:val="0"/>
          <w:marTop w:val="0"/>
          <w:marBottom w:val="0"/>
          <w:divBdr>
            <w:top w:val="none" w:sz="0" w:space="0" w:color="auto"/>
            <w:left w:val="none" w:sz="0" w:space="0" w:color="auto"/>
            <w:bottom w:val="none" w:sz="0" w:space="0" w:color="auto"/>
            <w:right w:val="none" w:sz="0" w:space="0" w:color="auto"/>
          </w:divBdr>
        </w:div>
        <w:div w:id="1572500166">
          <w:marLeft w:val="0"/>
          <w:marRight w:val="0"/>
          <w:marTop w:val="0"/>
          <w:marBottom w:val="0"/>
          <w:divBdr>
            <w:top w:val="none" w:sz="0" w:space="0" w:color="auto"/>
            <w:left w:val="none" w:sz="0" w:space="0" w:color="auto"/>
            <w:bottom w:val="none" w:sz="0" w:space="0" w:color="auto"/>
            <w:right w:val="none" w:sz="0" w:space="0" w:color="auto"/>
          </w:divBdr>
        </w:div>
        <w:div w:id="802114863">
          <w:marLeft w:val="0"/>
          <w:marRight w:val="0"/>
          <w:marTop w:val="0"/>
          <w:marBottom w:val="0"/>
          <w:divBdr>
            <w:top w:val="none" w:sz="0" w:space="0" w:color="auto"/>
            <w:left w:val="none" w:sz="0" w:space="0" w:color="auto"/>
            <w:bottom w:val="none" w:sz="0" w:space="0" w:color="auto"/>
            <w:right w:val="none" w:sz="0" w:space="0" w:color="auto"/>
          </w:divBdr>
        </w:div>
        <w:div w:id="760417807">
          <w:marLeft w:val="0"/>
          <w:marRight w:val="0"/>
          <w:marTop w:val="0"/>
          <w:marBottom w:val="0"/>
          <w:divBdr>
            <w:top w:val="none" w:sz="0" w:space="0" w:color="auto"/>
            <w:left w:val="none" w:sz="0" w:space="0" w:color="auto"/>
            <w:bottom w:val="none" w:sz="0" w:space="0" w:color="auto"/>
            <w:right w:val="none" w:sz="0" w:space="0" w:color="auto"/>
          </w:divBdr>
        </w:div>
        <w:div w:id="1476682534">
          <w:marLeft w:val="0"/>
          <w:marRight w:val="0"/>
          <w:marTop w:val="0"/>
          <w:marBottom w:val="0"/>
          <w:divBdr>
            <w:top w:val="none" w:sz="0" w:space="0" w:color="auto"/>
            <w:left w:val="none" w:sz="0" w:space="0" w:color="auto"/>
            <w:bottom w:val="none" w:sz="0" w:space="0" w:color="auto"/>
            <w:right w:val="none" w:sz="0" w:space="0" w:color="auto"/>
          </w:divBdr>
        </w:div>
        <w:div w:id="1182162965">
          <w:marLeft w:val="0"/>
          <w:marRight w:val="0"/>
          <w:marTop w:val="0"/>
          <w:marBottom w:val="0"/>
          <w:divBdr>
            <w:top w:val="none" w:sz="0" w:space="0" w:color="auto"/>
            <w:left w:val="none" w:sz="0" w:space="0" w:color="auto"/>
            <w:bottom w:val="none" w:sz="0" w:space="0" w:color="auto"/>
            <w:right w:val="none" w:sz="0" w:space="0" w:color="auto"/>
          </w:divBdr>
        </w:div>
        <w:div w:id="993530926">
          <w:marLeft w:val="0"/>
          <w:marRight w:val="0"/>
          <w:marTop w:val="0"/>
          <w:marBottom w:val="0"/>
          <w:divBdr>
            <w:top w:val="none" w:sz="0" w:space="0" w:color="auto"/>
            <w:left w:val="none" w:sz="0" w:space="0" w:color="auto"/>
            <w:bottom w:val="none" w:sz="0" w:space="0" w:color="auto"/>
            <w:right w:val="none" w:sz="0" w:space="0" w:color="auto"/>
          </w:divBdr>
        </w:div>
        <w:div w:id="735056193">
          <w:marLeft w:val="0"/>
          <w:marRight w:val="0"/>
          <w:marTop w:val="0"/>
          <w:marBottom w:val="0"/>
          <w:divBdr>
            <w:top w:val="none" w:sz="0" w:space="0" w:color="auto"/>
            <w:left w:val="none" w:sz="0" w:space="0" w:color="auto"/>
            <w:bottom w:val="none" w:sz="0" w:space="0" w:color="auto"/>
            <w:right w:val="none" w:sz="0" w:space="0" w:color="auto"/>
          </w:divBdr>
        </w:div>
        <w:div w:id="1825243790">
          <w:marLeft w:val="0"/>
          <w:marRight w:val="0"/>
          <w:marTop w:val="0"/>
          <w:marBottom w:val="0"/>
          <w:divBdr>
            <w:top w:val="none" w:sz="0" w:space="0" w:color="auto"/>
            <w:left w:val="none" w:sz="0" w:space="0" w:color="auto"/>
            <w:bottom w:val="none" w:sz="0" w:space="0" w:color="auto"/>
            <w:right w:val="none" w:sz="0" w:space="0" w:color="auto"/>
          </w:divBdr>
        </w:div>
        <w:div w:id="179004888">
          <w:marLeft w:val="0"/>
          <w:marRight w:val="0"/>
          <w:marTop w:val="0"/>
          <w:marBottom w:val="0"/>
          <w:divBdr>
            <w:top w:val="none" w:sz="0" w:space="0" w:color="auto"/>
            <w:left w:val="none" w:sz="0" w:space="0" w:color="auto"/>
            <w:bottom w:val="none" w:sz="0" w:space="0" w:color="auto"/>
            <w:right w:val="none" w:sz="0" w:space="0" w:color="auto"/>
          </w:divBdr>
        </w:div>
        <w:div w:id="585385153">
          <w:marLeft w:val="0"/>
          <w:marRight w:val="0"/>
          <w:marTop w:val="0"/>
          <w:marBottom w:val="0"/>
          <w:divBdr>
            <w:top w:val="none" w:sz="0" w:space="0" w:color="auto"/>
            <w:left w:val="none" w:sz="0" w:space="0" w:color="auto"/>
            <w:bottom w:val="none" w:sz="0" w:space="0" w:color="auto"/>
            <w:right w:val="none" w:sz="0" w:space="0" w:color="auto"/>
          </w:divBdr>
        </w:div>
        <w:div w:id="888490264">
          <w:marLeft w:val="0"/>
          <w:marRight w:val="0"/>
          <w:marTop w:val="0"/>
          <w:marBottom w:val="0"/>
          <w:divBdr>
            <w:top w:val="none" w:sz="0" w:space="0" w:color="auto"/>
            <w:left w:val="none" w:sz="0" w:space="0" w:color="auto"/>
            <w:bottom w:val="none" w:sz="0" w:space="0" w:color="auto"/>
            <w:right w:val="none" w:sz="0" w:space="0" w:color="auto"/>
          </w:divBdr>
        </w:div>
        <w:div w:id="944578275">
          <w:marLeft w:val="0"/>
          <w:marRight w:val="0"/>
          <w:marTop w:val="0"/>
          <w:marBottom w:val="0"/>
          <w:divBdr>
            <w:top w:val="none" w:sz="0" w:space="0" w:color="auto"/>
            <w:left w:val="none" w:sz="0" w:space="0" w:color="auto"/>
            <w:bottom w:val="none" w:sz="0" w:space="0" w:color="auto"/>
            <w:right w:val="none" w:sz="0" w:space="0" w:color="auto"/>
          </w:divBdr>
        </w:div>
        <w:div w:id="1972126744">
          <w:marLeft w:val="0"/>
          <w:marRight w:val="0"/>
          <w:marTop w:val="0"/>
          <w:marBottom w:val="0"/>
          <w:divBdr>
            <w:top w:val="none" w:sz="0" w:space="0" w:color="auto"/>
            <w:left w:val="none" w:sz="0" w:space="0" w:color="auto"/>
            <w:bottom w:val="none" w:sz="0" w:space="0" w:color="auto"/>
            <w:right w:val="none" w:sz="0" w:space="0" w:color="auto"/>
          </w:divBdr>
        </w:div>
        <w:div w:id="1466698767">
          <w:marLeft w:val="0"/>
          <w:marRight w:val="0"/>
          <w:marTop w:val="0"/>
          <w:marBottom w:val="0"/>
          <w:divBdr>
            <w:top w:val="none" w:sz="0" w:space="0" w:color="auto"/>
            <w:left w:val="none" w:sz="0" w:space="0" w:color="auto"/>
            <w:bottom w:val="none" w:sz="0" w:space="0" w:color="auto"/>
            <w:right w:val="none" w:sz="0" w:space="0" w:color="auto"/>
          </w:divBdr>
        </w:div>
        <w:div w:id="855655726">
          <w:marLeft w:val="0"/>
          <w:marRight w:val="0"/>
          <w:marTop w:val="0"/>
          <w:marBottom w:val="0"/>
          <w:divBdr>
            <w:top w:val="none" w:sz="0" w:space="0" w:color="auto"/>
            <w:left w:val="none" w:sz="0" w:space="0" w:color="auto"/>
            <w:bottom w:val="none" w:sz="0" w:space="0" w:color="auto"/>
            <w:right w:val="none" w:sz="0" w:space="0" w:color="auto"/>
          </w:divBdr>
        </w:div>
        <w:div w:id="296765300">
          <w:marLeft w:val="0"/>
          <w:marRight w:val="0"/>
          <w:marTop w:val="0"/>
          <w:marBottom w:val="0"/>
          <w:divBdr>
            <w:top w:val="none" w:sz="0" w:space="0" w:color="auto"/>
            <w:left w:val="none" w:sz="0" w:space="0" w:color="auto"/>
            <w:bottom w:val="none" w:sz="0" w:space="0" w:color="auto"/>
            <w:right w:val="none" w:sz="0" w:space="0" w:color="auto"/>
          </w:divBdr>
        </w:div>
        <w:div w:id="1459758698">
          <w:marLeft w:val="0"/>
          <w:marRight w:val="0"/>
          <w:marTop w:val="0"/>
          <w:marBottom w:val="0"/>
          <w:divBdr>
            <w:top w:val="none" w:sz="0" w:space="0" w:color="auto"/>
            <w:left w:val="none" w:sz="0" w:space="0" w:color="auto"/>
            <w:bottom w:val="none" w:sz="0" w:space="0" w:color="auto"/>
            <w:right w:val="none" w:sz="0" w:space="0" w:color="auto"/>
          </w:divBdr>
        </w:div>
        <w:div w:id="823163627">
          <w:marLeft w:val="0"/>
          <w:marRight w:val="0"/>
          <w:marTop w:val="0"/>
          <w:marBottom w:val="0"/>
          <w:divBdr>
            <w:top w:val="none" w:sz="0" w:space="0" w:color="auto"/>
            <w:left w:val="none" w:sz="0" w:space="0" w:color="auto"/>
            <w:bottom w:val="none" w:sz="0" w:space="0" w:color="auto"/>
            <w:right w:val="none" w:sz="0" w:space="0" w:color="auto"/>
          </w:divBdr>
        </w:div>
        <w:div w:id="1101414492">
          <w:marLeft w:val="0"/>
          <w:marRight w:val="0"/>
          <w:marTop w:val="0"/>
          <w:marBottom w:val="0"/>
          <w:divBdr>
            <w:top w:val="none" w:sz="0" w:space="0" w:color="auto"/>
            <w:left w:val="none" w:sz="0" w:space="0" w:color="auto"/>
            <w:bottom w:val="none" w:sz="0" w:space="0" w:color="auto"/>
            <w:right w:val="none" w:sz="0" w:space="0" w:color="auto"/>
          </w:divBdr>
        </w:div>
        <w:div w:id="879825806">
          <w:marLeft w:val="0"/>
          <w:marRight w:val="0"/>
          <w:marTop w:val="0"/>
          <w:marBottom w:val="0"/>
          <w:divBdr>
            <w:top w:val="none" w:sz="0" w:space="0" w:color="auto"/>
            <w:left w:val="none" w:sz="0" w:space="0" w:color="auto"/>
            <w:bottom w:val="none" w:sz="0" w:space="0" w:color="auto"/>
            <w:right w:val="none" w:sz="0" w:space="0" w:color="auto"/>
          </w:divBdr>
        </w:div>
        <w:div w:id="1031999105">
          <w:marLeft w:val="0"/>
          <w:marRight w:val="0"/>
          <w:marTop w:val="0"/>
          <w:marBottom w:val="0"/>
          <w:divBdr>
            <w:top w:val="none" w:sz="0" w:space="0" w:color="auto"/>
            <w:left w:val="none" w:sz="0" w:space="0" w:color="auto"/>
            <w:bottom w:val="none" w:sz="0" w:space="0" w:color="auto"/>
            <w:right w:val="none" w:sz="0" w:space="0" w:color="auto"/>
          </w:divBdr>
        </w:div>
        <w:div w:id="2014256298">
          <w:marLeft w:val="0"/>
          <w:marRight w:val="0"/>
          <w:marTop w:val="0"/>
          <w:marBottom w:val="0"/>
          <w:divBdr>
            <w:top w:val="none" w:sz="0" w:space="0" w:color="auto"/>
            <w:left w:val="none" w:sz="0" w:space="0" w:color="auto"/>
            <w:bottom w:val="none" w:sz="0" w:space="0" w:color="auto"/>
            <w:right w:val="none" w:sz="0" w:space="0" w:color="auto"/>
          </w:divBdr>
        </w:div>
        <w:div w:id="1052726788">
          <w:marLeft w:val="0"/>
          <w:marRight w:val="0"/>
          <w:marTop w:val="0"/>
          <w:marBottom w:val="0"/>
          <w:divBdr>
            <w:top w:val="none" w:sz="0" w:space="0" w:color="auto"/>
            <w:left w:val="none" w:sz="0" w:space="0" w:color="auto"/>
            <w:bottom w:val="none" w:sz="0" w:space="0" w:color="auto"/>
            <w:right w:val="none" w:sz="0" w:space="0" w:color="auto"/>
          </w:divBdr>
        </w:div>
        <w:div w:id="1739280254">
          <w:marLeft w:val="0"/>
          <w:marRight w:val="0"/>
          <w:marTop w:val="0"/>
          <w:marBottom w:val="0"/>
          <w:divBdr>
            <w:top w:val="none" w:sz="0" w:space="0" w:color="auto"/>
            <w:left w:val="none" w:sz="0" w:space="0" w:color="auto"/>
            <w:bottom w:val="none" w:sz="0" w:space="0" w:color="auto"/>
            <w:right w:val="none" w:sz="0" w:space="0" w:color="auto"/>
          </w:divBdr>
        </w:div>
        <w:div w:id="908420622">
          <w:marLeft w:val="0"/>
          <w:marRight w:val="0"/>
          <w:marTop w:val="0"/>
          <w:marBottom w:val="0"/>
          <w:divBdr>
            <w:top w:val="none" w:sz="0" w:space="0" w:color="auto"/>
            <w:left w:val="none" w:sz="0" w:space="0" w:color="auto"/>
            <w:bottom w:val="none" w:sz="0" w:space="0" w:color="auto"/>
            <w:right w:val="none" w:sz="0" w:space="0" w:color="auto"/>
          </w:divBdr>
        </w:div>
        <w:div w:id="1555122298">
          <w:marLeft w:val="0"/>
          <w:marRight w:val="0"/>
          <w:marTop w:val="0"/>
          <w:marBottom w:val="0"/>
          <w:divBdr>
            <w:top w:val="none" w:sz="0" w:space="0" w:color="auto"/>
            <w:left w:val="none" w:sz="0" w:space="0" w:color="auto"/>
            <w:bottom w:val="none" w:sz="0" w:space="0" w:color="auto"/>
            <w:right w:val="none" w:sz="0" w:space="0" w:color="auto"/>
          </w:divBdr>
        </w:div>
        <w:div w:id="2104372747">
          <w:marLeft w:val="0"/>
          <w:marRight w:val="0"/>
          <w:marTop w:val="0"/>
          <w:marBottom w:val="0"/>
          <w:divBdr>
            <w:top w:val="none" w:sz="0" w:space="0" w:color="auto"/>
            <w:left w:val="none" w:sz="0" w:space="0" w:color="auto"/>
            <w:bottom w:val="none" w:sz="0" w:space="0" w:color="auto"/>
            <w:right w:val="none" w:sz="0" w:space="0" w:color="auto"/>
          </w:divBdr>
        </w:div>
        <w:div w:id="1591306813">
          <w:marLeft w:val="0"/>
          <w:marRight w:val="0"/>
          <w:marTop w:val="0"/>
          <w:marBottom w:val="0"/>
          <w:divBdr>
            <w:top w:val="none" w:sz="0" w:space="0" w:color="auto"/>
            <w:left w:val="none" w:sz="0" w:space="0" w:color="auto"/>
            <w:bottom w:val="none" w:sz="0" w:space="0" w:color="auto"/>
            <w:right w:val="none" w:sz="0" w:space="0" w:color="auto"/>
          </w:divBdr>
        </w:div>
        <w:div w:id="1105730978">
          <w:marLeft w:val="0"/>
          <w:marRight w:val="0"/>
          <w:marTop w:val="0"/>
          <w:marBottom w:val="0"/>
          <w:divBdr>
            <w:top w:val="none" w:sz="0" w:space="0" w:color="auto"/>
            <w:left w:val="none" w:sz="0" w:space="0" w:color="auto"/>
            <w:bottom w:val="none" w:sz="0" w:space="0" w:color="auto"/>
            <w:right w:val="none" w:sz="0" w:space="0" w:color="auto"/>
          </w:divBdr>
        </w:div>
        <w:div w:id="1881935563">
          <w:marLeft w:val="0"/>
          <w:marRight w:val="0"/>
          <w:marTop w:val="0"/>
          <w:marBottom w:val="0"/>
          <w:divBdr>
            <w:top w:val="none" w:sz="0" w:space="0" w:color="auto"/>
            <w:left w:val="none" w:sz="0" w:space="0" w:color="auto"/>
            <w:bottom w:val="none" w:sz="0" w:space="0" w:color="auto"/>
            <w:right w:val="none" w:sz="0" w:space="0" w:color="auto"/>
          </w:divBdr>
        </w:div>
        <w:div w:id="17514520">
          <w:marLeft w:val="0"/>
          <w:marRight w:val="0"/>
          <w:marTop w:val="0"/>
          <w:marBottom w:val="0"/>
          <w:divBdr>
            <w:top w:val="none" w:sz="0" w:space="0" w:color="auto"/>
            <w:left w:val="none" w:sz="0" w:space="0" w:color="auto"/>
            <w:bottom w:val="none" w:sz="0" w:space="0" w:color="auto"/>
            <w:right w:val="none" w:sz="0" w:space="0" w:color="auto"/>
          </w:divBdr>
        </w:div>
        <w:div w:id="1799256119">
          <w:marLeft w:val="0"/>
          <w:marRight w:val="0"/>
          <w:marTop w:val="0"/>
          <w:marBottom w:val="0"/>
          <w:divBdr>
            <w:top w:val="none" w:sz="0" w:space="0" w:color="auto"/>
            <w:left w:val="none" w:sz="0" w:space="0" w:color="auto"/>
            <w:bottom w:val="none" w:sz="0" w:space="0" w:color="auto"/>
            <w:right w:val="none" w:sz="0" w:space="0" w:color="auto"/>
          </w:divBdr>
        </w:div>
        <w:div w:id="26882254">
          <w:marLeft w:val="0"/>
          <w:marRight w:val="0"/>
          <w:marTop w:val="0"/>
          <w:marBottom w:val="0"/>
          <w:divBdr>
            <w:top w:val="none" w:sz="0" w:space="0" w:color="auto"/>
            <w:left w:val="none" w:sz="0" w:space="0" w:color="auto"/>
            <w:bottom w:val="none" w:sz="0" w:space="0" w:color="auto"/>
            <w:right w:val="none" w:sz="0" w:space="0" w:color="auto"/>
          </w:divBdr>
        </w:div>
        <w:div w:id="1477184013">
          <w:marLeft w:val="0"/>
          <w:marRight w:val="0"/>
          <w:marTop w:val="0"/>
          <w:marBottom w:val="0"/>
          <w:divBdr>
            <w:top w:val="none" w:sz="0" w:space="0" w:color="auto"/>
            <w:left w:val="none" w:sz="0" w:space="0" w:color="auto"/>
            <w:bottom w:val="none" w:sz="0" w:space="0" w:color="auto"/>
            <w:right w:val="none" w:sz="0" w:space="0" w:color="auto"/>
          </w:divBdr>
        </w:div>
      </w:divsChild>
    </w:div>
    <w:div w:id="692390339">
      <w:bodyDiv w:val="1"/>
      <w:marLeft w:val="0"/>
      <w:marRight w:val="0"/>
      <w:marTop w:val="0"/>
      <w:marBottom w:val="0"/>
      <w:divBdr>
        <w:top w:val="none" w:sz="0" w:space="0" w:color="auto"/>
        <w:left w:val="none" w:sz="0" w:space="0" w:color="auto"/>
        <w:bottom w:val="none" w:sz="0" w:space="0" w:color="auto"/>
        <w:right w:val="none" w:sz="0" w:space="0" w:color="auto"/>
      </w:divBdr>
    </w:div>
    <w:div w:id="719985353">
      <w:bodyDiv w:val="1"/>
      <w:marLeft w:val="0"/>
      <w:marRight w:val="0"/>
      <w:marTop w:val="0"/>
      <w:marBottom w:val="0"/>
      <w:divBdr>
        <w:top w:val="none" w:sz="0" w:space="0" w:color="auto"/>
        <w:left w:val="none" w:sz="0" w:space="0" w:color="auto"/>
        <w:bottom w:val="none" w:sz="0" w:space="0" w:color="auto"/>
        <w:right w:val="none" w:sz="0" w:space="0" w:color="auto"/>
      </w:divBdr>
    </w:div>
    <w:div w:id="722489229">
      <w:bodyDiv w:val="1"/>
      <w:marLeft w:val="0"/>
      <w:marRight w:val="0"/>
      <w:marTop w:val="0"/>
      <w:marBottom w:val="0"/>
      <w:divBdr>
        <w:top w:val="none" w:sz="0" w:space="0" w:color="auto"/>
        <w:left w:val="none" w:sz="0" w:space="0" w:color="auto"/>
        <w:bottom w:val="none" w:sz="0" w:space="0" w:color="auto"/>
        <w:right w:val="none" w:sz="0" w:space="0" w:color="auto"/>
      </w:divBdr>
    </w:div>
    <w:div w:id="800416072">
      <w:bodyDiv w:val="1"/>
      <w:marLeft w:val="0"/>
      <w:marRight w:val="0"/>
      <w:marTop w:val="0"/>
      <w:marBottom w:val="0"/>
      <w:divBdr>
        <w:top w:val="none" w:sz="0" w:space="0" w:color="auto"/>
        <w:left w:val="none" w:sz="0" w:space="0" w:color="auto"/>
        <w:bottom w:val="none" w:sz="0" w:space="0" w:color="auto"/>
        <w:right w:val="none" w:sz="0" w:space="0" w:color="auto"/>
      </w:divBdr>
    </w:div>
    <w:div w:id="856894000">
      <w:bodyDiv w:val="1"/>
      <w:marLeft w:val="0"/>
      <w:marRight w:val="0"/>
      <w:marTop w:val="0"/>
      <w:marBottom w:val="0"/>
      <w:divBdr>
        <w:top w:val="none" w:sz="0" w:space="0" w:color="auto"/>
        <w:left w:val="none" w:sz="0" w:space="0" w:color="auto"/>
        <w:bottom w:val="none" w:sz="0" w:space="0" w:color="auto"/>
        <w:right w:val="none" w:sz="0" w:space="0" w:color="auto"/>
      </w:divBdr>
    </w:div>
    <w:div w:id="925842579">
      <w:bodyDiv w:val="1"/>
      <w:marLeft w:val="0"/>
      <w:marRight w:val="0"/>
      <w:marTop w:val="0"/>
      <w:marBottom w:val="0"/>
      <w:divBdr>
        <w:top w:val="none" w:sz="0" w:space="0" w:color="auto"/>
        <w:left w:val="none" w:sz="0" w:space="0" w:color="auto"/>
        <w:bottom w:val="none" w:sz="0" w:space="0" w:color="auto"/>
        <w:right w:val="none" w:sz="0" w:space="0" w:color="auto"/>
      </w:divBdr>
    </w:div>
    <w:div w:id="1563983759">
      <w:bodyDiv w:val="1"/>
      <w:marLeft w:val="0"/>
      <w:marRight w:val="0"/>
      <w:marTop w:val="0"/>
      <w:marBottom w:val="0"/>
      <w:divBdr>
        <w:top w:val="none" w:sz="0" w:space="0" w:color="auto"/>
        <w:left w:val="none" w:sz="0" w:space="0" w:color="auto"/>
        <w:bottom w:val="none" w:sz="0" w:space="0" w:color="auto"/>
        <w:right w:val="none" w:sz="0" w:space="0" w:color="auto"/>
      </w:divBdr>
    </w:div>
    <w:div w:id="1607813997">
      <w:bodyDiv w:val="1"/>
      <w:marLeft w:val="0"/>
      <w:marRight w:val="0"/>
      <w:marTop w:val="0"/>
      <w:marBottom w:val="0"/>
      <w:divBdr>
        <w:top w:val="none" w:sz="0" w:space="0" w:color="auto"/>
        <w:left w:val="none" w:sz="0" w:space="0" w:color="auto"/>
        <w:bottom w:val="none" w:sz="0" w:space="0" w:color="auto"/>
        <w:right w:val="none" w:sz="0" w:space="0" w:color="auto"/>
      </w:divBdr>
      <w:divsChild>
        <w:div w:id="105006197">
          <w:marLeft w:val="0"/>
          <w:marRight w:val="0"/>
          <w:marTop w:val="0"/>
          <w:marBottom w:val="300"/>
          <w:divBdr>
            <w:top w:val="none" w:sz="0" w:space="0" w:color="auto"/>
            <w:left w:val="none" w:sz="0" w:space="0" w:color="auto"/>
            <w:bottom w:val="none" w:sz="0" w:space="0" w:color="auto"/>
            <w:right w:val="none" w:sz="0" w:space="0" w:color="auto"/>
          </w:divBdr>
        </w:div>
        <w:div w:id="306671524">
          <w:marLeft w:val="0"/>
          <w:marRight w:val="0"/>
          <w:marTop w:val="0"/>
          <w:marBottom w:val="300"/>
          <w:divBdr>
            <w:top w:val="none" w:sz="0" w:space="0" w:color="auto"/>
            <w:left w:val="none" w:sz="0" w:space="0" w:color="auto"/>
            <w:bottom w:val="none" w:sz="0" w:space="0" w:color="auto"/>
            <w:right w:val="none" w:sz="0" w:space="0" w:color="auto"/>
          </w:divBdr>
        </w:div>
      </w:divsChild>
    </w:div>
    <w:div w:id="1993634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bbc.com/new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ov.uk/government/publications/accessing-ukhsa-protected-dat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digital.nhs.uk/data-and-information/publications/statistical/adult-psychiatric-morbidity-survey/survey-of-mental-health-and-wellbeing-england-2023-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ituteforgovernment.org.uk/data-visualisation/timeline-coronavirus-lockdow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8906A5-5B5B-47AB-820B-616ECCFB5BBF}">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vancouver&quot;,&quot;title&quot;:&quot;NLM/Vancouver: Citing Medicine 2nd edition (citation-sequenc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7e2ea6a-fd88-4508-ab30-9a48b4fb26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AE83F6EBA8BD47AFA93FB8E7F85D14" ma:contentTypeVersion="18" ma:contentTypeDescription="Create a new document." ma:contentTypeScope="" ma:versionID="3675ce6146d016db3a19ff73af14e658">
  <xsd:schema xmlns:xsd="http://www.w3.org/2001/XMLSchema" xmlns:xs="http://www.w3.org/2001/XMLSchema" xmlns:p="http://schemas.microsoft.com/office/2006/metadata/properties" xmlns:ns3="7fb38363-17ae-47ed-9282-1f175d7dd596" xmlns:ns4="37e2ea6a-fd88-4508-ab30-9a48b4fb26a7" targetNamespace="http://schemas.microsoft.com/office/2006/metadata/properties" ma:root="true" ma:fieldsID="38c7934d8c735346db2ee393a4077a47" ns3:_="" ns4:_="">
    <xsd:import namespace="7fb38363-17ae-47ed-9282-1f175d7dd596"/>
    <xsd:import namespace="37e2ea6a-fd88-4508-ab30-9a48b4fb26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38363-17ae-47ed-9282-1f175d7dd5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e2ea6a-fd88-4508-ab30-9a48b4fb26a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E6BAD-C510-45D7-9751-047E149320B2}">
  <ds:schemaRefs>
    <ds:schemaRef ds:uri="http://schemas.microsoft.com/office/2006/metadata/properties"/>
    <ds:schemaRef ds:uri="http://schemas.microsoft.com/office/infopath/2007/PartnerControls"/>
    <ds:schemaRef ds:uri="37e2ea6a-fd88-4508-ab30-9a48b4fb26a7"/>
  </ds:schemaRefs>
</ds:datastoreItem>
</file>

<file path=customXml/itemProps2.xml><?xml version="1.0" encoding="utf-8"?>
<ds:datastoreItem xmlns:ds="http://schemas.openxmlformats.org/officeDocument/2006/customXml" ds:itemID="{2F5A91F4-023B-4E65-9BB7-BD3758EDE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38363-17ae-47ed-9282-1f175d7dd596"/>
    <ds:schemaRef ds:uri="37e2ea6a-fd88-4508-ab30-9a48b4fb26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CF2F5-8FB9-4440-BA52-45CAF5B186A3}">
  <ds:schemaRefs>
    <ds:schemaRef ds:uri="http://schemas.microsoft.com/sharepoint/v3/contenttype/forms"/>
  </ds:schemaRefs>
</ds:datastoreItem>
</file>

<file path=customXml/itemProps4.xml><?xml version="1.0" encoding="utf-8"?>
<ds:datastoreItem xmlns:ds="http://schemas.openxmlformats.org/officeDocument/2006/customXml" ds:itemID="{7A9B63D2-4587-431D-B431-273D81C1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7547</Words>
  <Characters>43020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Julii Brainard (MED - Staff)</dc:creator>
  <cp:keywords/>
  <dc:description/>
  <cp:lastModifiedBy>Campbell Robertson</cp:lastModifiedBy>
  <cp:revision>2</cp:revision>
  <cp:lastPrinted>2025-01-13T16:16:00Z</cp:lastPrinted>
  <dcterms:created xsi:type="dcterms:W3CDTF">2026-03-04T11:33:00Z</dcterms:created>
  <dcterms:modified xsi:type="dcterms:W3CDTF">2026-03-04T11:33:00Z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0x01010078AE83F6EBA8BD47AFA93FB8E7F85D14</vt:lpwstr>
  </property>
  <property fmtid="{D5CDD505-2E9C-101B-9397-08002B2CF9AE}" pid="4" name="_AdHocReviewCycleID">
    <vt:i4>426116973</vt:i4>
  </property>
  <property fmtid="{D5CDD505-2E9C-101B-9397-08002B2CF9AE}" pid="5" name="_EmailSubject">
    <vt:lpwstr>Reviewer Comments to COVID paper</vt:lpwstr>
  </property>
  <property fmtid="{D5CDD505-2E9C-101B-9397-08002B2CF9AE}" pid="6" name="_AuthorEmail">
    <vt:lpwstr>I.Lake@uea.ac.uk</vt:lpwstr>
  </property>
  <property fmtid="{D5CDD505-2E9C-101B-9397-08002B2CF9AE}" pid="7" name="_AuthorEmailDisplayName">
    <vt:lpwstr>Iain Lake (ENV - Staff)</vt:lpwstr>
  </property>
  <property fmtid="{D5CDD505-2E9C-101B-9397-08002B2CF9AE}" pid="8" name="_PreviousAdHocReviewCycleID">
    <vt:i4>-368521429</vt:i4>
  </property>
  <property fmtid="{D5CDD505-2E9C-101B-9397-08002B2CF9AE}" pid="9" name="_ReviewingToolsShownOnce">
    <vt:lpwstr/>
  </property>
</Properties>
</file>