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F1483" w14:textId="77777777" w:rsidR="007857F3" w:rsidRDefault="007857F3">
      <w:pPr>
        <w:pStyle w:val="Style2"/>
        <w:spacing w:line="295" w:lineRule="auto"/>
        <w:rPr>
          <w:rFonts w:ascii="Times New Roman" w:hAnsi="Times New Roman" w:cs="Times New Roman"/>
          <w:sz w:val="24"/>
          <w:szCs w:val="24"/>
        </w:rPr>
      </w:pPr>
      <w:r>
        <w:rPr>
          <w:rStyle w:val="CharStyle3"/>
          <w:lang w:eastAsia="en-US"/>
        </w:rPr>
        <w:t>Hydrol. Earth Syst. Sci., 29, 3277–3295, 2025</w:t>
      </w:r>
    </w:p>
    <w:p w14:paraId="5C52B024" w14:textId="77777777" w:rsidR="007857F3" w:rsidRDefault="007857F3">
      <w:pPr>
        <w:pStyle w:val="Style2"/>
        <w:spacing w:line="295" w:lineRule="auto"/>
        <w:rPr>
          <w:rFonts w:ascii="Times New Roman" w:hAnsi="Times New Roman" w:cs="Times New Roman"/>
          <w:sz w:val="24"/>
          <w:szCs w:val="24"/>
        </w:rPr>
      </w:pPr>
      <w:hyperlink r:id="rId7" w:history="1">
        <w:r>
          <w:rPr>
            <w:rStyle w:val="CharStyle3"/>
            <w:lang w:eastAsia="en-US"/>
          </w:rPr>
          <w:t>https://doi.org/10.5194/hess-29-3277-2025</w:t>
        </w:r>
      </w:hyperlink>
    </w:p>
    <w:p w14:paraId="6B3C4B03" w14:textId="77777777" w:rsidR="007857F3" w:rsidRDefault="007857F3">
      <w:pPr>
        <w:pStyle w:val="Style2"/>
        <w:spacing w:after="1420" w:line="295" w:lineRule="auto"/>
        <w:rPr>
          <w:rFonts w:ascii="Times New Roman" w:hAnsi="Times New Roman" w:cs="Times New Roman"/>
          <w:sz w:val="24"/>
          <w:szCs w:val="24"/>
        </w:rPr>
      </w:pPr>
      <w:r>
        <w:rPr>
          <w:rStyle w:val="CharStyle3"/>
          <w:lang w:eastAsia="en-US"/>
        </w:rPr>
        <w:t xml:space="preserve">© Author(s) 2025. This work is distributed under </w:t>
      </w:r>
      <w:r>
        <w:rPr>
          <w:rStyle w:val="CharStyle3"/>
          <w:u w:val="single"/>
          <w:lang w:eastAsia="en-US"/>
        </w:rPr>
        <w:t>the Creativ</w:t>
      </w:r>
      <w:r>
        <w:rPr>
          <w:rStyle w:val="CharStyle3"/>
          <w:lang w:eastAsia="en-US"/>
        </w:rPr>
        <w:t>e Commons Attribution 4.0 License.</w:t>
      </w:r>
    </w:p>
    <w:p w14:paraId="0316AE8D" w14:textId="77777777" w:rsidR="007857F3" w:rsidRDefault="007857F3">
      <w:pPr>
        <w:pStyle w:val="Style5"/>
        <w:rPr>
          <w:rFonts w:ascii="Times New Roman" w:hAnsi="Times New Roman" w:cs="Times New Roman"/>
          <w:sz w:val="24"/>
          <w:szCs w:val="24"/>
        </w:rPr>
      </w:pPr>
      <w:r>
        <w:rPr>
          <w:rStyle w:val="CharStyle6"/>
          <w:lang w:eastAsia="en-US"/>
        </w:rPr>
        <w:t>An Atlantic influence on evapotranspiration in the Orinoco and Amazon basins</w:t>
      </w:r>
    </w:p>
    <w:p w14:paraId="1832FF76" w14:textId="77777777" w:rsidR="007857F3" w:rsidRDefault="007857F3">
      <w:pPr>
        <w:pStyle w:val="Style2"/>
        <w:spacing w:after="80" w:line="240" w:lineRule="auto"/>
        <w:rPr>
          <w:rFonts w:ascii="Times New Roman" w:hAnsi="Times New Roman" w:cs="Times New Roman"/>
          <w:sz w:val="24"/>
          <w:szCs w:val="24"/>
        </w:rPr>
      </w:pPr>
      <w:r>
        <w:rPr>
          <w:rStyle w:val="CharStyle3"/>
          <w:lang w:eastAsia="en-US"/>
        </w:rPr>
        <w:t>Nicolás Duque-Gardeazabal</w:t>
      </w:r>
      <w:r>
        <w:rPr>
          <w:rStyle w:val="CharStyle3"/>
          <w:vertAlign w:val="superscript"/>
          <w:lang w:eastAsia="en-US"/>
        </w:rPr>
        <w:t>1,2</w:t>
      </w:r>
      <w:r>
        <w:rPr>
          <w:rStyle w:val="CharStyle3"/>
          <w:lang w:eastAsia="en-US"/>
        </w:rPr>
        <w:t>, Andrew R. Friedman</w:t>
      </w:r>
      <w:r>
        <w:rPr>
          <w:rStyle w:val="CharStyle3"/>
          <w:vertAlign w:val="superscript"/>
          <w:lang w:eastAsia="en-US"/>
        </w:rPr>
        <w:t>1,2,a</w:t>
      </w:r>
      <w:r>
        <w:rPr>
          <w:rStyle w:val="CharStyle3"/>
          <w:lang w:eastAsia="en-US"/>
        </w:rPr>
        <w:t>, and Stefan Brönnimann</w:t>
      </w:r>
      <w:r>
        <w:rPr>
          <w:rStyle w:val="CharStyle3"/>
          <w:vertAlign w:val="superscript"/>
          <w:lang w:eastAsia="en-US"/>
        </w:rPr>
        <w:t>1,2</w:t>
      </w:r>
    </w:p>
    <w:p w14:paraId="777F1A19" w14:textId="77777777" w:rsidR="007857F3" w:rsidRDefault="007857F3">
      <w:pPr>
        <w:pStyle w:val="Style2"/>
        <w:numPr>
          <w:ilvl w:val="0"/>
          <w:numId w:val="1"/>
        </w:numPr>
        <w:tabs>
          <w:tab w:val="left" w:pos="243"/>
        </w:tabs>
        <w:spacing w:line="240" w:lineRule="auto"/>
        <w:rPr>
          <w:sz w:val="24"/>
          <w:szCs w:val="24"/>
        </w:rPr>
      </w:pPr>
      <w:r>
        <w:rPr>
          <w:rStyle w:val="CharStyle3"/>
          <w:lang w:eastAsia="en-US"/>
        </w:rPr>
        <w:t>Oeschger Centre for Climate Change Research, University of Bern, Bern, Switzerland</w:t>
      </w:r>
    </w:p>
    <w:p w14:paraId="621925D2" w14:textId="77777777" w:rsidR="007857F3" w:rsidRDefault="007857F3">
      <w:pPr>
        <w:pStyle w:val="Style2"/>
        <w:numPr>
          <w:ilvl w:val="0"/>
          <w:numId w:val="1"/>
        </w:numPr>
        <w:tabs>
          <w:tab w:val="left" w:pos="267"/>
        </w:tabs>
        <w:spacing w:line="240" w:lineRule="auto"/>
        <w:rPr>
          <w:sz w:val="24"/>
          <w:szCs w:val="24"/>
        </w:rPr>
      </w:pPr>
      <w:r>
        <w:rPr>
          <w:rStyle w:val="CharStyle3"/>
          <w:lang w:eastAsia="en-US"/>
        </w:rPr>
        <w:t>Institute of Geography, University of Bern, Bern, Switzerland</w:t>
      </w:r>
    </w:p>
    <w:p w14:paraId="79CCC320" w14:textId="77777777" w:rsidR="007857F3" w:rsidRDefault="007857F3">
      <w:pPr>
        <w:pStyle w:val="Style2"/>
        <w:spacing w:after="180" w:line="240" w:lineRule="auto"/>
        <w:rPr>
          <w:rFonts w:ascii="Times New Roman" w:hAnsi="Times New Roman" w:cs="Times New Roman"/>
          <w:sz w:val="24"/>
          <w:szCs w:val="24"/>
        </w:rPr>
      </w:pPr>
      <w:r>
        <w:rPr>
          <w:rStyle w:val="CharStyle3"/>
          <w:vertAlign w:val="superscript"/>
          <w:lang w:eastAsia="en-US"/>
        </w:rPr>
        <w:t>a</w:t>
      </w:r>
      <w:r>
        <w:rPr>
          <w:rStyle w:val="CharStyle3"/>
          <w:lang w:eastAsia="en-US"/>
        </w:rPr>
        <w:t xml:space="preserve">now at: Laboratoire de </w:t>
      </w:r>
      <w:r>
        <w:rPr>
          <w:rStyle w:val="CharStyle3"/>
          <w:lang w:val="it-IT" w:eastAsia="it-IT"/>
        </w:rPr>
        <w:t xml:space="preserve">Météorologie </w:t>
      </w:r>
      <w:r>
        <w:rPr>
          <w:rStyle w:val="CharStyle3"/>
          <w:lang w:eastAsia="en-US"/>
        </w:rPr>
        <w:t>Dynamique, Institute Pierre-Simon Laplace, Paris, France</w:t>
      </w:r>
    </w:p>
    <w:p w14:paraId="3F669AA9" w14:textId="77777777" w:rsidR="007857F3" w:rsidRDefault="007857F3">
      <w:pPr>
        <w:pStyle w:val="Style2"/>
        <w:spacing w:after="180" w:line="240" w:lineRule="auto"/>
        <w:rPr>
          <w:rFonts w:ascii="Times New Roman" w:hAnsi="Times New Roman" w:cs="Times New Roman"/>
          <w:sz w:val="24"/>
          <w:szCs w:val="24"/>
        </w:rPr>
      </w:pPr>
      <w:r>
        <w:rPr>
          <w:rStyle w:val="CharStyle3"/>
          <w:lang w:eastAsia="en-US"/>
        </w:rPr>
        <w:t>Correspondence: Nicolás Duque-Gardeazabal (</w:t>
      </w:r>
      <w:hyperlink r:id="rId8" w:history="1">
        <w:r>
          <w:rPr>
            <w:rStyle w:val="CharStyle3"/>
            <w:lang w:eastAsia="en-US"/>
          </w:rPr>
          <w:t>nicolas.duque@unibe.ch</w:t>
        </w:r>
      </w:hyperlink>
      <w:r>
        <w:rPr>
          <w:rStyle w:val="CharStyle3"/>
          <w:lang w:eastAsia="en-US"/>
        </w:rPr>
        <w:t>)</w:t>
      </w:r>
    </w:p>
    <w:p w14:paraId="5E481EEF" w14:textId="77777777" w:rsidR="007857F3" w:rsidRDefault="007857F3">
      <w:pPr>
        <w:pStyle w:val="Style2"/>
        <w:spacing w:line="240" w:lineRule="auto"/>
        <w:rPr>
          <w:rFonts w:ascii="Times New Roman" w:hAnsi="Times New Roman" w:cs="Times New Roman"/>
          <w:sz w:val="24"/>
          <w:szCs w:val="24"/>
        </w:rPr>
      </w:pPr>
      <w:r>
        <w:rPr>
          <w:rStyle w:val="CharStyle3"/>
          <w:lang w:eastAsia="en-US"/>
        </w:rPr>
        <w:t>Received: 11 September 2024 –</w:t>
      </w:r>
      <w:r>
        <w:rPr>
          <w:rStyle w:val="CharStyle3"/>
          <w:lang w:eastAsia="en-US"/>
        </w:rPr>
        <w:t xml:space="preserve"> Discussion started: 7 November 2024</w:t>
      </w:r>
    </w:p>
    <w:p w14:paraId="0FD792FD" w14:textId="77777777" w:rsidR="007857F3" w:rsidRDefault="007857F3">
      <w:pPr>
        <w:pStyle w:val="Style2"/>
        <w:spacing w:line="240" w:lineRule="auto"/>
        <w:rPr>
          <w:rFonts w:ascii="Times New Roman" w:hAnsi="Times New Roman" w:cs="Times New Roman"/>
          <w:sz w:val="24"/>
          <w:szCs w:val="24"/>
        </w:rPr>
        <w:sectPr w:rsidR="00000000">
          <w:headerReference w:type="even" r:id="rId9"/>
          <w:headerReference w:type="default" r:id="rId10"/>
          <w:footerReference w:type="even" r:id="rId11"/>
          <w:footerReference w:type="default" r:id="rId12"/>
          <w:headerReference w:type="first" r:id="rId13"/>
          <w:footerReference w:type="first" r:id="rId14"/>
          <w:pgSz w:w="11909" w:h="16834"/>
          <w:pgMar w:top="1308" w:right="915" w:bottom="1022" w:left="905" w:header="0" w:footer="3" w:gutter="0"/>
          <w:pgNumType w:start="1"/>
          <w:cols w:space="720"/>
          <w:noEndnote/>
          <w:titlePg/>
          <w:docGrid w:linePitch="360"/>
        </w:sectPr>
      </w:pPr>
      <w:r>
        <w:rPr>
          <w:rStyle w:val="CharStyle3"/>
          <w:lang w:eastAsia="en-US"/>
        </w:rPr>
        <w:t>Revised: 19 March 2025 – Accepted: 9 May 2025 – Published: 28 July 2025</w:t>
      </w:r>
    </w:p>
    <w:p w14:paraId="5C2EB76B" w14:textId="77777777" w:rsidR="007857F3" w:rsidRDefault="007857F3">
      <w:pPr>
        <w:spacing w:before="35" w:after="35" w:line="240" w:lineRule="exact"/>
        <w:rPr>
          <w:color w:val="auto"/>
          <w:lang w:eastAsia="en-GB"/>
        </w:rPr>
      </w:pPr>
    </w:p>
    <w:p w14:paraId="073F76F7" w14:textId="77777777" w:rsidR="007857F3" w:rsidRDefault="007857F3">
      <w:pPr>
        <w:spacing w:line="1" w:lineRule="exact"/>
        <w:rPr>
          <w:color w:val="auto"/>
          <w:lang w:eastAsia="en-GB"/>
        </w:rPr>
        <w:sectPr w:rsidR="00000000">
          <w:type w:val="continuous"/>
          <w:pgSz w:w="11909" w:h="16834"/>
          <w:pgMar w:top="1308" w:right="0" w:bottom="1222" w:left="0" w:header="0" w:footer="3" w:gutter="0"/>
          <w:cols w:space="720"/>
          <w:noEndnote/>
          <w:docGrid w:linePitch="360"/>
        </w:sectPr>
      </w:pPr>
    </w:p>
    <w:p w14:paraId="28C39535" w14:textId="2A364FA3" w:rsidR="007857F3" w:rsidRDefault="007857F3">
      <w:pPr>
        <w:spacing w:line="1" w:lineRule="exact"/>
        <w:rPr>
          <w:color w:val="auto"/>
          <w:lang w:eastAsia="en-GB"/>
        </w:rPr>
      </w:pPr>
      <w:r>
        <w:rPr>
          <w:noProof/>
        </w:rPr>
        <mc:AlternateContent>
          <mc:Choice Requires="wps">
            <w:drawing>
              <wp:anchor distT="127000" distB="254000" distL="114300" distR="114300" simplePos="0" relativeHeight="251658240" behindDoc="0" locked="0" layoutInCell="1" allowOverlap="1" wp14:anchorId="416C3FE8" wp14:editId="27F2D732">
                <wp:simplePos x="0" y="0"/>
                <wp:positionH relativeFrom="margin">
                  <wp:posOffset>6350</wp:posOffset>
                </wp:positionH>
                <wp:positionV relativeFrom="paragraph">
                  <wp:posOffset>5066030</wp:posOffset>
                </wp:positionV>
                <wp:extent cx="4580890" cy="176530"/>
                <wp:effectExtent l="0" t="1905" r="3810" b="2540"/>
                <wp:wrapTopAndBottom/>
                <wp:docPr id="3235746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C5A1" w14:textId="77777777" w:rsidR="007857F3" w:rsidRDefault="007857F3">
                            <w:pPr>
                              <w:pStyle w:val="Style2"/>
                              <w:spacing w:line="240" w:lineRule="auto"/>
                              <w:rPr>
                                <w:rFonts w:ascii="Times New Roman" w:hAnsi="Times New Roman" w:cs="Times New Roman"/>
                                <w:sz w:val="24"/>
                                <w:szCs w:val="24"/>
                              </w:rPr>
                            </w:pPr>
                            <w:r>
                              <w:rPr>
                                <w:rStyle w:val="CharStyle3"/>
                                <w:lang w:eastAsia="en-US"/>
                              </w:rPr>
                              <w:t>Published by Copernicus Publications on behalf of the European Geosciences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C3FE8" id="_x0000_t202" coordsize="21600,21600" o:spt="202" path="m,l,21600r21600,l21600,xe">
                <v:stroke joinstyle="miter"/>
                <v:path gradientshapeok="t" o:connecttype="rect"/>
              </v:shapetype>
              <v:shape id="Text Box 6" o:spid="_x0000_s1026" type="#_x0000_t202" style="position:absolute;margin-left:.5pt;margin-top:398.9pt;width:360.7pt;height:13.9pt;z-index:251658240;visibility:visible;mso-wrap-style:square;mso-width-percent:0;mso-height-percent:0;mso-wrap-distance-left:9pt;mso-wrap-distance-top:10pt;mso-wrap-distance-right:9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" filled="f" stroked="f">
                <v:textbox inset="0,0,0,0">
                  <w:txbxContent>
                    <w:p w14:paraId="515BC5A1" w14:textId="77777777" w:rsidR="007857F3" w:rsidRDefault="007857F3">
                      <w:pPr>
                        <w:pStyle w:val="Style2"/>
                        <w:spacing w:line="240" w:lineRule="auto"/>
                        <w:rPr>
                          <w:rFonts w:ascii="Times New Roman" w:hAnsi="Times New Roman" w:cs="Times New Roman"/>
                          <w:sz w:val="24"/>
                          <w:szCs w:val="24"/>
                        </w:rPr>
                      </w:pPr>
                      <w:r>
                        <w:rPr>
                          <w:rStyle w:val="CharStyle3"/>
                          <w:lang w:eastAsia="en-US"/>
                        </w:rPr>
                        <w:t>Published by Copernicus Publications on behalf of the European Geosciences Union.</w:t>
                      </w:r>
                    </w:p>
                  </w:txbxContent>
                </v:textbox>
                <w10:wrap type="topAndBottom" anchorx="margin"/>
              </v:shape>
            </w:pict>
          </mc:Fallback>
        </mc:AlternateContent>
      </w:r>
    </w:p>
    <w:p w14:paraId="723FE3EC" w14:textId="77777777" w:rsidR="007857F3" w:rsidRDefault="007857F3">
      <w:pPr>
        <w:pStyle w:val="Style2"/>
        <w:spacing w:after="620"/>
        <w:jc w:val="both"/>
        <w:rPr>
          <w:rFonts w:ascii="Times New Roman" w:hAnsi="Times New Roman" w:cs="Times New Roman"/>
          <w:sz w:val="24"/>
          <w:szCs w:val="24"/>
        </w:rPr>
      </w:pPr>
      <w:r>
        <w:rPr>
          <w:rStyle w:val="CharStyle3"/>
          <w:lang w:eastAsia="en-US"/>
        </w:rPr>
        <w:t>Abstract. Tropical South America’s hydroclimate is influ</w:t>
      </w:r>
      <w:r>
        <w:rPr>
          <w:rStyle w:val="CharStyle3"/>
          <w:lang w:eastAsia="en-US"/>
        </w:rPr>
        <w:softHyphen/>
        <w:t>enced by ocean–atmospheric variability modes (drivers of climate variability). It is still not known which physical mechanisms teleconnect the Atlantic modes of variability with South America’s soil moisture, net radiation, and terres</w:t>
      </w:r>
      <w:r>
        <w:rPr>
          <w:rStyle w:val="CharStyle3"/>
          <w:lang w:eastAsia="en-US"/>
        </w:rPr>
        <w:softHyphen/>
        <w:t>trial evaporation (evapotranspiration). Understanding these mechanisms is essential to predict the response of ecosys</w:t>
      </w:r>
      <w:r>
        <w:rPr>
          <w:rStyle w:val="CharStyle3"/>
          <w:lang w:eastAsia="en-US"/>
        </w:rPr>
        <w:softHyphen/>
        <w:t>tems. This study uses composites of reanalysis and satellite data to identify the processes linking land–surface anoma</w:t>
      </w:r>
      <w:r>
        <w:rPr>
          <w:rStyle w:val="CharStyle3"/>
          <w:lang w:eastAsia="en-US"/>
        </w:rPr>
        <w:softHyphen/>
        <w:t>lies and ocean–atmospheric modes. It es</w:t>
      </w:r>
      <w:r>
        <w:rPr>
          <w:rStyle w:val="CharStyle3"/>
          <w:lang w:eastAsia="en-US"/>
        </w:rPr>
        <w:t>timates the control soil moisture and net radiation impose on evapotranspiration (categorised as water- or energy-limited regimes). It shows that these two local controllers of evapotranspiration are in</w:t>
      </w:r>
      <w:r>
        <w:rPr>
          <w:rStyle w:val="CharStyle3"/>
          <w:lang w:eastAsia="en-US"/>
        </w:rPr>
        <w:softHyphen/>
        <w:t>fluenced by the position of the Intertropical Convergence Zone (ITCZ). However, the evapotranspiration anomalies are driven by the phase of each climate mode, which alter wa</w:t>
      </w:r>
      <w:r>
        <w:rPr>
          <w:rStyle w:val="CharStyle3"/>
          <w:lang w:eastAsia="en-US"/>
        </w:rPr>
        <w:softHyphen/>
        <w:t>ter and radiation availability. The Atlantic Meridional Mode (AMM) generates cross-equatorial wind anomalies that af</w:t>
      </w:r>
      <w:r>
        <w:rPr>
          <w:rStyle w:val="CharStyle3"/>
          <w:lang w:eastAsia="en-US"/>
        </w:rPr>
        <w:softHyphen/>
        <w:t>fect moisture conv</w:t>
      </w:r>
      <w:r>
        <w:rPr>
          <w:rStyle w:val="CharStyle3"/>
          <w:lang w:eastAsia="en-US"/>
        </w:rPr>
        <w:t>ergence, which in turn modify the cloud cover, precipitation, soil moisture, radiation availability, and hence evapotranspiration. The anomalies have important ge</w:t>
      </w:r>
      <w:r>
        <w:rPr>
          <w:rStyle w:val="CharStyle3"/>
          <w:lang w:eastAsia="en-US"/>
        </w:rPr>
        <w:softHyphen/>
        <w:t>ographical differences depending on the season analysed; they migrate from the east in austral autumn towards the central Amazon and western Orinoco in austral spring. The Atlantic Niño Equatorial mode (Atl3) affects evapotranspira</w:t>
      </w:r>
      <w:r>
        <w:rPr>
          <w:rStyle w:val="CharStyle3"/>
          <w:lang w:eastAsia="en-US"/>
        </w:rPr>
        <w:softHyphen/>
        <w:t>tion in the Guianas and eastern Orinoco by means of pressure and trade wind variability, which in turn affect local h</w:t>
      </w:r>
      <w:r>
        <w:rPr>
          <w:rStyle w:val="CharStyle3"/>
          <w:lang w:eastAsia="en-US"/>
        </w:rPr>
        <w:t>ydrom</w:t>
      </w:r>
      <w:r>
        <w:rPr>
          <w:rStyle w:val="CharStyle3"/>
          <w:lang w:eastAsia="en-US"/>
        </w:rPr>
        <w:softHyphen/>
        <w:t>eteorological conditions and evapotranspiration. Both At</w:t>
      </w:r>
      <w:r>
        <w:rPr>
          <w:rStyle w:val="CharStyle3"/>
          <w:lang w:eastAsia="en-US"/>
        </w:rPr>
        <w:softHyphen/>
        <w:t>lantic modes mainly impact regions different from those im</w:t>
      </w:r>
      <w:r>
        <w:rPr>
          <w:rStyle w:val="CharStyle3"/>
          <w:lang w:eastAsia="en-US"/>
        </w:rPr>
        <w:softHyphen/>
        <w:t>pacted by El Niño–Southern Oscillation (ENSO), although northeast Brazil and the Guianas might experience overlap</w:t>
      </w:r>
      <w:r>
        <w:rPr>
          <w:rStyle w:val="CharStyle3"/>
          <w:lang w:eastAsia="en-US"/>
        </w:rPr>
        <w:softHyphen/>
        <w:t>ping effects. Therefore, these ocean–atmospheric modes im</w:t>
      </w:r>
      <w:r>
        <w:rPr>
          <w:rStyle w:val="CharStyle3"/>
          <w:lang w:eastAsia="en-US"/>
        </w:rPr>
        <w:softHyphen/>
        <w:t>pact the water, energy, and carbon cycles; they might influ</w:t>
      </w:r>
      <w:r>
        <w:rPr>
          <w:rStyle w:val="CharStyle3"/>
          <w:lang w:eastAsia="en-US"/>
        </w:rPr>
        <w:softHyphen/>
        <w:t>ence regional climate extremes (e.g. droughts and floods); and they are critical for achieving sustainable development goals (SDGs).</w:t>
      </w:r>
    </w:p>
    <w:p w14:paraId="1817D47D" w14:textId="77777777" w:rsidR="007857F3" w:rsidRDefault="007857F3">
      <w:pPr>
        <w:pStyle w:val="Style16"/>
        <w:keepNext/>
        <w:keepLines/>
        <w:numPr>
          <w:ilvl w:val="0"/>
          <w:numId w:val="2"/>
        </w:numPr>
        <w:tabs>
          <w:tab w:val="left" w:pos="288"/>
        </w:tabs>
        <w:spacing w:after="240"/>
        <w:jc w:val="both"/>
        <w:rPr>
          <w:sz w:val="24"/>
          <w:szCs w:val="24"/>
        </w:rPr>
      </w:pPr>
      <w:bookmarkStart w:id="0" w:name="bookmark3"/>
      <w:bookmarkStart w:id="1" w:name="bookmark2"/>
      <w:r>
        <w:rPr>
          <w:rStyle w:val="CharStyle17"/>
          <w:lang w:eastAsia="en-US"/>
        </w:rPr>
        <w:t>Introduction</w:t>
      </w:r>
      <w:bookmarkEnd w:id="0"/>
      <w:bookmarkEnd w:id="1"/>
    </w:p>
    <w:p w14:paraId="653F8DB5" w14:textId="77777777" w:rsidR="007857F3" w:rsidRDefault="007857F3">
      <w:pPr>
        <w:pStyle w:val="Style2"/>
        <w:jc w:val="both"/>
        <w:rPr>
          <w:rFonts w:ascii="Times New Roman" w:hAnsi="Times New Roman" w:cs="Times New Roman"/>
          <w:sz w:val="24"/>
          <w:szCs w:val="24"/>
        </w:rPr>
      </w:pPr>
      <w:r>
        <w:rPr>
          <w:rStyle w:val="CharStyle3"/>
          <w:lang w:eastAsia="en-US"/>
        </w:rPr>
        <w:t>The hydroclimate of tropical South America is strongly in</w:t>
      </w:r>
      <w:r>
        <w:rPr>
          <w:rStyle w:val="CharStyle3"/>
          <w:lang w:eastAsia="en-US"/>
        </w:rPr>
        <w:softHyphen/>
        <w:t xml:space="preserve">fluenced by ocean–atmospheric variability modes (climate drivers), for instance, El Niño–Southern Oscillation (ENSO) </w:t>
      </w:r>
      <w:hyperlink w:anchor="bookmark68" w:tooltip="Current Document" w:history="1">
        <w:r>
          <w:rPr>
            <w:rStyle w:val="CharStyle3"/>
            <w:lang w:eastAsia="en-US"/>
          </w:rPr>
          <w:t>(Cai et al., 2020</w:t>
        </w:r>
      </w:hyperlink>
      <w:r>
        <w:rPr>
          <w:rStyle w:val="CharStyle3"/>
          <w:lang w:eastAsia="en-US"/>
        </w:rPr>
        <w:t>;</w:t>
      </w:r>
      <w:hyperlink w:anchor="bookmark74" w:tooltip="Current Document" w:history="1">
        <w:r>
          <w:rPr>
            <w:rStyle w:val="CharStyle3"/>
            <w:lang w:eastAsia="en-US"/>
          </w:rPr>
          <w:t xml:space="preserve"> Garreaud et al., 2009</w:t>
        </w:r>
      </w:hyperlink>
      <w:r>
        <w:rPr>
          <w:rStyle w:val="CharStyle3"/>
          <w:lang w:eastAsia="en-US"/>
        </w:rPr>
        <w:t>;</w:t>
      </w:r>
      <w:hyperlink w:anchor="bookmark78" w:tooltip="Current Document" w:history="1">
        <w:r>
          <w:rPr>
            <w:rStyle w:val="CharStyle3"/>
            <w:lang w:eastAsia="en-US"/>
          </w:rPr>
          <w:t xml:space="preserve"> Grimm and Zilli,</w:t>
        </w:r>
      </w:hyperlink>
      <w:r>
        <w:rPr>
          <w:rStyle w:val="CharStyle3"/>
          <w:lang w:eastAsia="en-US"/>
        </w:rPr>
        <w:t xml:space="preserve"> </w:t>
      </w:r>
      <w:hyperlink w:anchor="bookmark78" w:tooltip="Current Document" w:history="1">
        <w:r>
          <w:rPr>
            <w:rStyle w:val="CharStyle3"/>
            <w:lang w:eastAsia="en-US"/>
          </w:rPr>
          <w:t>2009)</w:t>
        </w:r>
      </w:hyperlink>
      <w:r>
        <w:rPr>
          <w:rStyle w:val="CharStyle3"/>
          <w:lang w:eastAsia="en-US"/>
        </w:rPr>
        <w:t>. Other sources of seasonal variability stem from other ocean basins (e.g. the Atlantic, Indian Ocean) and at other temporal scales, from the Madden–Julian Oscillation, or from local features like topography or land–atmosphere in</w:t>
      </w:r>
      <w:r>
        <w:rPr>
          <w:rStyle w:val="CharStyle3"/>
          <w:lang w:eastAsia="en-US"/>
        </w:rPr>
        <w:softHyphen/>
        <w:t xml:space="preserve">teractions </w:t>
      </w:r>
      <w:hyperlink w:anchor="bookmark109" w:tooltip="Current Document" w:history="1">
        <w:r>
          <w:rPr>
            <w:rStyle w:val="CharStyle3"/>
            <w:lang w:val="it-IT" w:eastAsia="it-IT"/>
          </w:rPr>
          <w:t xml:space="preserve">(Pabón </w:t>
        </w:r>
        <w:r>
          <w:rPr>
            <w:rStyle w:val="CharStyle3"/>
            <w:lang w:eastAsia="en-US"/>
          </w:rPr>
          <w:t>and Dorado, 2008;</w:t>
        </w:r>
      </w:hyperlink>
      <w:hyperlink w:anchor="bookmark65" w:tooltip="Current Document" w:history="1">
        <w:r>
          <w:rPr>
            <w:rStyle w:val="CharStyle3"/>
            <w:lang w:eastAsia="en-US"/>
          </w:rPr>
          <w:t xml:space="preserve"> Cai et al., 2019)</w:t>
        </w:r>
      </w:hyperlink>
      <w:r>
        <w:rPr>
          <w:rStyle w:val="CharStyle3"/>
          <w:lang w:eastAsia="en-US"/>
        </w:rPr>
        <w:t>. The modes cause impacts through atmospheric circulation anomalies and thus drive local atmospheric conditions; the latter enforces hydrological variability, which is evidenced by anomalies of precipitation, soil moisture (SM), surface temperature, evapotranspiration, and streamflow. The atmo</w:t>
      </w:r>
      <w:r>
        <w:rPr>
          <w:rStyle w:val="CharStyle3"/>
          <w:lang w:eastAsia="en-US"/>
        </w:rPr>
        <w:softHyphen/>
        <w:t xml:space="preserve">spheric anomalies might also influence extreme events (e.g. droughts and floods) </w:t>
      </w:r>
      <w:hyperlink w:anchor="bookmark116" w:tooltip="Current Document" w:history="1">
        <w:r>
          <w:rPr>
            <w:rStyle w:val="CharStyle3"/>
            <w:lang w:eastAsia="en-US"/>
          </w:rPr>
          <w:t>(Merz et al., 2021</w:t>
        </w:r>
      </w:hyperlink>
      <w:r>
        <w:rPr>
          <w:rStyle w:val="CharStyle3"/>
          <w:lang w:eastAsia="en-US"/>
        </w:rPr>
        <w:t>;</w:t>
      </w:r>
      <w:hyperlink w:anchor="bookmark120" w:tooltip="Current Document" w:history="1">
        <w:r>
          <w:rPr>
            <w:rStyle w:val="CharStyle3"/>
            <w:lang w:eastAsia="en-US"/>
          </w:rPr>
          <w:t xml:space="preserve"> Mishra and Singh,</w:t>
        </w:r>
      </w:hyperlink>
      <w:r>
        <w:rPr>
          <w:rStyle w:val="CharStyle3"/>
          <w:lang w:eastAsia="en-US"/>
        </w:rPr>
        <w:t xml:space="preserve"> </w:t>
      </w:r>
      <w:hyperlink w:anchor="bookmark120" w:tooltip="Current Document" w:history="1">
        <w:r>
          <w:rPr>
            <w:rStyle w:val="CharStyle3"/>
            <w:lang w:eastAsia="en-US"/>
          </w:rPr>
          <w:t>2010)</w:t>
        </w:r>
      </w:hyperlink>
      <w:r>
        <w:rPr>
          <w:rStyle w:val="CharStyle3"/>
          <w:lang w:eastAsia="en-US"/>
        </w:rPr>
        <w:t>, and their consideration in long-term planning is criti</w:t>
      </w:r>
      <w:r>
        <w:rPr>
          <w:rStyle w:val="CharStyle3"/>
          <w:lang w:eastAsia="en-US"/>
        </w:rPr>
        <w:softHyphen/>
        <w:t>cal for achieving sustainable development.</w:t>
      </w:r>
    </w:p>
    <w:p w14:paraId="522C51D6"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 xml:space="preserve">Among the hydrological fluxes, terrestrial evaporation is key to the water, energy, and carbon cycles </w:t>
      </w:r>
      <w:hyperlink w:anchor="bookmark127" w:tooltip="Current Document" w:history="1">
        <w:r>
          <w:rPr>
            <w:rStyle w:val="CharStyle3"/>
            <w:lang w:eastAsia="en-US"/>
          </w:rPr>
          <w:t>(Wang and Dick</w:t>
        </w:r>
        <w:r>
          <w:rPr>
            <w:rStyle w:val="CharStyle3"/>
            <w:lang w:eastAsia="en-US"/>
          </w:rPr>
          <w:softHyphen/>
        </w:r>
      </w:hyperlink>
      <w:hyperlink w:anchor="bookmark127" w:tooltip="Current Document" w:history="1">
        <w:r>
          <w:rPr>
            <w:rStyle w:val="CharStyle3"/>
            <w:lang w:eastAsia="en-US"/>
          </w:rPr>
          <w:t>inson, 2012)</w:t>
        </w:r>
      </w:hyperlink>
      <w:r>
        <w:rPr>
          <w:rStyle w:val="CharStyle3"/>
          <w:lang w:eastAsia="en-US"/>
        </w:rPr>
        <w:t>. This flux mainly consists of evaporation from soil, interception, and plant transpiration (hereafter all jointly referred as evapotranspiration – ET). Limitations of ET in</w:t>
      </w:r>
      <w:r>
        <w:rPr>
          <w:rStyle w:val="CharStyle3"/>
          <w:lang w:eastAsia="en-US"/>
        </w:rPr>
        <w:softHyphen/>
        <w:t>fluence growth processes and hence carbon uptake; previous studies have linked net primary or biome production vari</w:t>
      </w:r>
      <w:r>
        <w:rPr>
          <w:rStyle w:val="CharStyle3"/>
          <w:lang w:eastAsia="en-US"/>
        </w:rPr>
        <w:softHyphen/>
        <w:t>ability to SM–atmosphere feedbacks and climate/earth sys</w:t>
      </w:r>
      <w:r>
        <w:rPr>
          <w:rStyle w:val="CharStyle3"/>
          <w:lang w:eastAsia="en-US"/>
        </w:rPr>
        <w:softHyphen/>
        <w:t xml:space="preserve">tem drivers, e.g. through climate-driven droughts </w:t>
      </w:r>
      <w:hyperlink w:anchor="bookmark104" w:tooltip="Current Document" w:history="1">
        <w:r>
          <w:rPr>
            <w:rStyle w:val="CharStyle3"/>
            <w:lang w:eastAsia="en-US"/>
          </w:rPr>
          <w:t>(Nemani</w:t>
        </w:r>
      </w:hyperlink>
      <w:r>
        <w:rPr>
          <w:rStyle w:val="CharStyle3"/>
          <w:lang w:eastAsia="en-US"/>
        </w:rPr>
        <w:t xml:space="preserve"> </w:t>
      </w:r>
      <w:hyperlink w:anchor="bookmark104" w:tooltip="Current Document" w:history="1">
        <w:r>
          <w:rPr>
            <w:rStyle w:val="CharStyle3"/>
            <w:lang w:eastAsia="en-US"/>
          </w:rPr>
          <w:t>et al., 2003;</w:t>
        </w:r>
      </w:hyperlink>
      <w:hyperlink w:anchor="bookmark101" w:tooltip="Current Document" w:history="1">
        <w:r>
          <w:rPr>
            <w:rStyle w:val="CharStyle3"/>
            <w:lang w:eastAsia="en-US"/>
          </w:rPr>
          <w:t xml:space="preserve"> Humphrey et al., 2021</w:t>
        </w:r>
      </w:hyperlink>
      <w:r>
        <w:rPr>
          <w:rStyle w:val="CharStyle3"/>
          <w:lang w:eastAsia="en-US"/>
        </w:rPr>
        <w:t>;</w:t>
      </w:r>
      <w:hyperlink w:anchor="bookmark144" w:tooltip="Current Document" w:history="1">
        <w:r>
          <w:rPr>
            <w:rStyle w:val="CharStyle3"/>
            <w:lang w:eastAsia="en-US"/>
          </w:rPr>
          <w:t xml:space="preserve"> Zhao and Running,</w:t>
        </w:r>
      </w:hyperlink>
      <w:r>
        <w:rPr>
          <w:rStyle w:val="CharStyle3"/>
          <w:lang w:eastAsia="en-US"/>
        </w:rPr>
        <w:t xml:space="preserve"> </w:t>
      </w:r>
      <w:hyperlink w:anchor="bookmark144" w:tooltip="Current Document" w:history="1">
        <w:r>
          <w:rPr>
            <w:rStyle w:val="CharStyle3"/>
            <w:lang w:eastAsia="en-US"/>
          </w:rPr>
          <w:t>2010)</w:t>
        </w:r>
      </w:hyperlink>
      <w:r>
        <w:rPr>
          <w:rStyle w:val="CharStyle3"/>
          <w:lang w:eastAsia="en-US"/>
        </w:rPr>
        <w:t xml:space="preserve">. There is evidence that individual extreme-weather events can coerce plant phenology, for instance, flowering, leaf senescence, and plant growth </w:t>
      </w:r>
      <w:hyperlink w:anchor="bookmark142" w:tooltip="Current Document" w:history="1">
        <w:r>
          <w:rPr>
            <w:rStyle w:val="CharStyle3"/>
            <w:lang w:eastAsia="en-US"/>
          </w:rPr>
          <w:t>(Ummenhofer and Meehl,</w:t>
        </w:r>
      </w:hyperlink>
      <w:r>
        <w:rPr>
          <w:rStyle w:val="CharStyle3"/>
          <w:lang w:eastAsia="en-US"/>
        </w:rPr>
        <w:t xml:space="preserve"> </w:t>
      </w:r>
      <w:hyperlink w:anchor="bookmark142" w:tooltip="Current Document" w:history="1">
        <w:r>
          <w:rPr>
            <w:rStyle w:val="CharStyle3"/>
            <w:lang w:eastAsia="en-US"/>
          </w:rPr>
          <w:t>2017)</w:t>
        </w:r>
      </w:hyperlink>
      <w:r>
        <w:rPr>
          <w:rStyle w:val="CharStyle3"/>
          <w:lang w:eastAsia="en-US"/>
        </w:rPr>
        <w:t>. Therefore, to predict ecosystem activity, it is essen</w:t>
      </w:r>
      <w:r>
        <w:rPr>
          <w:rStyle w:val="CharStyle3"/>
          <w:lang w:eastAsia="en-US"/>
        </w:rPr>
        <w:softHyphen/>
        <w:t xml:space="preserve">tial to identify the mechanisms of internal climate variability drivers that cause a response in ET. </w:t>
      </w:r>
      <w:r>
        <w:rPr>
          <w:rStyle w:val="CharStyle3"/>
          <w:lang w:eastAsia="en-US"/>
        </w:rPr>
        <w:lastRenderedPageBreak/>
        <w:t xml:space="preserve">Moreover, estimating the response of ET to climate variability drivers is also necessary to unravel the effects of climate change on hydrology </w:t>
      </w:r>
      <w:hyperlink w:anchor="bookmark80" w:tooltip="Current Document" w:history="1">
        <w:r>
          <w:rPr>
            <w:rStyle w:val="CharStyle3"/>
            <w:lang w:eastAsia="en-US"/>
          </w:rPr>
          <w:t>(IPCC,</w:t>
        </w:r>
      </w:hyperlink>
      <w:r>
        <w:rPr>
          <w:rStyle w:val="CharStyle3"/>
          <w:lang w:eastAsia="en-US"/>
        </w:rPr>
        <w:t xml:space="preserve"> </w:t>
      </w:r>
      <w:hyperlink w:anchor="bookmark80" w:tooltip="Current Document" w:history="1">
        <w:r>
          <w:rPr>
            <w:rStyle w:val="CharStyle3"/>
            <w:lang w:eastAsia="en-US"/>
          </w:rPr>
          <w:t>2021)</w:t>
        </w:r>
      </w:hyperlink>
      <w:r>
        <w:rPr>
          <w:rStyle w:val="CharStyle3"/>
          <w:lang w:eastAsia="en-US"/>
        </w:rPr>
        <w:t xml:space="preserve"> and to estimate irrigation requirements </w:t>
      </w:r>
      <w:hyperlink w:anchor="bookmark88" w:tooltip="Current Document" w:history="1">
        <w:r>
          <w:rPr>
            <w:rStyle w:val="CharStyle3"/>
            <w:lang w:eastAsia="en-US"/>
          </w:rPr>
          <w:t>(Kaune et al.,</w:t>
        </w:r>
      </w:hyperlink>
      <w:r>
        <w:rPr>
          <w:rStyle w:val="CharStyle3"/>
          <w:lang w:eastAsia="en-US"/>
        </w:rPr>
        <w:t xml:space="preserve"> </w:t>
      </w:r>
      <w:hyperlink w:anchor="bookmark88" w:tooltip="Current Document" w:history="1">
        <w:r>
          <w:rPr>
            <w:rStyle w:val="CharStyle3"/>
            <w:lang w:eastAsia="en-US"/>
          </w:rPr>
          <w:t>2019)</w:t>
        </w:r>
      </w:hyperlink>
      <w:r>
        <w:rPr>
          <w:rStyle w:val="CharStyle3"/>
          <w:lang w:eastAsia="en-US"/>
        </w:rPr>
        <w:t>.</w:t>
      </w:r>
    </w:p>
    <w:p w14:paraId="094C6CF7" w14:textId="77777777" w:rsidR="007857F3" w:rsidRDefault="007857F3">
      <w:pPr>
        <w:pStyle w:val="Style2"/>
        <w:ind w:firstLine="240"/>
        <w:jc w:val="both"/>
        <w:rPr>
          <w:rFonts w:ascii="Times New Roman" w:hAnsi="Times New Roman" w:cs="Times New Roman"/>
          <w:sz w:val="24"/>
          <w:szCs w:val="24"/>
        </w:rPr>
      </w:pPr>
      <w:r>
        <w:rPr>
          <w:rStyle w:val="CharStyle3"/>
          <w:lang w:eastAsia="en-US"/>
        </w:rPr>
        <w:t xml:space="preserve">In the following, we consider oceanic variability modes in the Pacific and Atlantic as drivers of the climate variability in the Amazon and Orinoco basins </w:t>
      </w:r>
      <w:hyperlink w:anchor="bookmark102" w:tooltip="Current Document" w:history="1">
        <w:r>
          <w:rPr>
            <w:rStyle w:val="CharStyle3"/>
            <w:lang w:eastAsia="en-US"/>
          </w:rPr>
          <w:t>(Lübbecke et al., 2018)</w:t>
        </w:r>
      </w:hyperlink>
      <w:r>
        <w:rPr>
          <w:rStyle w:val="CharStyle3"/>
          <w:lang w:eastAsia="en-US"/>
        </w:rPr>
        <w:t xml:space="preserve">. Some studies statistically looked at the Pacific and Atlantic joint effects on precipitation </w:t>
      </w:r>
      <w:hyperlink w:anchor="bookmark83" w:tooltip="Current Document" w:history="1">
        <w:r>
          <w:rPr>
            <w:rStyle w:val="CharStyle3"/>
            <w:lang w:eastAsia="en-US"/>
          </w:rPr>
          <w:t>(Gu and Adler, 2009;</w:t>
        </w:r>
      </w:hyperlink>
      <w:hyperlink w:anchor="bookmark122" w:tooltip="Current Document" w:history="1">
        <w:r>
          <w:rPr>
            <w:rStyle w:val="CharStyle3"/>
            <w:lang w:eastAsia="en-US"/>
          </w:rPr>
          <w:t xml:space="preserve"> Ron-</w:t>
        </w:r>
      </w:hyperlink>
      <w:r>
        <w:rPr>
          <w:rStyle w:val="CharStyle3"/>
          <w:lang w:eastAsia="en-US"/>
        </w:rPr>
        <w:t xml:space="preserve"> </w:t>
      </w:r>
      <w:hyperlink w:anchor="bookmark122" w:tooltip="Current Document" w:history="1">
        <w:r>
          <w:rPr>
            <w:rStyle w:val="CharStyle3"/>
            <w:lang w:eastAsia="en-US"/>
          </w:rPr>
          <w:t>chail et al., 2002)</w:t>
        </w:r>
      </w:hyperlink>
      <w:r>
        <w:rPr>
          <w:rStyle w:val="CharStyle3"/>
          <w:lang w:eastAsia="en-US"/>
        </w:rPr>
        <w:t xml:space="preserve">. Others studied the interannual changes in moisture transport dynamics – imposed by oceanic climatic drivers – and their associated rainfall anomalies over South America </w:t>
      </w:r>
      <w:hyperlink w:anchor="bookmark94" w:tooltip="Current Document" w:history="1">
        <w:r>
          <w:rPr>
            <w:rStyle w:val="CharStyle3"/>
            <w:lang w:eastAsia="en-US"/>
          </w:rPr>
          <w:t>(Hoyos et al., 2019;</w:t>
        </w:r>
      </w:hyperlink>
      <w:hyperlink w:anchor="bookmark130" w:tooltip="Current Document" w:history="1">
        <w:r>
          <w:rPr>
            <w:rStyle w:val="CharStyle3"/>
            <w:lang w:eastAsia="en-US"/>
          </w:rPr>
          <w:t xml:space="preserve"> Ruiz-Vásquez et al., 2024)</w:t>
        </w:r>
      </w:hyperlink>
      <w:r>
        <w:rPr>
          <w:rStyle w:val="CharStyle3"/>
          <w:lang w:eastAsia="en-US"/>
        </w:rPr>
        <w:t>. At</w:t>
      </w:r>
      <w:r>
        <w:rPr>
          <w:rStyle w:val="CharStyle3"/>
          <w:lang w:eastAsia="en-US"/>
        </w:rPr>
        <w:softHyphen/>
        <w:t xml:space="preserve">lantic trade wind strength and the precipitation anomalies are related to ocean variability modes such as the Tropical North Atlantic mode (TNA) </w:t>
      </w:r>
      <w:hyperlink w:anchor="bookmark47" w:tooltip="Current Document" w:history="1">
        <w:r>
          <w:rPr>
            <w:rStyle w:val="CharStyle3"/>
            <w:lang w:eastAsia="en-US"/>
          </w:rPr>
          <w:t>(Arias et al., 2015,</w:t>
        </w:r>
      </w:hyperlink>
      <w:hyperlink w:anchor="bookmark48" w:tooltip="Current Document" w:history="1">
        <w:r>
          <w:rPr>
            <w:rStyle w:val="CharStyle3"/>
            <w:lang w:eastAsia="en-US"/>
          </w:rPr>
          <w:t xml:space="preserve"> 2020;</w:t>
        </w:r>
      </w:hyperlink>
      <w:hyperlink w:anchor="bookmark66" w:tooltip="Current Document" w:history="1">
        <w:r>
          <w:rPr>
            <w:rStyle w:val="CharStyle3"/>
            <w:lang w:eastAsia="en-US"/>
          </w:rPr>
          <w:t xml:space="preserve"> En</w:t>
        </w:r>
        <w:r>
          <w:rPr>
            <w:rStyle w:val="CharStyle3"/>
            <w:lang w:eastAsia="en-US"/>
          </w:rPr>
          <w:softHyphen/>
        </w:r>
      </w:hyperlink>
      <w:hyperlink w:anchor="bookmark66" w:tooltip="Current Document" w:history="1">
        <w:r>
          <w:rPr>
            <w:rStyle w:val="CharStyle3"/>
            <w:lang w:eastAsia="en-US"/>
          </w:rPr>
          <w:t>field, 1996)</w:t>
        </w:r>
      </w:hyperlink>
      <w:r>
        <w:rPr>
          <w:rStyle w:val="CharStyle3"/>
          <w:lang w:eastAsia="en-US"/>
        </w:rPr>
        <w:t xml:space="preserve">, the Atlantic Meridional Mode (AMM) </w:t>
      </w:r>
      <w:hyperlink w:anchor="bookmark75" w:tooltip="Current Document" w:history="1">
        <w:r>
          <w:rPr>
            <w:rStyle w:val="CharStyle3"/>
            <w:lang w:eastAsia="en-US"/>
          </w:rPr>
          <w:t>(Chi</w:t>
        </w:r>
        <w:r>
          <w:rPr>
            <w:rStyle w:val="CharStyle3"/>
            <w:lang w:eastAsia="en-US"/>
          </w:rPr>
          <w:softHyphen/>
        </w:r>
      </w:hyperlink>
      <w:hyperlink w:anchor="bookmark75" w:tooltip="Current Document" w:history="1">
        <w:r>
          <w:rPr>
            <w:rStyle w:val="CharStyle3"/>
            <w:lang w:eastAsia="en-US"/>
          </w:rPr>
          <w:t>ang et al., 2002;</w:t>
        </w:r>
      </w:hyperlink>
      <w:hyperlink w:anchor="bookmark69" w:tooltip="Current Document" w:history="1">
        <w:r>
          <w:rPr>
            <w:rStyle w:val="CharStyle3"/>
            <w:lang w:eastAsia="en-US"/>
          </w:rPr>
          <w:t xml:space="preserve"> Fernandes et al., 2015;</w:t>
        </w:r>
      </w:hyperlink>
      <w:hyperlink w:anchor="bookmark123" w:tooltip="Current Document" w:history="1">
        <w:r>
          <w:rPr>
            <w:rStyle w:val="CharStyle3"/>
            <w:lang w:eastAsia="en-US"/>
          </w:rPr>
          <w:t xml:space="preserve"> Rodrigues and</w:t>
        </w:r>
      </w:hyperlink>
      <w:r>
        <w:rPr>
          <w:rStyle w:val="CharStyle3"/>
          <w:lang w:eastAsia="en-US"/>
        </w:rPr>
        <w:t xml:space="preserve"> </w:t>
      </w:r>
      <w:hyperlink w:anchor="bookmark123" w:tooltip="Current Document" w:history="1">
        <w:r>
          <w:rPr>
            <w:rStyle w:val="CharStyle3"/>
            <w:lang w:eastAsia="en-US"/>
          </w:rPr>
          <w:t>McPhaden, 2014</w:t>
        </w:r>
      </w:hyperlink>
      <w:r>
        <w:rPr>
          <w:rStyle w:val="CharStyle3"/>
          <w:lang w:eastAsia="en-US"/>
        </w:rPr>
        <w:t>;</w:t>
      </w:r>
      <w:hyperlink w:anchor="bookmark112" w:tooltip="Current Document" w:history="1">
        <w:r>
          <w:rPr>
            <w:rStyle w:val="CharStyle3"/>
            <w:lang w:eastAsia="en-US"/>
          </w:rPr>
          <w:t xml:space="preserve"> Paccini et al., 2021;</w:t>
        </w:r>
      </w:hyperlink>
      <w:hyperlink w:anchor="bookmark57" w:tooltip="Current Document" w:history="1">
        <w:r>
          <w:rPr>
            <w:rStyle w:val="CharStyle3"/>
            <w:lang w:eastAsia="en-US"/>
          </w:rPr>
          <w:t xml:space="preserve"> Drumond et al., 2014)</w:t>
        </w:r>
      </w:hyperlink>
      <w:r>
        <w:rPr>
          <w:rStyle w:val="CharStyle3"/>
          <w:lang w:eastAsia="en-US"/>
        </w:rPr>
        <w:t xml:space="preserve">, and the Atlantic Niño Equatorial mode (Atl3) </w:t>
      </w:r>
      <w:hyperlink w:anchor="bookmark128" w:tooltip="Current Document" w:history="1">
        <w:r>
          <w:rPr>
            <w:rStyle w:val="CharStyle3"/>
            <w:lang w:eastAsia="en-US"/>
          </w:rPr>
          <w:t>(Ruiz-Barradas</w:t>
        </w:r>
      </w:hyperlink>
      <w:r>
        <w:rPr>
          <w:rStyle w:val="CharStyle3"/>
          <w:lang w:eastAsia="en-US"/>
        </w:rPr>
        <w:t xml:space="preserve"> </w:t>
      </w:r>
      <w:hyperlink w:anchor="bookmark128" w:tooltip="Current Document" w:history="1">
        <w:r>
          <w:rPr>
            <w:rStyle w:val="CharStyle3"/>
            <w:lang w:eastAsia="en-US"/>
          </w:rPr>
          <w:t>et al., 2000;</w:t>
        </w:r>
      </w:hyperlink>
      <w:hyperlink w:anchor="bookmark138" w:tooltip="Current Document" w:history="1">
        <w:r>
          <w:rPr>
            <w:rStyle w:val="CharStyle3"/>
            <w:lang w:eastAsia="en-US"/>
          </w:rPr>
          <w:t xml:space="preserve"> Torralba et al., 2015;</w:t>
        </w:r>
      </w:hyperlink>
      <w:hyperlink w:anchor="bookmark146" w:tooltip="Current Document" w:history="1">
        <w:r>
          <w:rPr>
            <w:rStyle w:val="CharStyle3"/>
            <w:lang w:eastAsia="en-US"/>
          </w:rPr>
          <w:t xml:space="preserve"> </w:t>
        </w:r>
        <w:r>
          <w:rPr>
            <w:rStyle w:val="CharStyle3"/>
            <w:lang w:val="it-IT" w:eastAsia="it-IT"/>
          </w:rPr>
          <w:t xml:space="preserve">Vallès-Casanova </w:t>
        </w:r>
        <w:r>
          <w:rPr>
            <w:rStyle w:val="CharStyle3"/>
            <w:lang w:eastAsia="en-US"/>
          </w:rPr>
          <w:t>et al.,</w:t>
        </w:r>
      </w:hyperlink>
      <w:r>
        <w:rPr>
          <w:rStyle w:val="CharStyle3"/>
          <w:lang w:eastAsia="en-US"/>
        </w:rPr>
        <w:t xml:space="preserve"> </w:t>
      </w:r>
      <w:hyperlink w:anchor="bookmark146" w:tooltip="Current Document" w:history="1">
        <w:r>
          <w:rPr>
            <w:rStyle w:val="CharStyle3"/>
            <w:lang w:eastAsia="en-US"/>
          </w:rPr>
          <w:t>2020)</w:t>
        </w:r>
      </w:hyperlink>
      <w:r>
        <w:rPr>
          <w:rStyle w:val="CharStyle3"/>
          <w:lang w:eastAsia="en-US"/>
        </w:rPr>
        <w:t>. The Atlantic modes tend to be active and peak be</w:t>
      </w:r>
      <w:r>
        <w:rPr>
          <w:rStyle w:val="CharStyle3"/>
          <w:lang w:eastAsia="en-US"/>
        </w:rPr>
        <w:softHyphen/>
        <w:t xml:space="preserve">tween the austral autumn and spring – MAM, JJA, and SON (the initial letters of the months) – contrary to ENSO, which peaks at the end of the year (SON and D(0)JF(+1)). These Atlantic modes might have contributed to northeast Brazil droughts and the Magdalena River floods in 2011–2012, as well as the Amazon droughts in 2005 and 2010 </w:t>
      </w:r>
      <w:hyperlink w:anchor="bookmark98" w:tooltip="Current Document" w:history="1">
        <w:r>
          <w:rPr>
            <w:rStyle w:val="CharStyle3"/>
            <w:lang w:eastAsia="en-US"/>
          </w:rPr>
          <w:t>(Lopes</w:t>
        </w:r>
      </w:hyperlink>
      <w:r>
        <w:rPr>
          <w:rStyle w:val="CharStyle3"/>
          <w:lang w:eastAsia="en-US"/>
        </w:rPr>
        <w:t xml:space="preserve"> </w:t>
      </w:r>
      <w:hyperlink w:anchor="bookmark98" w:tooltip="Current Document" w:history="1">
        <w:r>
          <w:rPr>
            <w:rStyle w:val="CharStyle3"/>
            <w:lang w:eastAsia="en-US"/>
          </w:rPr>
          <w:t>et al., 2016;</w:t>
        </w:r>
      </w:hyperlink>
      <w:hyperlink w:anchor="bookmark106" w:tooltip="Current Document" w:history="1">
        <w:r>
          <w:rPr>
            <w:rStyle w:val="CharStyle3"/>
            <w:lang w:eastAsia="en-US"/>
          </w:rPr>
          <w:t xml:space="preserve"> Marengo and Espinoza, 2016)</w:t>
        </w:r>
      </w:hyperlink>
      <w:r>
        <w:rPr>
          <w:rStyle w:val="CharStyle3"/>
          <w:lang w:eastAsia="en-US"/>
        </w:rPr>
        <w:t>. Although the At</w:t>
      </w:r>
      <w:r>
        <w:rPr>
          <w:rStyle w:val="CharStyle3"/>
          <w:lang w:eastAsia="en-US"/>
        </w:rPr>
        <w:softHyphen/>
        <w:t xml:space="preserve">lantic modes are associated with ENSO through atmospheric bridges or extratropical pathways </w:t>
      </w:r>
      <w:hyperlink w:anchor="bookmark77" w:tooltip="Current Document" w:history="1">
        <w:r>
          <w:rPr>
            <w:rStyle w:val="CharStyle3"/>
            <w:lang w:eastAsia="en-US"/>
          </w:rPr>
          <w:t>(Compo and Sardeshmukh,</w:t>
        </w:r>
      </w:hyperlink>
      <w:r>
        <w:rPr>
          <w:rStyle w:val="CharStyle3"/>
          <w:lang w:eastAsia="en-US"/>
        </w:rPr>
        <w:t xml:space="preserve"> </w:t>
      </w:r>
      <w:hyperlink w:anchor="bookmark77" w:tooltip="Current Document" w:history="1">
        <w:r>
          <w:rPr>
            <w:rStyle w:val="CharStyle3"/>
            <w:lang w:eastAsia="en-US"/>
          </w:rPr>
          <w:t>2010;</w:t>
        </w:r>
      </w:hyperlink>
      <w:hyperlink w:anchor="bookmark114" w:tooltip="Current Document" w:history="1">
        <w:r>
          <w:rPr>
            <w:rStyle w:val="CharStyle3"/>
            <w:lang w:eastAsia="en-US"/>
          </w:rPr>
          <w:t xml:space="preserve"> Martín-Rey et al., 2014;</w:t>
        </w:r>
      </w:hyperlink>
      <w:hyperlink w:anchor="bookmark72" w:tooltip="Current Document" w:history="1">
        <w:r>
          <w:rPr>
            <w:rStyle w:val="CharStyle3"/>
            <w:lang w:eastAsia="en-US"/>
          </w:rPr>
          <w:t xml:space="preserve"> García-Serrano et al., 2017;</w:t>
        </w:r>
      </w:hyperlink>
      <w:r>
        <w:rPr>
          <w:rStyle w:val="CharStyle3"/>
          <w:lang w:eastAsia="en-US"/>
        </w:rPr>
        <w:t xml:space="preserve"> </w:t>
      </w:r>
      <w:hyperlink w:anchor="bookmark71" w:tooltip="Current Document" w:history="1">
        <w:r>
          <w:rPr>
            <w:rStyle w:val="CharStyle3"/>
            <w:lang w:eastAsia="en-US"/>
          </w:rPr>
          <w:t>Casselman et al., 2023)</w:t>
        </w:r>
      </w:hyperlink>
      <w:r>
        <w:rPr>
          <w:rStyle w:val="CharStyle3"/>
          <w:lang w:eastAsia="en-US"/>
        </w:rPr>
        <w:t>, each of them has specific regional impacts on sea level pressure (SLP) and hence on atmo</w:t>
      </w:r>
      <w:r>
        <w:rPr>
          <w:rStyle w:val="CharStyle3"/>
          <w:lang w:eastAsia="en-US"/>
        </w:rPr>
        <w:softHyphen/>
        <w:t>spheric circulation.</w:t>
      </w:r>
    </w:p>
    <w:p w14:paraId="53FCFAA0" w14:textId="77777777" w:rsidR="007857F3" w:rsidRDefault="007857F3">
      <w:pPr>
        <w:pStyle w:val="Style2"/>
        <w:ind w:firstLine="240"/>
        <w:jc w:val="both"/>
        <w:rPr>
          <w:rFonts w:ascii="Times New Roman" w:hAnsi="Times New Roman" w:cs="Times New Roman"/>
          <w:sz w:val="24"/>
          <w:szCs w:val="24"/>
        </w:rPr>
      </w:pPr>
      <w:r>
        <w:rPr>
          <w:rStyle w:val="CharStyle3"/>
          <w:lang w:eastAsia="en-US"/>
        </w:rPr>
        <w:t>However, the variability in evapotranspiration has received less attention than precipitation. Previous research has estab</w:t>
      </w:r>
      <w:r>
        <w:rPr>
          <w:rStyle w:val="CharStyle3"/>
          <w:lang w:eastAsia="en-US"/>
        </w:rPr>
        <w:softHyphen/>
        <w:t>lished SM and net radiation (Rn) as the primary local con</w:t>
      </w:r>
      <w:r>
        <w:rPr>
          <w:rStyle w:val="CharStyle3"/>
          <w:lang w:eastAsia="en-US"/>
        </w:rPr>
        <w:softHyphen/>
        <w:t xml:space="preserve">trollers of ET </w:t>
      </w:r>
      <w:hyperlink w:anchor="bookmark132" w:tooltip="Current Document" w:history="1">
        <w:r>
          <w:rPr>
            <w:rStyle w:val="CharStyle3"/>
            <w:lang w:eastAsia="en-US"/>
          </w:rPr>
          <w:t>(Seneviratne et al., 2010;</w:t>
        </w:r>
      </w:hyperlink>
      <w:hyperlink w:anchor="bookmark92" w:tooltip="Current Document" w:history="1">
        <w:r>
          <w:rPr>
            <w:rStyle w:val="CharStyle3"/>
            <w:lang w:eastAsia="en-US"/>
          </w:rPr>
          <w:t xml:space="preserve"> Hirschi et al., 2014)</w:t>
        </w:r>
      </w:hyperlink>
      <w:r>
        <w:rPr>
          <w:rStyle w:val="CharStyle3"/>
          <w:lang w:eastAsia="en-US"/>
        </w:rPr>
        <w:t>; consequently, ET is classified into two regimes: water limited or energy limited. The annual cycle and the location of the regimes are not known in South America and are important to understand ET variability. Some studies have statistically in</w:t>
      </w:r>
      <w:r>
        <w:rPr>
          <w:rStyle w:val="CharStyle3"/>
          <w:lang w:eastAsia="en-US"/>
        </w:rPr>
        <w:softHyphen/>
        <w:t xml:space="preserve">vestigated the teleconnections of ENSO </w:t>
      </w:r>
      <w:hyperlink w:anchor="bookmark124" w:tooltip="Current Document" w:history="1">
        <w:r>
          <w:rPr>
            <w:rStyle w:val="CharStyle3"/>
            <w:lang w:eastAsia="en-US"/>
          </w:rPr>
          <w:t>(Moura et al., 2019;</w:t>
        </w:r>
      </w:hyperlink>
      <w:r>
        <w:rPr>
          <w:rStyle w:val="CharStyle3"/>
          <w:lang w:eastAsia="en-US"/>
        </w:rPr>
        <w:t xml:space="preserve"> </w:t>
      </w:r>
      <w:hyperlink w:anchor="bookmark93" w:tooltip="Current Document" w:history="1">
        <w:r>
          <w:rPr>
            <w:rStyle w:val="CharStyle3"/>
            <w:lang w:eastAsia="en-US"/>
          </w:rPr>
          <w:t>Le and Bae, 2020;</w:t>
        </w:r>
      </w:hyperlink>
      <w:hyperlink w:anchor="bookmark118" w:tooltip="Current Document" w:history="1">
        <w:r>
          <w:rPr>
            <w:rStyle w:val="CharStyle3"/>
            <w:lang w:eastAsia="en-US"/>
          </w:rPr>
          <w:t xml:space="preserve"> Miralles et al., 2014)</w:t>
        </w:r>
      </w:hyperlink>
      <w:r>
        <w:rPr>
          <w:rStyle w:val="CharStyle3"/>
          <w:lang w:eastAsia="en-US"/>
        </w:rPr>
        <w:t xml:space="preserve"> or other climate drivers with the ET around the world </w:t>
      </w:r>
      <w:hyperlink w:anchor="bookmark113" w:tooltip="Current Document" w:history="1">
        <w:r>
          <w:rPr>
            <w:rStyle w:val="CharStyle3"/>
            <w:lang w:eastAsia="en-US"/>
          </w:rPr>
          <w:t>(Martens et al., 2018)</w:t>
        </w:r>
      </w:hyperlink>
      <w:r>
        <w:rPr>
          <w:rStyle w:val="CharStyle3"/>
          <w:lang w:eastAsia="en-US"/>
        </w:rPr>
        <w:t>, but the physical causes</w:t>
      </w:r>
      <w:r>
        <w:rPr>
          <w:rStyle w:val="CharStyle3"/>
          <w:lang w:eastAsia="en-US"/>
        </w:rPr>
        <w:t xml:space="preserve"> of these connections are not known. Specifically, it is not known how the interannual changes in moisture transport impact net radiation. In our paper, we fo</w:t>
      </w:r>
      <w:r>
        <w:rPr>
          <w:rStyle w:val="CharStyle3"/>
          <w:lang w:eastAsia="en-US"/>
        </w:rPr>
        <w:softHyphen/>
        <w:t xml:space="preserve">cus on the Atlantic modes, which have received less attention in the literature. Moisture recycling is another factor that can impact surface radiation, but previous studies have focused on its impact on regional and distant precipitation rather than on radiation </w:t>
      </w:r>
      <w:hyperlink w:anchor="bookmark134" w:tooltip="Current Document" w:history="1">
        <w:r>
          <w:rPr>
            <w:rStyle w:val="CharStyle3"/>
            <w:lang w:eastAsia="en-US"/>
          </w:rPr>
          <w:t>(Staal et al., 2018;</w:t>
        </w:r>
      </w:hyperlink>
      <w:hyperlink w:anchor="bookmark131" w:tooltip="Current Document" w:history="1">
        <w:r>
          <w:rPr>
            <w:rStyle w:val="CharStyle3"/>
            <w:lang w:eastAsia="en-US"/>
          </w:rPr>
          <w:t xml:space="preserve"> Wang-Erlandsson et al., 2018;</w:t>
        </w:r>
      </w:hyperlink>
      <w:r>
        <w:rPr>
          <w:rStyle w:val="CharStyle3"/>
          <w:lang w:eastAsia="en-US"/>
        </w:rPr>
        <w:t xml:space="preserve"> </w:t>
      </w:r>
      <w:hyperlink w:anchor="bookmark140" w:tooltip="Current Document" w:history="1">
        <w:r>
          <w:rPr>
            <w:rStyle w:val="CharStyle3"/>
            <w:lang w:eastAsia="en-US"/>
          </w:rPr>
          <w:t>Zemp et al., 2014;</w:t>
        </w:r>
      </w:hyperlink>
      <w:hyperlink w:anchor="bookmark129" w:tooltip="Current Document" w:history="1">
        <w:r>
          <w:rPr>
            <w:rStyle w:val="CharStyle3"/>
            <w:lang w:eastAsia="en-US"/>
          </w:rPr>
          <w:t xml:space="preserve"> van der Ent and Savenije, 2011)</w:t>
        </w:r>
      </w:hyperlink>
      <w:r>
        <w:rPr>
          <w:rStyle w:val="CharStyle3"/>
          <w:lang w:eastAsia="en-US"/>
        </w:rPr>
        <w:t>. Other re</w:t>
      </w:r>
      <w:r>
        <w:rPr>
          <w:rStyle w:val="CharStyle3"/>
          <w:lang w:eastAsia="en-US"/>
        </w:rPr>
        <w:softHyphen/>
        <w:t xml:space="preserve">search has looked at the influence of Amazon soil moisture memory on ET </w:t>
      </w:r>
      <w:hyperlink w:anchor="bookmark139" w:tooltip="Current Document" w:history="1">
        <w:r>
          <w:rPr>
            <w:rStyle w:val="CharStyle3"/>
            <w:lang w:eastAsia="en-US"/>
          </w:rPr>
          <w:t>(Zanin et al., 2024)</w:t>
        </w:r>
      </w:hyperlink>
      <w:r>
        <w:rPr>
          <w:rStyle w:val="CharStyle3"/>
          <w:lang w:eastAsia="en-US"/>
        </w:rPr>
        <w:t xml:space="preserve"> or how anomalous mois</w:t>
      </w:r>
      <w:r>
        <w:rPr>
          <w:rStyle w:val="CharStyle3"/>
          <w:lang w:eastAsia="en-US"/>
        </w:rPr>
        <w:softHyphen/>
        <w:t>ture transport from the TNA affects SM and vegetation in</w:t>
      </w:r>
      <w:r>
        <w:rPr>
          <w:rStyle w:val="CharStyle3"/>
          <w:lang w:eastAsia="en-US"/>
        </w:rPr>
        <w:softHyphen/>
        <w:t xml:space="preserve">dices </w:t>
      </w:r>
      <w:hyperlink w:anchor="bookmark48" w:tooltip="Current Document" w:history="1">
        <w:r>
          <w:rPr>
            <w:rStyle w:val="CharStyle3"/>
            <w:lang w:eastAsia="en-US"/>
          </w:rPr>
          <w:t>(Arias et al., 2020)</w:t>
        </w:r>
      </w:hyperlink>
      <w:r>
        <w:rPr>
          <w:rStyle w:val="CharStyle3"/>
          <w:lang w:eastAsia="en-US"/>
        </w:rPr>
        <w:t>, but other Atlantic modes have been overlooked.</w:t>
      </w:r>
    </w:p>
    <w:p w14:paraId="2B279D20" w14:textId="77777777" w:rsidR="007857F3" w:rsidRDefault="007857F3">
      <w:pPr>
        <w:pStyle w:val="Style2"/>
        <w:spacing w:after="200"/>
        <w:ind w:firstLine="180"/>
        <w:jc w:val="both"/>
        <w:rPr>
          <w:rFonts w:ascii="Times New Roman" w:hAnsi="Times New Roman" w:cs="Times New Roman"/>
          <w:sz w:val="24"/>
          <w:szCs w:val="24"/>
        </w:rPr>
      </w:pPr>
      <w:r>
        <w:rPr>
          <w:rStyle w:val="CharStyle3"/>
          <w:lang w:eastAsia="en-US"/>
        </w:rPr>
        <w:t xml:space="preserve">Consequently, it is still not known how the variations in regional atmospheric circulation – driven by the Atlantic modes – alter local continental atmospheric conditions and afterwards </w:t>
      </w:r>
      <w:r>
        <w:rPr>
          <w:rStyle w:val="CharStyle3"/>
          <w:lang w:eastAsia="en-US"/>
        </w:rPr>
        <w:t>affect net surface radiation and soil moisture, the two key local controllers of ET. We refer to the latter as the physical mechanisms of the teleconnection, which con</w:t>
      </w:r>
      <w:r>
        <w:rPr>
          <w:rStyle w:val="CharStyle3"/>
          <w:lang w:eastAsia="en-US"/>
        </w:rPr>
        <w:softHyphen/>
        <w:t xml:space="preserve">sist of a chain of progressive physical processes. Ecological processes respond to the variability in hydrometeorological conditions </w:t>
      </w:r>
      <w:hyperlink w:anchor="bookmark60" w:tooltip="Current Document" w:history="1">
        <w:r>
          <w:rPr>
            <w:rStyle w:val="CharStyle3"/>
            <w:lang w:eastAsia="en-US"/>
          </w:rPr>
          <w:t>(Eagleson, 2013)</w:t>
        </w:r>
      </w:hyperlink>
      <w:r>
        <w:rPr>
          <w:rStyle w:val="CharStyle3"/>
          <w:lang w:eastAsia="en-US"/>
        </w:rPr>
        <w:t>; by understanding the mecha</w:t>
      </w:r>
      <w:r>
        <w:rPr>
          <w:rStyle w:val="CharStyle3"/>
          <w:lang w:eastAsia="en-US"/>
        </w:rPr>
        <w:softHyphen/>
        <w:t>nisms leading to that variability, the community can increase the potential predictability of ecosystem activity. Therefore, this study aims to investigate the physical causes of the link of the AMM and Atl3 with ET in tropical South America at seasonal scale. Other drivers (the Indian Ocean Dipole mode, the Atlantic Multidecadal Oscillation (AMO), etc.) are ex</w:t>
      </w:r>
      <w:r>
        <w:rPr>
          <w:rStyle w:val="CharStyle3"/>
          <w:lang w:eastAsia="en-US"/>
        </w:rPr>
        <w:softHyphen/>
        <w:t>cluded from our study (see Sects.</w:t>
      </w:r>
      <w:hyperlink w:anchor="bookmark10" w:tooltip="Current Document" w:history="1">
        <w:r>
          <w:rPr>
            <w:rStyle w:val="CharStyle3"/>
            <w:lang w:eastAsia="en-US"/>
          </w:rPr>
          <w:t xml:space="preserve"> 3 </w:t>
        </w:r>
      </w:hyperlink>
      <w:r>
        <w:rPr>
          <w:rStyle w:val="CharStyle3"/>
          <w:lang w:eastAsia="en-US"/>
        </w:rPr>
        <w:t>and</w:t>
      </w:r>
      <w:hyperlink w:anchor="bookmark36" w:tooltip="Current Document" w:history="1">
        <w:r>
          <w:rPr>
            <w:rStyle w:val="CharStyle3"/>
            <w:lang w:eastAsia="en-US"/>
          </w:rPr>
          <w:t xml:space="preserve"> 5)</w:t>
        </w:r>
      </w:hyperlink>
      <w:r>
        <w:rPr>
          <w:rStyle w:val="CharStyle3"/>
          <w:lang w:eastAsia="en-US"/>
        </w:rPr>
        <w:t>. Moisture recy</w:t>
      </w:r>
      <w:r>
        <w:rPr>
          <w:rStyle w:val="CharStyle3"/>
          <w:lang w:eastAsia="en-US"/>
        </w:rPr>
        <w:softHyphen/>
        <w:t>cling is only briefly discussed in Sect.</w:t>
      </w:r>
      <w:hyperlink w:anchor="bookmark36" w:tooltip="Current Document" w:history="1">
        <w:r>
          <w:rPr>
            <w:rStyle w:val="CharStyle3"/>
            <w:lang w:eastAsia="en-US"/>
          </w:rPr>
          <w:t xml:space="preserve"> 5.</w:t>
        </w:r>
      </w:hyperlink>
      <w:r>
        <w:rPr>
          <w:rStyle w:val="CharStyle3"/>
          <w:lang w:eastAsia="en-US"/>
        </w:rPr>
        <w:t xml:space="preserve"> We aim to answer the following questions:</w:t>
      </w:r>
    </w:p>
    <w:p w14:paraId="29C395AA" w14:textId="77777777" w:rsidR="007857F3" w:rsidRDefault="007857F3">
      <w:pPr>
        <w:pStyle w:val="Style2"/>
        <w:numPr>
          <w:ilvl w:val="0"/>
          <w:numId w:val="3"/>
        </w:numPr>
        <w:tabs>
          <w:tab w:val="left" w:pos="435"/>
        </w:tabs>
        <w:spacing w:after="200" w:line="295" w:lineRule="auto"/>
        <w:ind w:left="420" w:hanging="240"/>
        <w:jc w:val="both"/>
        <w:rPr>
          <w:sz w:val="24"/>
          <w:szCs w:val="24"/>
        </w:rPr>
      </w:pPr>
      <w:r>
        <w:rPr>
          <w:rStyle w:val="CharStyle3"/>
          <w:lang w:eastAsia="en-US"/>
        </w:rPr>
        <w:t>Where and in which season is the evapotranspiration dominated by a water- or energy-limited regime?</w:t>
      </w:r>
    </w:p>
    <w:p w14:paraId="4F5167B5" w14:textId="77777777" w:rsidR="007857F3" w:rsidRDefault="007857F3">
      <w:pPr>
        <w:pStyle w:val="Style2"/>
        <w:numPr>
          <w:ilvl w:val="0"/>
          <w:numId w:val="3"/>
        </w:numPr>
        <w:tabs>
          <w:tab w:val="left" w:pos="450"/>
        </w:tabs>
        <w:spacing w:after="200"/>
        <w:ind w:left="420" w:hanging="240"/>
        <w:jc w:val="both"/>
        <w:rPr>
          <w:sz w:val="24"/>
          <w:szCs w:val="24"/>
        </w:rPr>
      </w:pPr>
      <w:r>
        <w:rPr>
          <w:rStyle w:val="CharStyle3"/>
          <w:lang w:eastAsia="en-US"/>
        </w:rPr>
        <w:t>How do the Atlantic modes drive anomalous atmo</w:t>
      </w:r>
      <w:r>
        <w:rPr>
          <w:rStyle w:val="CharStyle3"/>
          <w:lang w:eastAsia="en-US"/>
        </w:rPr>
        <w:softHyphen/>
        <w:t>spheric circulation and influence the variability in local atmospheric conditions, and how do they then affect the local controllers and thus affect evapotranspiration?</w:t>
      </w:r>
    </w:p>
    <w:p w14:paraId="01047981" w14:textId="77777777" w:rsidR="007857F3" w:rsidRDefault="007857F3">
      <w:pPr>
        <w:pStyle w:val="Style2"/>
        <w:numPr>
          <w:ilvl w:val="0"/>
          <w:numId w:val="3"/>
        </w:numPr>
        <w:tabs>
          <w:tab w:val="left" w:pos="450"/>
        </w:tabs>
        <w:spacing w:after="440" w:line="295" w:lineRule="auto"/>
        <w:ind w:left="420" w:hanging="240"/>
        <w:jc w:val="both"/>
        <w:rPr>
          <w:sz w:val="24"/>
          <w:szCs w:val="24"/>
        </w:rPr>
      </w:pPr>
      <w:r>
        <w:rPr>
          <w:rStyle w:val="CharStyle3"/>
          <w:lang w:eastAsia="en-US"/>
        </w:rPr>
        <w:t>Where do the dynamics and, thus, the impacts of the Atlantic modes overlap with those of ENSO in time and space?</w:t>
      </w:r>
    </w:p>
    <w:p w14:paraId="23B5E8D0" w14:textId="77777777" w:rsidR="007857F3" w:rsidRDefault="007857F3">
      <w:pPr>
        <w:pStyle w:val="Style2"/>
        <w:numPr>
          <w:ilvl w:val="0"/>
          <w:numId w:val="2"/>
        </w:numPr>
        <w:tabs>
          <w:tab w:val="left" w:pos="380"/>
        </w:tabs>
        <w:spacing w:after="200"/>
        <w:jc w:val="both"/>
        <w:rPr>
          <w:sz w:val="24"/>
          <w:szCs w:val="24"/>
        </w:rPr>
      </w:pPr>
      <w:r>
        <w:rPr>
          <w:rStyle w:val="CharStyle3"/>
          <w:lang w:eastAsia="en-US"/>
        </w:rPr>
        <w:t>Data</w:t>
      </w:r>
    </w:p>
    <w:p w14:paraId="14B127B7" w14:textId="77777777" w:rsidR="007857F3" w:rsidRDefault="007857F3">
      <w:pPr>
        <w:pStyle w:val="Style2"/>
        <w:jc w:val="both"/>
        <w:rPr>
          <w:rFonts w:ascii="Times New Roman" w:hAnsi="Times New Roman" w:cs="Times New Roman"/>
          <w:sz w:val="24"/>
          <w:szCs w:val="24"/>
        </w:rPr>
      </w:pPr>
      <w:r>
        <w:rPr>
          <w:rStyle w:val="CharStyle3"/>
          <w:lang w:eastAsia="en-US"/>
        </w:rPr>
        <w:t>This study uses net radiation, soil moisture (SM), and ET, as well as atmospheric circulation variables, such as SLP, winds, moisture transport, convergence, and rainfall. We use those atmospheric variables because ocean–atmospheric modes drive the regional atmospheric circulation, which af</w:t>
      </w:r>
      <w:r>
        <w:rPr>
          <w:rStyle w:val="CharStyle3"/>
          <w:lang w:eastAsia="en-US"/>
        </w:rPr>
        <w:softHyphen/>
        <w:t>terwards influences the local ET controllers. Sea surface tem</w:t>
      </w:r>
      <w:r>
        <w:rPr>
          <w:rStyle w:val="CharStyle3"/>
          <w:lang w:eastAsia="en-US"/>
        </w:rPr>
        <w:softHyphen/>
        <w:t>perature anomalies (SSTAs) are used to identify the ocean– atmospheric modes (Sect.</w:t>
      </w:r>
      <w:hyperlink w:anchor="bookmark10" w:tooltip="Current Document" w:history="1">
        <w:r>
          <w:rPr>
            <w:rStyle w:val="CharStyle3"/>
            <w:lang w:eastAsia="en-US"/>
          </w:rPr>
          <w:t xml:space="preserve"> 3)</w:t>
        </w:r>
      </w:hyperlink>
      <w:r>
        <w:rPr>
          <w:rStyle w:val="CharStyle3"/>
          <w:lang w:eastAsia="en-US"/>
        </w:rPr>
        <w:t>. All datasets are downloaded at the monthly timescale and used between December 1979 and November 2020 (except for satellite-based soil moisture; details are in Sect.</w:t>
      </w:r>
      <w:hyperlink w:anchor="bookmark9" w:tooltip="Current Document" w:history="1">
        <w:r>
          <w:rPr>
            <w:rStyle w:val="CharStyle3"/>
            <w:lang w:eastAsia="en-US"/>
          </w:rPr>
          <w:t xml:space="preserve"> 2.2)</w:t>
        </w:r>
      </w:hyperlink>
      <w:r>
        <w:rPr>
          <w:rStyle w:val="CharStyle3"/>
          <w:lang w:eastAsia="en-US"/>
        </w:rPr>
        <w:t>; they are aggregated at the seasonal scale and are analysed for each season individually and syn</w:t>
      </w:r>
      <w:r>
        <w:rPr>
          <w:rStyle w:val="CharStyle3"/>
          <w:lang w:eastAsia="en-US"/>
        </w:rPr>
        <w:softHyphen/>
        <w:t xml:space="preserve">chronously. The aggregation method for all variables is the average of the three monthly values, except for precipitation and ET, where we use the sums </w:t>
      </w:r>
      <w:hyperlink w:anchor="bookmark61" w:tooltip="Current Document" w:history="1">
        <w:r>
          <w:rPr>
            <w:rStyle w:val="CharStyle3"/>
            <w:lang w:eastAsia="en-US"/>
          </w:rPr>
          <w:t>(Duque-Gardeazabal, 2025)</w:t>
        </w:r>
      </w:hyperlink>
      <w:r>
        <w:rPr>
          <w:rStyle w:val="CharStyle3"/>
          <w:lang w:eastAsia="en-US"/>
        </w:rPr>
        <w:t>.</w:t>
      </w:r>
    </w:p>
    <w:p w14:paraId="6B4D66A4"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Satellite and reanalysis data sources each have strengths and limitations. Satellite data can provide some of the needed data, mainly over land, but moisture transport is not available from this source. Reanalysis data are considered physically based interpolations of observations and provide atmospheric variables that satellites do not directly acquire. Satellite</w:t>
      </w:r>
      <w:r>
        <w:rPr>
          <w:rStyle w:val="CharStyle3"/>
          <w:lang w:eastAsia="en-US"/>
        </w:rPr>
        <w:softHyphen/>
        <w:t xml:space="preserve">based datasets have difficulties measuring soil moisture over densely forested canopies </w:t>
      </w:r>
      <w:hyperlink w:anchor="bookmark62" w:tooltip="Current Document" w:history="1">
        <w:r>
          <w:rPr>
            <w:rStyle w:val="CharStyle3"/>
            <w:lang w:eastAsia="en-US"/>
          </w:rPr>
          <w:t>(Beck et al., 2021)</w:t>
        </w:r>
      </w:hyperlink>
      <w:r>
        <w:rPr>
          <w:rStyle w:val="CharStyle3"/>
          <w:lang w:eastAsia="en-US"/>
        </w:rPr>
        <w:t xml:space="preserve">. Errors in the root zone SM compromise the estimation of plant water stress and, thus, the skill of the ET estimate. On the other hand, simulations of ET that ingest reanalysis outputs might inherit their biases </w:t>
      </w:r>
      <w:hyperlink w:anchor="bookmark76" w:tooltip="Current Document" w:history="1">
        <w:r>
          <w:rPr>
            <w:rStyle w:val="CharStyle3"/>
            <w:lang w:eastAsia="en-US"/>
          </w:rPr>
          <w:t>(Gebrechorkos et al., 2024</w:t>
        </w:r>
      </w:hyperlink>
      <w:r>
        <w:rPr>
          <w:rStyle w:val="CharStyle3"/>
          <w:lang w:eastAsia="en-US"/>
        </w:rPr>
        <w:t>;</w:t>
      </w:r>
      <w:hyperlink w:anchor="bookmark145" w:tooltip="Current Document" w:history="1">
        <w:r>
          <w:rPr>
            <w:rStyle w:val="CharStyle3"/>
            <w:lang w:eastAsia="en-US"/>
          </w:rPr>
          <w:t xml:space="preserve"> Valencia et al.,</w:t>
        </w:r>
      </w:hyperlink>
      <w:r>
        <w:rPr>
          <w:rStyle w:val="CharStyle3"/>
          <w:lang w:eastAsia="en-US"/>
        </w:rPr>
        <w:t xml:space="preserve"> </w:t>
      </w:r>
      <w:hyperlink w:anchor="bookmark145" w:tooltip="Current Document" w:history="1">
        <w:r>
          <w:rPr>
            <w:rStyle w:val="CharStyle3"/>
            <w:lang w:eastAsia="en-US"/>
          </w:rPr>
          <w:t>2023)</w:t>
        </w:r>
      </w:hyperlink>
      <w:r>
        <w:rPr>
          <w:rStyle w:val="CharStyle3"/>
          <w:lang w:eastAsia="en-US"/>
        </w:rPr>
        <w:t>. Although the performance</w:t>
      </w:r>
      <w:r>
        <w:rPr>
          <w:rStyle w:val="CharStyle3"/>
          <w:lang w:eastAsia="en-US"/>
        </w:rPr>
        <w:t xml:space="preserve"> of both data sources has improved in recent years </w:t>
      </w:r>
      <w:hyperlink w:anchor="bookmark62" w:tooltip="Current Document" w:history="1">
        <w:r>
          <w:rPr>
            <w:rStyle w:val="CharStyle3"/>
            <w:lang w:eastAsia="en-US"/>
          </w:rPr>
          <w:t>(Beck et al., 2021;</w:t>
        </w:r>
      </w:hyperlink>
      <w:hyperlink w:anchor="bookmark135" w:tooltip="Current Document" w:history="1">
        <w:r>
          <w:rPr>
            <w:rStyle w:val="CharStyle3"/>
            <w:lang w:eastAsia="en-US"/>
          </w:rPr>
          <w:t xml:space="preserve"> Xie et al., 2024)</w:t>
        </w:r>
      </w:hyperlink>
      <w:r>
        <w:rPr>
          <w:rStyle w:val="CharStyle3"/>
          <w:lang w:eastAsia="en-US"/>
        </w:rPr>
        <w:t xml:space="preserve">, their estimates remain uncertain, and confidence in their inter-annual dynamics rests on </w:t>
      </w:r>
      <w:r>
        <w:rPr>
          <w:rStyle w:val="CharStyle3"/>
          <w:lang w:eastAsia="en-US"/>
        </w:rPr>
        <w:lastRenderedPageBreak/>
        <w:t>the fact that the analysed sig</w:t>
      </w:r>
      <w:r>
        <w:rPr>
          <w:rStyle w:val="CharStyle3"/>
          <w:lang w:eastAsia="en-US"/>
        </w:rPr>
        <w:softHyphen/>
        <w:t>nals are evident in independent datasets. Therefore, we look for consistency in the dynamics of both sources of informa</w:t>
      </w:r>
      <w:r>
        <w:rPr>
          <w:rStyle w:val="CharStyle3"/>
          <w:lang w:eastAsia="en-US"/>
        </w:rPr>
        <w:softHyphen/>
        <w:t>tion; we do not regrid and do not merge any datasets because we do not perform operations between them. We display the datasets conjointly when necessary and analyse the dynamics unfolding in both data sources (Table</w:t>
      </w:r>
      <w:hyperlink w:anchor="bookmark0" w:tooltip="Current Document" w:history="1">
        <w:r>
          <w:rPr>
            <w:rStyle w:val="CharStyle3"/>
            <w:lang w:eastAsia="en-US"/>
          </w:rPr>
          <w:t xml:space="preserve"> 1)</w:t>
        </w:r>
      </w:hyperlink>
      <w:r>
        <w:rPr>
          <w:rStyle w:val="CharStyle3"/>
          <w:lang w:eastAsia="en-US"/>
        </w:rPr>
        <w:t>.</w:t>
      </w:r>
    </w:p>
    <w:p w14:paraId="13678AE5" w14:textId="77777777" w:rsidR="007857F3" w:rsidRDefault="007857F3">
      <w:pPr>
        <w:pStyle w:val="Style2"/>
        <w:spacing w:after="200"/>
        <w:ind w:firstLine="220"/>
        <w:jc w:val="both"/>
        <w:rPr>
          <w:rFonts w:ascii="Times New Roman" w:hAnsi="Times New Roman" w:cs="Times New Roman"/>
          <w:sz w:val="24"/>
          <w:szCs w:val="24"/>
        </w:rPr>
      </w:pPr>
      <w:r>
        <w:rPr>
          <w:rStyle w:val="CharStyle3"/>
          <w:lang w:eastAsia="en-US"/>
        </w:rPr>
        <w:t>We use SSTAs from the Extended Reconstructed SST ver</w:t>
      </w:r>
      <w:r>
        <w:rPr>
          <w:rStyle w:val="CharStyle3"/>
          <w:lang w:eastAsia="en-US"/>
        </w:rPr>
        <w:softHyphen/>
        <w:t xml:space="preserve">sion 5 </w:t>
      </w:r>
      <w:hyperlink w:anchor="bookmark99" w:tooltip="Current Document" w:history="1">
        <w:r>
          <w:rPr>
            <w:rStyle w:val="CharStyle3"/>
            <w:lang w:eastAsia="en-US"/>
          </w:rPr>
          <w:t>(Huang et al., 2017)</w:t>
        </w:r>
      </w:hyperlink>
      <w:r>
        <w:rPr>
          <w:rStyle w:val="CharStyle3"/>
          <w:lang w:eastAsia="en-US"/>
        </w:rPr>
        <w:t xml:space="preserve"> – which is used as the primary dataset – and the Hadley Center Sea Ice and SST version 4.0.1 </w:t>
      </w:r>
      <w:hyperlink w:anchor="bookmark90" w:tooltip="Current Document" w:history="1">
        <w:r>
          <w:rPr>
            <w:rStyle w:val="CharStyle3"/>
            <w:lang w:eastAsia="en-US"/>
          </w:rPr>
          <w:t>(Kennedy et al., 2019)</w:t>
        </w:r>
      </w:hyperlink>
      <w:r>
        <w:rPr>
          <w:rStyle w:val="CharStyle3"/>
          <w:lang w:eastAsia="en-US"/>
        </w:rPr>
        <w:t>. ERSST is at a 2°, and HadSST is at a 5° resolution.</w:t>
      </w:r>
    </w:p>
    <w:p w14:paraId="06481EE1" w14:textId="77777777" w:rsidR="007857F3" w:rsidRDefault="007857F3">
      <w:pPr>
        <w:pStyle w:val="Style21"/>
        <w:keepNext/>
        <w:keepLines/>
        <w:numPr>
          <w:ilvl w:val="1"/>
          <w:numId w:val="2"/>
        </w:numPr>
        <w:tabs>
          <w:tab w:val="left" w:pos="451"/>
        </w:tabs>
        <w:spacing w:after="200"/>
        <w:ind w:left="0" w:firstLine="0"/>
        <w:jc w:val="both"/>
        <w:rPr>
          <w:sz w:val="24"/>
          <w:szCs w:val="24"/>
        </w:rPr>
      </w:pPr>
      <w:bookmarkStart w:id="2" w:name="bookmark7"/>
      <w:r>
        <w:rPr>
          <w:rStyle w:val="CharStyle22"/>
          <w:lang w:eastAsia="en-US"/>
        </w:rPr>
        <w:t>Reanalysis</w:t>
      </w:r>
      <w:bookmarkEnd w:id="2"/>
    </w:p>
    <w:p w14:paraId="17D54D3F" w14:textId="77777777" w:rsidR="007857F3" w:rsidRDefault="007857F3">
      <w:pPr>
        <w:pStyle w:val="Style2"/>
        <w:jc w:val="both"/>
        <w:rPr>
          <w:rFonts w:ascii="Times New Roman" w:hAnsi="Times New Roman" w:cs="Times New Roman"/>
          <w:sz w:val="24"/>
          <w:szCs w:val="24"/>
        </w:rPr>
      </w:pPr>
      <w:r>
        <w:rPr>
          <w:rStyle w:val="CharStyle3"/>
          <w:lang w:eastAsia="en-US"/>
        </w:rPr>
        <w:t>The European Centre for Medium-range Weather Forecast</w:t>
      </w:r>
      <w:r>
        <w:rPr>
          <w:rStyle w:val="CharStyle3"/>
          <w:lang w:eastAsia="en-US"/>
        </w:rPr>
        <w:softHyphen/>
        <w:t>ing (ECMWF) ERA5 reanalysis provides information on at</w:t>
      </w:r>
      <w:r>
        <w:rPr>
          <w:rStyle w:val="CharStyle3"/>
          <w:lang w:eastAsia="en-US"/>
        </w:rPr>
        <w:softHyphen/>
        <w:t xml:space="preserve">mospheric variables that influence the local controllers of evapotranspiration and also relate to the dynamics of the coupled ocean–atmospheric modes </w:t>
      </w:r>
      <w:hyperlink w:anchor="bookmark89" w:tooltip="Current Document" w:history="1">
        <w:r>
          <w:rPr>
            <w:rStyle w:val="CharStyle3"/>
            <w:lang w:eastAsia="en-US"/>
          </w:rPr>
          <w:t>(Hersbach et al., 2020)</w:t>
        </w:r>
      </w:hyperlink>
      <w:r>
        <w:rPr>
          <w:rStyle w:val="CharStyle3"/>
          <w:lang w:eastAsia="en-US"/>
        </w:rPr>
        <w:t>. Monthly time series of winds, vertically integrated water vapour flux (VIMF), mean SLP, and vertically integrated moisture flux divergence (MDiv) are taken from it. All atmo</w:t>
      </w:r>
      <w:r>
        <w:rPr>
          <w:rStyle w:val="CharStyle3"/>
          <w:lang w:eastAsia="en-US"/>
        </w:rPr>
        <w:softHyphen/>
        <w:t>spheric variables from ERA5 have a 0.25° spatial resolution.</w:t>
      </w:r>
    </w:p>
    <w:p w14:paraId="6D012381" w14:textId="77777777" w:rsidR="007857F3" w:rsidRDefault="007857F3">
      <w:pPr>
        <w:pStyle w:val="Style2"/>
        <w:spacing w:after="160"/>
        <w:ind w:firstLine="220"/>
        <w:jc w:val="both"/>
        <w:rPr>
          <w:rFonts w:ascii="Times New Roman" w:hAnsi="Times New Roman" w:cs="Times New Roman"/>
          <w:sz w:val="24"/>
          <w:szCs w:val="24"/>
        </w:rPr>
      </w:pPr>
      <w:r>
        <w:rPr>
          <w:rStyle w:val="CharStyle3"/>
          <w:lang w:eastAsia="en-US"/>
        </w:rPr>
        <w:t>ERA5-Land is a land–surface simulation operationally forced by ERA5, which includes detailed modules on infil</w:t>
      </w:r>
      <w:r>
        <w:rPr>
          <w:rStyle w:val="CharStyle3"/>
          <w:lang w:eastAsia="en-US"/>
        </w:rPr>
        <w:softHyphen/>
        <w:t xml:space="preserve">tration, four-layer physically based soil water storage, plant water uptake, phenology and transpiration, and evaporation from soil and canopy interception </w:t>
      </w:r>
      <w:hyperlink w:anchor="bookmark103" w:tooltip="Current Document" w:history="1">
        <w:r>
          <w:rPr>
            <w:rStyle w:val="CharStyle3"/>
            <w:lang w:eastAsia="en-US"/>
          </w:rPr>
          <w:t>(Muñoz-Sabater et al.,</w:t>
        </w:r>
      </w:hyperlink>
      <w:r>
        <w:rPr>
          <w:rStyle w:val="CharStyle3"/>
          <w:lang w:eastAsia="en-US"/>
        </w:rPr>
        <w:t xml:space="preserve"> </w:t>
      </w:r>
      <w:hyperlink w:anchor="bookmark103" w:tooltip="Current Document" w:history="1">
        <w:r>
          <w:rPr>
            <w:rStyle w:val="CharStyle3"/>
            <w:lang w:eastAsia="en-US"/>
          </w:rPr>
          <w:t>2021</w:t>
        </w:r>
      </w:hyperlink>
      <w:r>
        <w:rPr>
          <w:rStyle w:val="CharStyle3"/>
          <w:lang w:eastAsia="en-US"/>
        </w:rPr>
        <w:t>;</w:t>
      </w:r>
      <w:hyperlink w:anchor="bookmark63" w:tooltip="Current Document" w:history="1">
        <w:r>
          <w:rPr>
            <w:rStyle w:val="CharStyle3"/>
            <w:lang w:eastAsia="en-US"/>
          </w:rPr>
          <w:t xml:space="preserve"> ECMWF, 2023)</w:t>
        </w:r>
      </w:hyperlink>
      <w:r>
        <w:rPr>
          <w:rStyle w:val="CharStyle3"/>
          <w:lang w:eastAsia="en-US"/>
        </w:rPr>
        <w:t>. From it, we download or derive the net surface radiation (Rn), the volumetric soil water content in the first soil layer (hereafter soil moisture – SM), and the total evaporation (hereafter also referred to as evapotranspi</w:t>
      </w:r>
      <w:r>
        <w:rPr>
          <w:rStyle w:val="CharStyle3"/>
          <w:lang w:eastAsia="en-US"/>
        </w:rPr>
        <w:softHyphen/>
        <w:t>ration – ET). All variables from ERA5-Land have a 0.1° res</w:t>
      </w:r>
      <w:r>
        <w:rPr>
          <w:rStyle w:val="CharStyle3"/>
          <w:lang w:eastAsia="en-US"/>
        </w:rPr>
        <w:softHyphen/>
        <w:t>olution.</w:t>
      </w:r>
    </w:p>
    <w:p w14:paraId="5FBBFFDA" w14:textId="77777777" w:rsidR="007857F3" w:rsidRDefault="007857F3">
      <w:pPr>
        <w:pStyle w:val="Style2"/>
        <w:numPr>
          <w:ilvl w:val="1"/>
          <w:numId w:val="2"/>
        </w:numPr>
        <w:tabs>
          <w:tab w:val="left" w:pos="451"/>
        </w:tabs>
        <w:spacing w:after="160"/>
        <w:jc w:val="both"/>
        <w:rPr>
          <w:sz w:val="24"/>
          <w:szCs w:val="24"/>
        </w:rPr>
      </w:pPr>
      <w:bookmarkStart w:id="3" w:name="bookmark9"/>
      <w:r>
        <w:rPr>
          <w:rStyle w:val="CharStyle3"/>
          <w:lang w:eastAsia="en-US"/>
        </w:rPr>
        <w:t>Satellite</w:t>
      </w:r>
      <w:bookmarkEnd w:id="3"/>
    </w:p>
    <w:p w14:paraId="4A532EED" w14:textId="77777777" w:rsidR="007857F3" w:rsidRDefault="007857F3">
      <w:pPr>
        <w:pStyle w:val="Style2"/>
        <w:jc w:val="both"/>
        <w:rPr>
          <w:rFonts w:ascii="Times New Roman" w:hAnsi="Times New Roman" w:cs="Times New Roman"/>
          <w:sz w:val="24"/>
          <w:szCs w:val="24"/>
        </w:rPr>
      </w:pPr>
      <w:r>
        <w:rPr>
          <w:rStyle w:val="CharStyle3"/>
          <w:lang w:eastAsia="en-US"/>
        </w:rPr>
        <w:t xml:space="preserve">This research uses the Multi-Source Weighted-Ensemble Precipitation v2.8 (MSWEP) </w:t>
      </w:r>
      <w:hyperlink w:anchor="bookmark58" w:tooltip="Current Document" w:history="1">
        <w:r>
          <w:rPr>
            <w:rStyle w:val="CharStyle3"/>
            <w:lang w:eastAsia="en-US"/>
          </w:rPr>
          <w:t>(Beck et al., 2019)</w:t>
        </w:r>
      </w:hyperlink>
      <w:r>
        <w:rPr>
          <w:rStyle w:val="CharStyle3"/>
          <w:lang w:eastAsia="en-US"/>
        </w:rPr>
        <w:t xml:space="preserve"> with a spa</w:t>
      </w:r>
      <w:r>
        <w:rPr>
          <w:rStyle w:val="CharStyle3"/>
          <w:lang w:eastAsia="en-US"/>
        </w:rPr>
        <w:softHyphen/>
        <w:t>tial resolution of 0.1°. The dataset is created using rain gauge, satellite, and reanalysis data. MSWEP uses ERA5 rainfall es</w:t>
      </w:r>
      <w:r>
        <w:rPr>
          <w:rStyle w:val="CharStyle3"/>
          <w:lang w:eastAsia="en-US"/>
        </w:rPr>
        <w:softHyphen/>
        <w:t>timates mainly in the extratropics, whereas the ingested satel</w:t>
      </w:r>
      <w:r>
        <w:rPr>
          <w:rStyle w:val="CharStyle3"/>
          <w:lang w:eastAsia="en-US"/>
        </w:rPr>
        <w:softHyphen/>
        <w:t>lite data are given stronger weight in the tropics.</w:t>
      </w:r>
    </w:p>
    <w:p w14:paraId="743C270A"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In addition, we use three satellite-based datasets: the Euro</w:t>
      </w:r>
      <w:r>
        <w:rPr>
          <w:rStyle w:val="CharStyle3"/>
          <w:lang w:eastAsia="en-US"/>
        </w:rPr>
        <w:softHyphen/>
        <w:t>pean Space Agency Climate Change Initiative for Soil Mois</w:t>
      </w:r>
      <w:r>
        <w:rPr>
          <w:rStyle w:val="CharStyle3"/>
          <w:lang w:eastAsia="en-US"/>
        </w:rPr>
        <w:softHyphen/>
        <w:t xml:space="preserve">ture v08.1 (ESA-CCI-SM) </w:t>
      </w:r>
      <w:hyperlink w:anchor="bookmark81" w:tooltip="Current Document" w:history="1">
        <w:r>
          <w:rPr>
            <w:rStyle w:val="CharStyle3"/>
            <w:lang w:eastAsia="en-US"/>
          </w:rPr>
          <w:t>(Gruber et al., 2019)</w:t>
        </w:r>
      </w:hyperlink>
      <w:r>
        <w:rPr>
          <w:rStyle w:val="CharStyle3"/>
          <w:lang w:eastAsia="en-US"/>
        </w:rPr>
        <w:t>, total evapo</w:t>
      </w:r>
      <w:r>
        <w:rPr>
          <w:rStyle w:val="CharStyle3"/>
          <w:lang w:eastAsia="en-US"/>
        </w:rPr>
        <w:softHyphen/>
        <w:t xml:space="preserve">ration from the Global Land Evaporation Amsterdam Model v3.8a (GLEAM) </w:t>
      </w:r>
      <w:hyperlink w:anchor="bookmark110" w:tooltip="Current Document" w:history="1">
        <w:r>
          <w:rPr>
            <w:rStyle w:val="CharStyle3"/>
            <w:lang w:eastAsia="en-US"/>
          </w:rPr>
          <w:t>(Martens et al., 2017)</w:t>
        </w:r>
      </w:hyperlink>
      <w:r>
        <w:rPr>
          <w:rStyle w:val="CharStyle3"/>
          <w:lang w:eastAsia="en-US"/>
        </w:rPr>
        <w:t>, and the EUMET- SAT CLARA-A3 cloud area fraction as a proxy for net ra</w:t>
      </w:r>
      <w:r>
        <w:rPr>
          <w:rStyle w:val="CharStyle3"/>
          <w:lang w:eastAsia="en-US"/>
        </w:rPr>
        <w:softHyphen/>
        <w:t xml:space="preserve">diation </w:t>
      </w:r>
      <w:hyperlink w:anchor="bookmark86" w:tooltip="Current Document" w:history="1">
        <w:r>
          <w:rPr>
            <w:rStyle w:val="CharStyle3"/>
            <w:lang w:eastAsia="en-US"/>
          </w:rPr>
          <w:t>(Karlsson et al., 2023)</w:t>
        </w:r>
      </w:hyperlink>
      <w:r>
        <w:rPr>
          <w:rStyle w:val="CharStyle3"/>
          <w:lang w:eastAsia="en-US"/>
        </w:rPr>
        <w:t>, all of them at a 0.25° resolu</w:t>
      </w:r>
      <w:r>
        <w:rPr>
          <w:rStyle w:val="CharStyle3"/>
          <w:lang w:eastAsia="en-US"/>
        </w:rPr>
        <w:softHyphen/>
        <w:t>tion. ESA-CCI-SM was downloaded at a daily resolution and transformed to monthly values by averaging the days within each month as long as the month had at least four values; the remaining spatial gaps were not filled and were excluded from calculations. GLEAM uses a three-layer conceptual root zone soil module from which vegetation can access wa</w:t>
      </w:r>
      <w:r>
        <w:rPr>
          <w:rStyle w:val="CharStyle3"/>
          <w:lang w:eastAsia="en-US"/>
        </w:rPr>
        <w:softHyphen/>
        <w:t>ter (which considers ESA-CCI-SM assimilation where avail</w:t>
      </w:r>
      <w:r>
        <w:rPr>
          <w:rStyle w:val="CharStyle3"/>
          <w:lang w:eastAsia="en-US"/>
        </w:rPr>
        <w:softHyphen/>
        <w:t>able). It includes a module for plant stress based on SM and vegetation ph</w:t>
      </w:r>
      <w:r>
        <w:rPr>
          <w:rStyle w:val="CharStyle3"/>
          <w:lang w:eastAsia="en-US"/>
        </w:rPr>
        <w:t>enology, and it also provides evaporation from interception and bare soil. GLEAM uses the ERA5 radiation as forcing.</w:t>
      </w:r>
    </w:p>
    <w:p w14:paraId="42B2AEE2" w14:textId="77777777" w:rsidR="007857F3" w:rsidRDefault="007857F3">
      <w:pPr>
        <w:pStyle w:val="Style2"/>
        <w:spacing w:after="160"/>
        <w:ind w:firstLine="220"/>
        <w:jc w:val="both"/>
        <w:rPr>
          <w:rFonts w:ascii="Times New Roman" w:hAnsi="Times New Roman" w:cs="Times New Roman"/>
          <w:sz w:val="24"/>
          <w:szCs w:val="24"/>
        </w:rPr>
      </w:pPr>
      <w:r>
        <w:rPr>
          <w:rStyle w:val="CharStyle3"/>
          <w:lang w:eastAsia="en-US"/>
        </w:rPr>
        <w:t xml:space="preserve">Some eddy-covariance towers are located in the Amazon and other places in South America; their measurements are – in </w:t>
      </w:r>
      <w:r>
        <w:rPr>
          <w:rStyle w:val="CharStyle3"/>
          <w:lang w:eastAsia="en-US"/>
        </w:rPr>
        <w:t>general – after 2000.</w:t>
      </w:r>
      <w:hyperlink w:anchor="bookmark51" w:tooltip="Current Document" w:history="1">
        <w:r>
          <w:rPr>
            <w:rStyle w:val="CharStyle3"/>
            <w:lang w:eastAsia="en-US"/>
          </w:rPr>
          <w:t xml:space="preserve"> Baker et al. (2021)</w:t>
        </w:r>
      </w:hyperlink>
      <w:r>
        <w:rPr>
          <w:rStyle w:val="CharStyle3"/>
          <w:lang w:eastAsia="en-US"/>
        </w:rPr>
        <w:t xml:space="preserve"> managed to use records from one tower with 19 years of data (1999–</w:t>
      </w:r>
      <w:r>
        <w:rPr>
          <w:rStyle w:val="CharStyle3"/>
          <w:lang w:eastAsia="en-US"/>
        </w:rPr>
        <w:t xml:space="preserve"> 2017) but highlighted the fact that the data from the other towers were only available for a few years (mainly between 1999 and 2006). Other global products based on FLUXNET towers, such as FLUXCOM </w:t>
      </w:r>
      <w:hyperlink w:anchor="bookmark84" w:tooltip="Current Document" w:history="1">
        <w:r>
          <w:rPr>
            <w:rStyle w:val="CharStyle3"/>
            <w:lang w:eastAsia="en-US"/>
          </w:rPr>
          <w:t>(Jung et al., 2019)</w:t>
        </w:r>
      </w:hyperlink>
      <w:r>
        <w:rPr>
          <w:rStyle w:val="CharStyle3"/>
          <w:lang w:eastAsia="en-US"/>
        </w:rPr>
        <w:t>, also have data after 2001. The short time series constrains the possi</w:t>
      </w:r>
      <w:r>
        <w:rPr>
          <w:rStyle w:val="CharStyle3"/>
          <w:lang w:eastAsia="en-US"/>
        </w:rPr>
        <w:softHyphen/>
        <w:t>bility of registering several events to analyse the effect of the climate modes (few degrees of freedom). The perfor</w:t>
      </w:r>
      <w:r>
        <w:rPr>
          <w:rStyle w:val="CharStyle3"/>
          <w:lang w:eastAsia="en-US"/>
        </w:rPr>
        <w:softHyphen/>
        <w:t>mance of GLEAM and ERA5-Land ET has been evaluated against eddy-covariance towers and has found correlations of around 0.6 and 0.7 for the evergreen broadleaf forest ecore</w:t>
      </w:r>
      <w:r>
        <w:rPr>
          <w:rStyle w:val="CharStyle3"/>
          <w:lang w:eastAsia="en-US"/>
        </w:rPr>
        <w:softHyphen/>
        <w:t xml:space="preserve">gion </w:t>
      </w:r>
      <w:hyperlink w:anchor="bookmark103" w:tooltip="Current Document" w:history="1">
        <w:r>
          <w:rPr>
            <w:rStyle w:val="CharStyle3"/>
            <w:lang w:eastAsia="en-US"/>
          </w:rPr>
          <w:t>(Muñoz-Sabater et al., 2021;</w:t>
        </w:r>
      </w:hyperlink>
      <w:hyperlink w:anchor="bookmark135" w:tooltip="Current Document" w:history="1">
        <w:r>
          <w:rPr>
            <w:rStyle w:val="CharStyle3"/>
            <w:lang w:eastAsia="en-US"/>
          </w:rPr>
          <w:t xml:space="preserve"> Xie et al., 2024)</w:t>
        </w:r>
      </w:hyperlink>
      <w:r>
        <w:rPr>
          <w:rStyle w:val="CharStyle3"/>
          <w:lang w:eastAsia="en-US"/>
        </w:rPr>
        <w:t>. There</w:t>
      </w:r>
      <w:r>
        <w:rPr>
          <w:rStyle w:val="CharStyle3"/>
          <w:lang w:eastAsia="en-US"/>
        </w:rPr>
        <w:softHyphen/>
        <w:t>fore, we choose not to analyse eddy-covariance data and as</w:t>
      </w:r>
      <w:r>
        <w:rPr>
          <w:rStyle w:val="CharStyle3"/>
          <w:lang w:eastAsia="en-US"/>
        </w:rPr>
        <w:softHyphen/>
        <w:t>sume fair performance of the other two sources.</w:t>
      </w:r>
      <w:r>
        <w:rPr>
          <w:rFonts w:ascii="Times New Roman" w:hAnsi="Times New Roman" w:cs="Times New Roman"/>
          <w:sz w:val="24"/>
          <w:szCs w:val="24"/>
        </w:rPr>
        <w:br w:type="page"/>
      </w:r>
    </w:p>
    <w:p w14:paraId="5BEBDE81" w14:textId="092BD50F" w:rsidR="007857F3" w:rsidRDefault="007857F3">
      <w:pPr>
        <w:pStyle w:val="Style16"/>
        <w:keepNext/>
        <w:keepLines/>
        <w:numPr>
          <w:ilvl w:val="0"/>
          <w:numId w:val="2"/>
        </w:numPr>
        <w:tabs>
          <w:tab w:val="left" w:pos="288"/>
        </w:tabs>
        <w:spacing w:after="160"/>
        <w:jc w:val="both"/>
        <w:rPr>
          <w:sz w:val="24"/>
          <w:szCs w:val="24"/>
        </w:rPr>
      </w:pPr>
      <w:r>
        <w:rPr>
          <w:noProof/>
        </w:rPr>
        <w:lastRenderedPageBreak/>
        <mc:AlternateContent>
          <mc:Choice Requires="wps">
            <w:drawing>
              <wp:anchor distT="408305" distB="241300" distL="199390" distR="233045" simplePos="0" relativeHeight="251659264" behindDoc="0" locked="0" layoutInCell="1" allowOverlap="1" wp14:anchorId="70DC8217" wp14:editId="727EE533">
                <wp:simplePos x="0" y="0"/>
                <wp:positionH relativeFrom="margin">
                  <wp:posOffset>92710</wp:posOffset>
                </wp:positionH>
                <wp:positionV relativeFrom="margin">
                  <wp:posOffset>746760</wp:posOffset>
                </wp:positionV>
                <wp:extent cx="6196330" cy="3694430"/>
                <wp:effectExtent l="0" t="0" r="0" b="0"/>
                <wp:wrapTopAndBottom/>
                <wp:docPr id="5883718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369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400"/>
                              <w:gridCol w:w="1066"/>
                              <w:gridCol w:w="1003"/>
                              <w:gridCol w:w="1075"/>
                              <w:gridCol w:w="1728"/>
                              <w:gridCol w:w="1075"/>
                              <w:gridCol w:w="1411"/>
                            </w:tblGrid>
                            <w:tr w:rsidR="00000000" w14:paraId="47B3B9DF" w14:textId="77777777">
                              <w:tblPrEx>
                                <w:tblCellMar>
                                  <w:top w:w="0" w:type="dxa"/>
                                  <w:left w:w="0" w:type="dxa"/>
                                  <w:bottom w:w="0" w:type="dxa"/>
                                  <w:right w:w="0" w:type="dxa"/>
                                </w:tblCellMar>
                              </w:tblPrEx>
                              <w:trPr>
                                <w:trHeight w:hRule="exact" w:val="302"/>
                              </w:trPr>
                              <w:tc>
                                <w:tcPr>
                                  <w:tcW w:w="2400" w:type="dxa"/>
                                  <w:vMerge w:val="restart"/>
                                  <w:tcBorders>
                                    <w:top w:val="single" w:sz="4" w:space="0" w:color="auto"/>
                                    <w:left w:val="nil"/>
                                    <w:bottom w:val="nil"/>
                                    <w:right w:val="nil"/>
                                  </w:tcBorders>
                                  <w:vAlign w:val="center"/>
                                </w:tcPr>
                                <w:p w14:paraId="116DA3D4"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Variable</w:t>
                                  </w:r>
                                </w:p>
                              </w:tc>
                              <w:tc>
                                <w:tcPr>
                                  <w:tcW w:w="3144" w:type="dxa"/>
                                  <w:gridSpan w:val="3"/>
                                  <w:tcBorders>
                                    <w:top w:val="single" w:sz="4" w:space="0" w:color="auto"/>
                                    <w:left w:val="nil"/>
                                    <w:bottom w:val="nil"/>
                                    <w:right w:val="nil"/>
                                  </w:tcBorders>
                                  <w:vAlign w:val="bottom"/>
                                </w:tcPr>
                                <w:p w14:paraId="3632B6FC" w14:textId="77777777" w:rsidR="007857F3" w:rsidRDefault="007857F3">
                                  <w:pPr>
                                    <w:pStyle w:val="Style7"/>
                                    <w:spacing w:line="240" w:lineRule="auto"/>
                                    <w:jc w:val="center"/>
                                    <w:rPr>
                                      <w:rFonts w:ascii="Times New Roman" w:hAnsi="Times New Roman" w:cs="Times New Roman"/>
                                      <w:sz w:val="24"/>
                                      <w:szCs w:val="24"/>
                                    </w:rPr>
                                  </w:pPr>
                                  <w:r>
                                    <w:rPr>
                                      <w:rStyle w:val="CharStyle8"/>
                                      <w:sz w:val="14"/>
                                      <w:szCs w:val="14"/>
                                      <w:lang w:eastAsia="en-US"/>
                                    </w:rPr>
                                    <w:t>Reanalysis</w:t>
                                  </w:r>
                                </w:p>
                              </w:tc>
                              <w:tc>
                                <w:tcPr>
                                  <w:tcW w:w="4214" w:type="dxa"/>
                                  <w:gridSpan w:val="3"/>
                                  <w:tcBorders>
                                    <w:top w:val="single" w:sz="4" w:space="0" w:color="auto"/>
                                    <w:left w:val="nil"/>
                                    <w:bottom w:val="nil"/>
                                    <w:right w:val="nil"/>
                                  </w:tcBorders>
                                  <w:vAlign w:val="bottom"/>
                                </w:tcPr>
                                <w:p w14:paraId="52A2B983" w14:textId="77777777" w:rsidR="007857F3" w:rsidRDefault="007857F3">
                                  <w:pPr>
                                    <w:pStyle w:val="Style7"/>
                                    <w:spacing w:line="240" w:lineRule="auto"/>
                                    <w:jc w:val="center"/>
                                    <w:rPr>
                                      <w:rFonts w:ascii="Times New Roman" w:hAnsi="Times New Roman" w:cs="Times New Roman"/>
                                      <w:sz w:val="24"/>
                                      <w:szCs w:val="24"/>
                                    </w:rPr>
                                  </w:pPr>
                                  <w:r>
                                    <w:rPr>
                                      <w:rStyle w:val="CharStyle8"/>
                                      <w:sz w:val="14"/>
                                      <w:szCs w:val="14"/>
                                      <w:lang w:eastAsia="en-US"/>
                                    </w:rPr>
                                    <w:t>Satellite</w:t>
                                  </w:r>
                                </w:p>
                              </w:tc>
                            </w:tr>
                            <w:tr w:rsidR="00000000" w14:paraId="48E0A421" w14:textId="77777777">
                              <w:tblPrEx>
                                <w:tblCellMar>
                                  <w:top w:w="0" w:type="dxa"/>
                                  <w:left w:w="0" w:type="dxa"/>
                                  <w:bottom w:w="0" w:type="dxa"/>
                                  <w:right w:w="0" w:type="dxa"/>
                                </w:tblCellMar>
                              </w:tblPrEx>
                              <w:trPr>
                                <w:trHeight w:hRule="exact" w:val="547"/>
                              </w:trPr>
                              <w:tc>
                                <w:tcPr>
                                  <w:tcW w:w="2400" w:type="dxa"/>
                                  <w:vMerge/>
                                  <w:tcBorders>
                                    <w:top w:val="nil"/>
                                    <w:left w:val="nil"/>
                                    <w:bottom w:val="nil"/>
                                    <w:right w:val="nil"/>
                                  </w:tcBorders>
                                  <w:vAlign w:val="center"/>
                                </w:tcPr>
                                <w:p w14:paraId="54EE6D56" w14:textId="77777777" w:rsidR="007857F3" w:rsidRDefault="007857F3">
                                  <w:pPr>
                                    <w:pStyle w:val="Style7"/>
                                    <w:spacing w:line="240" w:lineRule="auto"/>
                                    <w:jc w:val="center"/>
                                    <w:rPr>
                                      <w:rFonts w:ascii="Times New Roman" w:hAnsi="Times New Roman" w:cs="Times New Roman"/>
                                      <w:sz w:val="24"/>
                                      <w:szCs w:val="24"/>
                                    </w:rPr>
                                  </w:pPr>
                                </w:p>
                              </w:tc>
                              <w:tc>
                                <w:tcPr>
                                  <w:tcW w:w="1066" w:type="dxa"/>
                                  <w:tcBorders>
                                    <w:top w:val="single" w:sz="4" w:space="0" w:color="auto"/>
                                    <w:left w:val="nil"/>
                                    <w:bottom w:val="nil"/>
                                    <w:right w:val="nil"/>
                                  </w:tcBorders>
                                </w:tcPr>
                                <w:p w14:paraId="59E56777"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Dataset</w:t>
                                  </w:r>
                                </w:p>
                              </w:tc>
                              <w:tc>
                                <w:tcPr>
                                  <w:tcW w:w="1003" w:type="dxa"/>
                                  <w:tcBorders>
                                    <w:top w:val="single" w:sz="4" w:space="0" w:color="auto"/>
                                    <w:left w:val="nil"/>
                                    <w:bottom w:val="nil"/>
                                    <w:right w:val="nil"/>
                                  </w:tcBorders>
                                  <w:vAlign w:val="center"/>
                                </w:tcPr>
                                <w:p w14:paraId="50BF174C" w14:textId="77777777" w:rsidR="007857F3" w:rsidRDefault="007857F3">
                                  <w:pPr>
                                    <w:pStyle w:val="Style7"/>
                                    <w:spacing w:line="307" w:lineRule="auto"/>
                                    <w:rPr>
                                      <w:rFonts w:ascii="Times New Roman" w:hAnsi="Times New Roman" w:cs="Times New Roman"/>
                                      <w:sz w:val="24"/>
                                      <w:szCs w:val="24"/>
                                    </w:rPr>
                                  </w:pPr>
                                  <w:r>
                                    <w:rPr>
                                      <w:rStyle w:val="CharStyle8"/>
                                      <w:sz w:val="14"/>
                                      <w:szCs w:val="14"/>
                                      <w:lang w:eastAsia="en-US"/>
                                    </w:rPr>
                                    <w:t>Spatial resolution</w:t>
                                  </w:r>
                                </w:p>
                              </w:tc>
                              <w:tc>
                                <w:tcPr>
                                  <w:tcW w:w="1075" w:type="dxa"/>
                                  <w:tcBorders>
                                    <w:top w:val="single" w:sz="4" w:space="0" w:color="auto"/>
                                    <w:left w:val="nil"/>
                                    <w:bottom w:val="nil"/>
                                    <w:right w:val="nil"/>
                                  </w:tcBorders>
                                  <w:vAlign w:val="center"/>
                                </w:tcPr>
                                <w:p w14:paraId="4DED9AFF" w14:textId="77777777" w:rsidR="007857F3" w:rsidRDefault="007857F3">
                                  <w:pPr>
                                    <w:pStyle w:val="Style7"/>
                                    <w:spacing w:line="307" w:lineRule="auto"/>
                                    <w:ind w:left="140"/>
                                    <w:rPr>
                                      <w:rFonts w:ascii="Times New Roman" w:hAnsi="Times New Roman" w:cs="Times New Roman"/>
                                      <w:sz w:val="24"/>
                                      <w:szCs w:val="24"/>
                                    </w:rPr>
                                  </w:pPr>
                                  <w:r>
                                    <w:rPr>
                                      <w:rStyle w:val="CharStyle8"/>
                                      <w:sz w:val="14"/>
                                      <w:szCs w:val="14"/>
                                      <w:lang w:eastAsia="en-US"/>
                                    </w:rPr>
                                    <w:t>Temporal resolution</w:t>
                                  </w:r>
                                </w:p>
                              </w:tc>
                              <w:tc>
                                <w:tcPr>
                                  <w:tcW w:w="1728" w:type="dxa"/>
                                  <w:tcBorders>
                                    <w:top w:val="single" w:sz="4" w:space="0" w:color="auto"/>
                                    <w:left w:val="single" w:sz="4" w:space="0" w:color="auto"/>
                                    <w:bottom w:val="nil"/>
                                    <w:right w:val="nil"/>
                                  </w:tcBorders>
                                </w:tcPr>
                                <w:p w14:paraId="2F60010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Dataset</w:t>
                                  </w:r>
                                </w:p>
                              </w:tc>
                              <w:tc>
                                <w:tcPr>
                                  <w:tcW w:w="1075" w:type="dxa"/>
                                  <w:tcBorders>
                                    <w:top w:val="single" w:sz="4" w:space="0" w:color="auto"/>
                                    <w:left w:val="nil"/>
                                    <w:bottom w:val="nil"/>
                                    <w:right w:val="nil"/>
                                  </w:tcBorders>
                                  <w:vAlign w:val="center"/>
                                </w:tcPr>
                                <w:p w14:paraId="11153674" w14:textId="77777777" w:rsidR="007857F3" w:rsidRDefault="007857F3">
                                  <w:pPr>
                                    <w:pStyle w:val="Style7"/>
                                    <w:spacing w:line="307" w:lineRule="auto"/>
                                    <w:ind w:left="220"/>
                                    <w:rPr>
                                      <w:rFonts w:ascii="Times New Roman" w:hAnsi="Times New Roman" w:cs="Times New Roman"/>
                                      <w:sz w:val="24"/>
                                      <w:szCs w:val="24"/>
                                    </w:rPr>
                                  </w:pPr>
                                  <w:r>
                                    <w:rPr>
                                      <w:rStyle w:val="CharStyle8"/>
                                      <w:sz w:val="14"/>
                                      <w:szCs w:val="14"/>
                                      <w:lang w:eastAsia="en-US"/>
                                    </w:rPr>
                                    <w:t>Spatial resolution</w:t>
                                  </w:r>
                                </w:p>
                              </w:tc>
                              <w:tc>
                                <w:tcPr>
                                  <w:tcW w:w="1411" w:type="dxa"/>
                                  <w:tcBorders>
                                    <w:top w:val="single" w:sz="4" w:space="0" w:color="auto"/>
                                    <w:left w:val="nil"/>
                                    <w:bottom w:val="nil"/>
                                    <w:right w:val="nil"/>
                                  </w:tcBorders>
                                  <w:vAlign w:val="center"/>
                                </w:tcPr>
                                <w:p w14:paraId="75D6B4BD" w14:textId="77777777" w:rsidR="007857F3" w:rsidRDefault="007857F3">
                                  <w:pPr>
                                    <w:pStyle w:val="Style7"/>
                                    <w:spacing w:line="307" w:lineRule="auto"/>
                                    <w:ind w:left="180"/>
                                    <w:rPr>
                                      <w:rFonts w:ascii="Times New Roman" w:hAnsi="Times New Roman" w:cs="Times New Roman"/>
                                      <w:sz w:val="24"/>
                                      <w:szCs w:val="24"/>
                                    </w:rPr>
                                  </w:pPr>
                                  <w:r>
                                    <w:rPr>
                                      <w:rStyle w:val="CharStyle8"/>
                                      <w:sz w:val="14"/>
                                      <w:szCs w:val="14"/>
                                      <w:lang w:eastAsia="en-US"/>
                                    </w:rPr>
                                    <w:t>Temporal resolution</w:t>
                                  </w:r>
                                </w:p>
                              </w:tc>
                            </w:tr>
                            <w:tr w:rsidR="00000000" w14:paraId="33D480E1" w14:textId="77777777">
                              <w:tblPrEx>
                                <w:tblCellMar>
                                  <w:top w:w="0" w:type="dxa"/>
                                  <w:left w:w="0" w:type="dxa"/>
                                  <w:bottom w:w="0" w:type="dxa"/>
                                  <w:right w:w="0" w:type="dxa"/>
                                </w:tblCellMar>
                              </w:tblPrEx>
                              <w:trPr>
                                <w:trHeight w:hRule="exact" w:val="326"/>
                              </w:trPr>
                              <w:tc>
                                <w:tcPr>
                                  <w:tcW w:w="2400" w:type="dxa"/>
                                  <w:tcBorders>
                                    <w:top w:val="single" w:sz="4" w:space="0" w:color="auto"/>
                                    <w:left w:val="nil"/>
                                    <w:bottom w:val="nil"/>
                                    <w:right w:val="nil"/>
                                  </w:tcBorders>
                                  <w:vAlign w:val="center"/>
                                </w:tcPr>
                                <w:p w14:paraId="6D056E5C"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Sea level pressure</w:t>
                                  </w:r>
                                </w:p>
                              </w:tc>
                              <w:tc>
                                <w:tcPr>
                                  <w:tcW w:w="1066" w:type="dxa"/>
                                  <w:tcBorders>
                                    <w:top w:val="single" w:sz="4" w:space="0" w:color="auto"/>
                                    <w:left w:val="nil"/>
                                    <w:bottom w:val="nil"/>
                                    <w:right w:val="nil"/>
                                  </w:tcBorders>
                                  <w:vAlign w:val="center"/>
                                </w:tcPr>
                                <w:p w14:paraId="0467C09A"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vAlign w:val="center"/>
                                </w:tcPr>
                                <w:p w14:paraId="1B548D1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vAlign w:val="center"/>
                                </w:tcPr>
                                <w:p w14:paraId="15B68215"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nil"/>
                                    <w:bottom w:val="nil"/>
                                    <w:right w:val="nil"/>
                                  </w:tcBorders>
                                  <w:vAlign w:val="center"/>
                                </w:tcPr>
                                <w:p w14:paraId="15A90C5D" w14:textId="77777777" w:rsidR="007857F3" w:rsidRDefault="007857F3">
                                  <w:pPr>
                                    <w:pStyle w:val="Style7"/>
                                    <w:spacing w:line="240" w:lineRule="auto"/>
                                    <w:rPr>
                                      <w:rFonts w:ascii="Times New Roman" w:hAnsi="Times New Roman" w:cs="Times New Roman"/>
                                      <w:sz w:val="24"/>
                                      <w:szCs w:val="24"/>
                                    </w:rPr>
                                  </w:pPr>
                                  <w:r>
                                    <w:rPr>
                                      <w:rStyle w:val="CharStyle8"/>
                                      <w:sz w:val="20"/>
                                      <w:szCs w:val="20"/>
                                      <w:vertAlign w:val="superscript"/>
                                      <w:lang w:eastAsia="en-US"/>
                                    </w:rPr>
                                    <w:t>–</w:t>
                                  </w:r>
                                </w:p>
                              </w:tc>
                              <w:tc>
                                <w:tcPr>
                                  <w:tcW w:w="1075" w:type="dxa"/>
                                  <w:tcBorders>
                                    <w:top w:val="single" w:sz="4" w:space="0" w:color="auto"/>
                                    <w:left w:val="nil"/>
                                    <w:bottom w:val="nil"/>
                                    <w:right w:val="nil"/>
                                  </w:tcBorders>
                                  <w:vAlign w:val="center"/>
                                </w:tcPr>
                                <w:p w14:paraId="114C101F"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vAlign w:val="center"/>
                                </w:tcPr>
                                <w:p w14:paraId="2E1341EA"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07A5A812" w14:textId="77777777">
                              <w:tblPrEx>
                                <w:tblCellMar>
                                  <w:top w:w="0" w:type="dxa"/>
                                  <w:left w:w="0" w:type="dxa"/>
                                  <w:bottom w:w="0" w:type="dxa"/>
                                  <w:right w:w="0" w:type="dxa"/>
                                </w:tblCellMar>
                              </w:tblPrEx>
                              <w:trPr>
                                <w:trHeight w:hRule="exact" w:val="322"/>
                              </w:trPr>
                              <w:tc>
                                <w:tcPr>
                                  <w:tcW w:w="2400" w:type="dxa"/>
                                  <w:tcBorders>
                                    <w:top w:val="single" w:sz="4" w:space="0" w:color="auto"/>
                                    <w:left w:val="nil"/>
                                    <w:bottom w:val="nil"/>
                                    <w:right w:val="nil"/>
                                  </w:tcBorders>
                                  <w:vAlign w:val="center"/>
                                </w:tcPr>
                                <w:p w14:paraId="7A610D87"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Winds at 850 hPa</w:t>
                                  </w:r>
                                </w:p>
                              </w:tc>
                              <w:tc>
                                <w:tcPr>
                                  <w:tcW w:w="1066" w:type="dxa"/>
                                  <w:tcBorders>
                                    <w:top w:val="single" w:sz="4" w:space="0" w:color="auto"/>
                                    <w:left w:val="nil"/>
                                    <w:bottom w:val="nil"/>
                                    <w:right w:val="nil"/>
                                  </w:tcBorders>
                                  <w:vAlign w:val="center"/>
                                </w:tcPr>
                                <w:p w14:paraId="7850F36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vAlign w:val="center"/>
                                </w:tcPr>
                                <w:p w14:paraId="549747F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vAlign w:val="center"/>
                                </w:tcPr>
                                <w:p w14:paraId="4AB1489E"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nil"/>
                                    <w:bottom w:val="nil"/>
                                    <w:right w:val="nil"/>
                                  </w:tcBorders>
                                  <w:vAlign w:val="center"/>
                                </w:tcPr>
                                <w:p w14:paraId="0E3BA679" w14:textId="77777777" w:rsidR="007857F3" w:rsidRDefault="007857F3">
                                  <w:pPr>
                                    <w:pStyle w:val="Style7"/>
                                    <w:spacing w:line="240" w:lineRule="auto"/>
                                    <w:rPr>
                                      <w:rFonts w:ascii="Times New Roman" w:hAnsi="Times New Roman" w:cs="Times New Roman"/>
                                      <w:sz w:val="24"/>
                                      <w:szCs w:val="24"/>
                                    </w:rPr>
                                  </w:pPr>
                                  <w:r>
                                    <w:rPr>
                                      <w:rStyle w:val="CharStyle8"/>
                                      <w:sz w:val="20"/>
                                      <w:szCs w:val="20"/>
                                      <w:vertAlign w:val="superscript"/>
                                      <w:lang w:eastAsia="en-US"/>
                                    </w:rPr>
                                    <w:t>–</w:t>
                                  </w:r>
                                </w:p>
                              </w:tc>
                              <w:tc>
                                <w:tcPr>
                                  <w:tcW w:w="1075" w:type="dxa"/>
                                  <w:tcBorders>
                                    <w:top w:val="single" w:sz="4" w:space="0" w:color="auto"/>
                                    <w:left w:val="nil"/>
                                    <w:bottom w:val="nil"/>
                                    <w:right w:val="nil"/>
                                  </w:tcBorders>
                                  <w:vAlign w:val="center"/>
                                </w:tcPr>
                                <w:p w14:paraId="216E37F7"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vAlign w:val="center"/>
                                </w:tcPr>
                                <w:p w14:paraId="1C65C790"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3EB5B6F4" w14:textId="77777777">
                              <w:tblPrEx>
                                <w:tblCellMar>
                                  <w:top w:w="0" w:type="dxa"/>
                                  <w:left w:w="0" w:type="dxa"/>
                                  <w:bottom w:w="0" w:type="dxa"/>
                                  <w:right w:w="0" w:type="dxa"/>
                                </w:tblCellMar>
                              </w:tblPrEx>
                              <w:trPr>
                                <w:trHeight w:hRule="exact" w:val="533"/>
                              </w:trPr>
                              <w:tc>
                                <w:tcPr>
                                  <w:tcW w:w="2400" w:type="dxa"/>
                                  <w:tcBorders>
                                    <w:top w:val="single" w:sz="4" w:space="0" w:color="auto"/>
                                    <w:left w:val="nil"/>
                                    <w:bottom w:val="nil"/>
                                    <w:right w:val="nil"/>
                                  </w:tcBorders>
                                  <w:vAlign w:val="center"/>
                                </w:tcPr>
                                <w:p w14:paraId="792D7C53" w14:textId="77777777" w:rsidR="007857F3" w:rsidRDefault="007857F3">
                                  <w:pPr>
                                    <w:pStyle w:val="Style7"/>
                                    <w:spacing w:line="307" w:lineRule="auto"/>
                                    <w:ind w:left="140"/>
                                    <w:rPr>
                                      <w:rFonts w:ascii="Times New Roman" w:hAnsi="Times New Roman" w:cs="Times New Roman"/>
                                      <w:sz w:val="24"/>
                                      <w:szCs w:val="24"/>
                                    </w:rPr>
                                  </w:pPr>
                                  <w:r>
                                    <w:rPr>
                                      <w:rStyle w:val="CharStyle8"/>
                                      <w:sz w:val="14"/>
                                      <w:szCs w:val="14"/>
                                      <w:lang w:eastAsia="en-US"/>
                                    </w:rPr>
                                    <w:t>Vertically integrated water vapour flux (VIMF)</w:t>
                                  </w:r>
                                </w:p>
                              </w:tc>
                              <w:tc>
                                <w:tcPr>
                                  <w:tcW w:w="1066" w:type="dxa"/>
                                  <w:tcBorders>
                                    <w:top w:val="single" w:sz="4" w:space="0" w:color="auto"/>
                                    <w:left w:val="nil"/>
                                    <w:bottom w:val="nil"/>
                                    <w:right w:val="nil"/>
                                  </w:tcBorders>
                                </w:tcPr>
                                <w:p w14:paraId="6107686C"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tcPr>
                                <w:p w14:paraId="743DE334"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tcPr>
                                <w:p w14:paraId="05423848"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tcPr>
                                <w:p w14:paraId="5875D555"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w:t>
                                  </w:r>
                                </w:p>
                              </w:tc>
                              <w:tc>
                                <w:tcPr>
                                  <w:tcW w:w="1075" w:type="dxa"/>
                                  <w:tcBorders>
                                    <w:top w:val="single" w:sz="4" w:space="0" w:color="auto"/>
                                    <w:left w:val="nil"/>
                                    <w:bottom w:val="nil"/>
                                    <w:right w:val="nil"/>
                                  </w:tcBorders>
                                </w:tcPr>
                                <w:p w14:paraId="3B85FA0B"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tcPr>
                                <w:p w14:paraId="1DD63B82"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53D50BBC" w14:textId="77777777">
                              <w:tblPrEx>
                                <w:tblCellMar>
                                  <w:top w:w="0" w:type="dxa"/>
                                  <w:left w:w="0" w:type="dxa"/>
                                  <w:bottom w:w="0" w:type="dxa"/>
                                  <w:right w:w="0" w:type="dxa"/>
                                </w:tblCellMar>
                              </w:tblPrEx>
                              <w:trPr>
                                <w:trHeight w:hRule="exact" w:val="322"/>
                              </w:trPr>
                              <w:tc>
                                <w:tcPr>
                                  <w:tcW w:w="2400" w:type="dxa"/>
                                  <w:tcBorders>
                                    <w:top w:val="single" w:sz="4" w:space="0" w:color="auto"/>
                                    <w:left w:val="nil"/>
                                    <w:bottom w:val="nil"/>
                                    <w:right w:val="nil"/>
                                  </w:tcBorders>
                                  <w:vAlign w:val="center"/>
                                </w:tcPr>
                                <w:p w14:paraId="5C38887A"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Moisture divergence (MDiv)</w:t>
                                  </w:r>
                                </w:p>
                              </w:tc>
                              <w:tc>
                                <w:tcPr>
                                  <w:tcW w:w="1066" w:type="dxa"/>
                                  <w:tcBorders>
                                    <w:top w:val="single" w:sz="4" w:space="0" w:color="auto"/>
                                    <w:left w:val="nil"/>
                                    <w:bottom w:val="nil"/>
                                    <w:right w:val="nil"/>
                                  </w:tcBorders>
                                  <w:vAlign w:val="center"/>
                                </w:tcPr>
                                <w:p w14:paraId="7FD8A85A"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vAlign w:val="center"/>
                                </w:tcPr>
                                <w:p w14:paraId="35BF8473"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vAlign w:val="center"/>
                                </w:tcPr>
                                <w:p w14:paraId="0F48FE15"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nil"/>
                                    <w:bottom w:val="nil"/>
                                    <w:right w:val="nil"/>
                                  </w:tcBorders>
                                  <w:vAlign w:val="center"/>
                                </w:tcPr>
                                <w:p w14:paraId="7E4817FC" w14:textId="77777777" w:rsidR="007857F3" w:rsidRDefault="007857F3">
                                  <w:pPr>
                                    <w:pStyle w:val="Style7"/>
                                    <w:spacing w:line="240" w:lineRule="auto"/>
                                    <w:rPr>
                                      <w:rFonts w:ascii="Times New Roman" w:hAnsi="Times New Roman" w:cs="Times New Roman"/>
                                      <w:sz w:val="24"/>
                                      <w:szCs w:val="24"/>
                                    </w:rPr>
                                  </w:pPr>
                                  <w:r>
                                    <w:rPr>
                                      <w:rStyle w:val="CharStyle8"/>
                                      <w:sz w:val="20"/>
                                      <w:szCs w:val="20"/>
                                      <w:vertAlign w:val="superscript"/>
                                      <w:lang w:eastAsia="en-US"/>
                                    </w:rPr>
                                    <w:t>–</w:t>
                                  </w:r>
                                </w:p>
                              </w:tc>
                              <w:tc>
                                <w:tcPr>
                                  <w:tcW w:w="1075" w:type="dxa"/>
                                  <w:tcBorders>
                                    <w:top w:val="single" w:sz="4" w:space="0" w:color="auto"/>
                                    <w:left w:val="nil"/>
                                    <w:bottom w:val="nil"/>
                                    <w:right w:val="nil"/>
                                  </w:tcBorders>
                                  <w:vAlign w:val="center"/>
                                </w:tcPr>
                                <w:p w14:paraId="2ECD0CC5"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vAlign w:val="center"/>
                                </w:tcPr>
                                <w:p w14:paraId="0B6F9C8A"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28AD8297" w14:textId="77777777">
                              <w:tblPrEx>
                                <w:tblCellMar>
                                  <w:top w:w="0" w:type="dxa"/>
                                  <w:left w:w="0" w:type="dxa"/>
                                  <w:bottom w:w="0" w:type="dxa"/>
                                  <w:right w:w="0" w:type="dxa"/>
                                </w:tblCellMar>
                              </w:tblPrEx>
                              <w:trPr>
                                <w:trHeight w:hRule="exact" w:val="533"/>
                              </w:trPr>
                              <w:tc>
                                <w:tcPr>
                                  <w:tcW w:w="2400" w:type="dxa"/>
                                  <w:tcBorders>
                                    <w:top w:val="single" w:sz="4" w:space="0" w:color="auto"/>
                                    <w:left w:val="nil"/>
                                    <w:bottom w:val="nil"/>
                                    <w:right w:val="nil"/>
                                  </w:tcBorders>
                                </w:tcPr>
                                <w:p w14:paraId="2F300E94"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Precipitation</w:t>
                                  </w:r>
                                </w:p>
                              </w:tc>
                              <w:tc>
                                <w:tcPr>
                                  <w:tcW w:w="1066" w:type="dxa"/>
                                  <w:tcBorders>
                                    <w:top w:val="single" w:sz="4" w:space="0" w:color="auto"/>
                                    <w:left w:val="nil"/>
                                    <w:bottom w:val="nil"/>
                                    <w:right w:val="nil"/>
                                  </w:tcBorders>
                                </w:tcPr>
                                <w:p w14:paraId="61AC1117"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w:t>
                                  </w:r>
                                </w:p>
                              </w:tc>
                              <w:tc>
                                <w:tcPr>
                                  <w:tcW w:w="1003" w:type="dxa"/>
                                  <w:tcBorders>
                                    <w:top w:val="single" w:sz="4" w:space="0" w:color="auto"/>
                                    <w:left w:val="nil"/>
                                    <w:bottom w:val="nil"/>
                                    <w:right w:val="nil"/>
                                  </w:tcBorders>
                                </w:tcPr>
                                <w:p w14:paraId="21188A94"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w:t>
                                  </w:r>
                                </w:p>
                              </w:tc>
                              <w:tc>
                                <w:tcPr>
                                  <w:tcW w:w="1075" w:type="dxa"/>
                                  <w:tcBorders>
                                    <w:top w:val="single" w:sz="4" w:space="0" w:color="auto"/>
                                    <w:left w:val="nil"/>
                                    <w:bottom w:val="nil"/>
                                    <w:right w:val="nil"/>
                                  </w:tcBorders>
                                </w:tcPr>
                                <w:p w14:paraId="458926D5"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w:t>
                                  </w:r>
                                </w:p>
                              </w:tc>
                              <w:tc>
                                <w:tcPr>
                                  <w:tcW w:w="1728" w:type="dxa"/>
                                  <w:tcBorders>
                                    <w:top w:val="single" w:sz="4" w:space="0" w:color="auto"/>
                                    <w:left w:val="single" w:sz="4" w:space="0" w:color="auto"/>
                                    <w:bottom w:val="nil"/>
                                    <w:right w:val="nil"/>
                                  </w:tcBorders>
                                  <w:vAlign w:val="center"/>
                                </w:tcPr>
                                <w:p w14:paraId="39A395C4" w14:textId="77777777" w:rsidR="007857F3" w:rsidRDefault="007857F3">
                                  <w:pPr>
                                    <w:pStyle w:val="Style7"/>
                                    <w:spacing w:line="307" w:lineRule="auto"/>
                                    <w:rPr>
                                      <w:rFonts w:ascii="Times New Roman" w:hAnsi="Times New Roman" w:cs="Times New Roman"/>
                                      <w:sz w:val="24"/>
                                      <w:szCs w:val="24"/>
                                    </w:rPr>
                                  </w:pPr>
                                  <w:r>
                                    <w:rPr>
                                      <w:rStyle w:val="CharStyle8"/>
                                      <w:sz w:val="14"/>
                                      <w:szCs w:val="14"/>
                                      <w:lang w:eastAsia="en-US"/>
                                    </w:rPr>
                                    <w:t xml:space="preserve">MSWEP v2.8 </w:t>
                                  </w:r>
                                  <w:hyperlink w:anchor="bookmark58" w:tooltip="Current Document" w:history="1">
                                    <w:r>
                                      <w:rPr>
                                        <w:rStyle w:val="CharStyle8"/>
                                        <w:sz w:val="14"/>
                                        <w:szCs w:val="14"/>
                                        <w:lang w:eastAsia="en-US"/>
                                      </w:rPr>
                                      <w:t>(Beck et al., 2019)</w:t>
                                    </w:r>
                                  </w:hyperlink>
                                </w:p>
                              </w:tc>
                              <w:tc>
                                <w:tcPr>
                                  <w:tcW w:w="1075" w:type="dxa"/>
                                  <w:tcBorders>
                                    <w:top w:val="single" w:sz="4" w:space="0" w:color="auto"/>
                                    <w:left w:val="nil"/>
                                    <w:bottom w:val="nil"/>
                                    <w:right w:val="nil"/>
                                  </w:tcBorders>
                                </w:tcPr>
                                <w:p w14:paraId="53B5589E"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0.1°</w:t>
                                  </w:r>
                                </w:p>
                              </w:tc>
                              <w:tc>
                                <w:tcPr>
                                  <w:tcW w:w="1411" w:type="dxa"/>
                                  <w:tcBorders>
                                    <w:top w:val="single" w:sz="4" w:space="0" w:color="auto"/>
                                    <w:left w:val="nil"/>
                                    <w:bottom w:val="nil"/>
                                    <w:right w:val="nil"/>
                                  </w:tcBorders>
                                </w:tcPr>
                                <w:p w14:paraId="6F158C1F"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35F233FC" w14:textId="77777777">
                              <w:tblPrEx>
                                <w:tblCellMar>
                                  <w:top w:w="0" w:type="dxa"/>
                                  <w:left w:w="0" w:type="dxa"/>
                                  <w:bottom w:w="0" w:type="dxa"/>
                                  <w:right w:w="0" w:type="dxa"/>
                                </w:tblCellMar>
                              </w:tblPrEx>
                              <w:trPr>
                                <w:trHeight w:hRule="exact" w:val="739"/>
                              </w:trPr>
                              <w:tc>
                                <w:tcPr>
                                  <w:tcW w:w="2400" w:type="dxa"/>
                                  <w:tcBorders>
                                    <w:top w:val="single" w:sz="4" w:space="0" w:color="auto"/>
                                    <w:left w:val="nil"/>
                                    <w:bottom w:val="nil"/>
                                    <w:right w:val="nil"/>
                                  </w:tcBorders>
                                </w:tcPr>
                                <w:p w14:paraId="2377A21D"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Net surface thermal radiation</w:t>
                                  </w:r>
                                </w:p>
                              </w:tc>
                              <w:tc>
                                <w:tcPr>
                                  <w:tcW w:w="1066" w:type="dxa"/>
                                  <w:tcBorders>
                                    <w:top w:val="single" w:sz="4" w:space="0" w:color="auto"/>
                                    <w:left w:val="nil"/>
                                    <w:bottom w:val="nil"/>
                                    <w:right w:val="nil"/>
                                  </w:tcBorders>
                                </w:tcPr>
                                <w:p w14:paraId="3F930269"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tcPr>
                                <w:p w14:paraId="05D041C0"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tcPr>
                                <w:p w14:paraId="217720CB"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vAlign w:val="center"/>
                                </w:tcPr>
                                <w:p w14:paraId="7231CE81"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CLARA-A3</w:t>
                                  </w:r>
                                </w:p>
                                <w:p w14:paraId="7BCC24F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cloud area fraction</w:t>
                                  </w:r>
                                </w:p>
                                <w:p w14:paraId="61B42779" w14:textId="77777777" w:rsidR="007857F3" w:rsidRDefault="007857F3">
                                  <w:pPr>
                                    <w:pStyle w:val="Style7"/>
                                    <w:spacing w:line="240" w:lineRule="auto"/>
                                    <w:rPr>
                                      <w:rFonts w:ascii="Times New Roman" w:hAnsi="Times New Roman" w:cs="Times New Roman"/>
                                      <w:sz w:val="24"/>
                                      <w:szCs w:val="24"/>
                                    </w:rPr>
                                  </w:pPr>
                                  <w:hyperlink w:anchor="bookmark86" w:tooltip="Current Document" w:history="1">
                                    <w:r>
                                      <w:rPr>
                                        <w:rStyle w:val="CharStyle8"/>
                                        <w:sz w:val="14"/>
                                        <w:szCs w:val="14"/>
                                        <w:lang w:eastAsia="en-US"/>
                                      </w:rPr>
                                      <w:t>(Karlsson et al., 2023)</w:t>
                                    </w:r>
                                  </w:hyperlink>
                                </w:p>
                              </w:tc>
                              <w:tc>
                                <w:tcPr>
                                  <w:tcW w:w="1075" w:type="dxa"/>
                                  <w:tcBorders>
                                    <w:top w:val="single" w:sz="4" w:space="0" w:color="auto"/>
                                    <w:left w:val="nil"/>
                                    <w:bottom w:val="nil"/>
                                    <w:right w:val="nil"/>
                                  </w:tcBorders>
                                </w:tcPr>
                                <w:p w14:paraId="575B28E5"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0.25°</w:t>
                                  </w:r>
                                </w:p>
                              </w:tc>
                              <w:tc>
                                <w:tcPr>
                                  <w:tcW w:w="1411" w:type="dxa"/>
                                  <w:tcBorders>
                                    <w:top w:val="single" w:sz="4" w:space="0" w:color="auto"/>
                                    <w:left w:val="nil"/>
                                    <w:bottom w:val="nil"/>
                                    <w:right w:val="nil"/>
                                  </w:tcBorders>
                                </w:tcPr>
                                <w:p w14:paraId="5F3CAE29"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222F6D10" w14:textId="77777777">
                              <w:tblPrEx>
                                <w:tblCellMar>
                                  <w:top w:w="0" w:type="dxa"/>
                                  <w:left w:w="0" w:type="dxa"/>
                                  <w:bottom w:w="0" w:type="dxa"/>
                                  <w:right w:w="0" w:type="dxa"/>
                                </w:tblCellMar>
                              </w:tblPrEx>
                              <w:trPr>
                                <w:trHeight w:hRule="exact" w:val="326"/>
                              </w:trPr>
                              <w:tc>
                                <w:tcPr>
                                  <w:tcW w:w="2400" w:type="dxa"/>
                                  <w:tcBorders>
                                    <w:top w:val="single" w:sz="4" w:space="0" w:color="auto"/>
                                    <w:left w:val="nil"/>
                                    <w:bottom w:val="nil"/>
                                    <w:right w:val="nil"/>
                                  </w:tcBorders>
                                  <w:vAlign w:val="center"/>
                                </w:tcPr>
                                <w:p w14:paraId="27C12344"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Net surface solar radiation</w:t>
                                  </w:r>
                                </w:p>
                              </w:tc>
                              <w:tc>
                                <w:tcPr>
                                  <w:tcW w:w="1066" w:type="dxa"/>
                                  <w:tcBorders>
                                    <w:top w:val="single" w:sz="4" w:space="0" w:color="auto"/>
                                    <w:left w:val="nil"/>
                                    <w:bottom w:val="nil"/>
                                    <w:right w:val="nil"/>
                                  </w:tcBorders>
                                  <w:vAlign w:val="center"/>
                                </w:tcPr>
                                <w:p w14:paraId="37729D94"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vAlign w:val="center"/>
                                </w:tcPr>
                                <w:p w14:paraId="4314013F"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vAlign w:val="center"/>
                                </w:tcPr>
                                <w:p w14:paraId="7180967D"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4214" w:type="dxa"/>
                                  <w:gridSpan w:val="3"/>
                                  <w:tcBorders>
                                    <w:top w:val="single" w:sz="4" w:space="0" w:color="auto"/>
                                    <w:left w:val="nil"/>
                                    <w:bottom w:val="nil"/>
                                    <w:right w:val="nil"/>
                                  </w:tcBorders>
                                  <w:vAlign w:val="center"/>
                                </w:tcPr>
                                <w:p w14:paraId="6D1A39FC" w14:textId="77777777" w:rsidR="007857F3" w:rsidRDefault="007857F3">
                                  <w:pPr>
                                    <w:pStyle w:val="Style7"/>
                                    <w:spacing w:line="240" w:lineRule="auto"/>
                                    <w:rPr>
                                      <w:rFonts w:ascii="Times New Roman" w:hAnsi="Times New Roman" w:cs="Times New Roman"/>
                                      <w:sz w:val="24"/>
                                      <w:szCs w:val="24"/>
                                    </w:rPr>
                                  </w:pPr>
                                  <w:hyperlink w:anchor="bookmark86" w:tooltip="Current Document" w:history="1">
                                    <w:r>
                                      <w:rPr>
                                        <w:rStyle w:val="CharStyle8"/>
                                        <w:sz w:val="14"/>
                                        <w:szCs w:val="14"/>
                                        <w:lang w:eastAsia="en-US"/>
                                      </w:rPr>
                                      <w:t>(Karlsson et al., 2023)</w:t>
                                    </w:r>
                                  </w:hyperlink>
                                </w:p>
                              </w:tc>
                            </w:tr>
                            <w:tr w:rsidR="00000000" w14:paraId="28FB59A3" w14:textId="77777777">
                              <w:tblPrEx>
                                <w:tblCellMar>
                                  <w:top w:w="0" w:type="dxa"/>
                                  <w:left w:w="0" w:type="dxa"/>
                                  <w:bottom w:w="0" w:type="dxa"/>
                                  <w:right w:w="0" w:type="dxa"/>
                                </w:tblCellMar>
                              </w:tblPrEx>
                              <w:trPr>
                                <w:trHeight w:hRule="exact" w:val="739"/>
                              </w:trPr>
                              <w:tc>
                                <w:tcPr>
                                  <w:tcW w:w="2400" w:type="dxa"/>
                                  <w:tcBorders>
                                    <w:top w:val="single" w:sz="4" w:space="0" w:color="auto"/>
                                    <w:left w:val="nil"/>
                                    <w:bottom w:val="nil"/>
                                    <w:right w:val="nil"/>
                                  </w:tcBorders>
                                  <w:vAlign w:val="center"/>
                                </w:tcPr>
                                <w:p w14:paraId="1077C3AD" w14:textId="77777777" w:rsidR="007857F3" w:rsidRDefault="007857F3">
                                  <w:pPr>
                                    <w:pStyle w:val="Style7"/>
                                    <w:spacing w:line="312" w:lineRule="auto"/>
                                    <w:ind w:left="140"/>
                                    <w:rPr>
                                      <w:rFonts w:ascii="Times New Roman" w:hAnsi="Times New Roman" w:cs="Times New Roman"/>
                                      <w:sz w:val="24"/>
                                      <w:szCs w:val="24"/>
                                    </w:rPr>
                                  </w:pPr>
                                  <w:r>
                                    <w:rPr>
                                      <w:rStyle w:val="CharStyle8"/>
                                      <w:sz w:val="14"/>
                                      <w:szCs w:val="14"/>
                                      <w:lang w:eastAsia="en-US"/>
                                    </w:rPr>
                                    <w:t>Soil moisture (volumetric</w:t>
                                  </w:r>
                                  <w:r>
                                    <w:rPr>
                                      <w:rStyle w:val="CharStyle8"/>
                                      <w:sz w:val="14"/>
                                      <w:szCs w:val="14"/>
                                      <w:lang w:eastAsia="en-US"/>
                                    </w:rPr>
                                    <w:t xml:space="preserve"> water content in the first soil layer)</w:t>
                                  </w:r>
                                </w:p>
                              </w:tc>
                              <w:tc>
                                <w:tcPr>
                                  <w:tcW w:w="1066" w:type="dxa"/>
                                  <w:tcBorders>
                                    <w:top w:val="single" w:sz="4" w:space="0" w:color="auto"/>
                                    <w:left w:val="nil"/>
                                    <w:bottom w:val="nil"/>
                                    <w:right w:val="nil"/>
                                  </w:tcBorders>
                                </w:tcPr>
                                <w:p w14:paraId="5D9A748D"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tcPr>
                                <w:p w14:paraId="0976219D"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tcPr>
                                <w:p w14:paraId="13F43617"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tcPr>
                                <w:p w14:paraId="1ACBD0B9" w14:textId="77777777" w:rsidR="007857F3" w:rsidRDefault="007857F3">
                                  <w:pPr>
                                    <w:pStyle w:val="Style7"/>
                                    <w:spacing w:line="314" w:lineRule="auto"/>
                                    <w:rPr>
                                      <w:rFonts w:ascii="Times New Roman" w:hAnsi="Times New Roman" w:cs="Times New Roman"/>
                                      <w:sz w:val="24"/>
                                      <w:szCs w:val="24"/>
                                    </w:rPr>
                                  </w:pPr>
                                  <w:r>
                                    <w:rPr>
                                      <w:rStyle w:val="CharStyle8"/>
                                      <w:sz w:val="14"/>
                                      <w:szCs w:val="14"/>
                                      <w:lang w:eastAsia="en-US"/>
                                    </w:rPr>
                                    <w:t xml:space="preserve">ESA-CCI-SM v08.1 </w:t>
                                  </w:r>
                                  <w:hyperlink w:anchor="bookmark81" w:tooltip="Current Document" w:history="1">
                                    <w:r>
                                      <w:rPr>
                                        <w:rStyle w:val="CharStyle8"/>
                                        <w:sz w:val="14"/>
                                        <w:szCs w:val="14"/>
                                        <w:lang w:eastAsia="en-US"/>
                                      </w:rPr>
                                      <w:t>(Gruber et al., 2019)</w:t>
                                    </w:r>
                                  </w:hyperlink>
                                </w:p>
                              </w:tc>
                              <w:tc>
                                <w:tcPr>
                                  <w:tcW w:w="1075" w:type="dxa"/>
                                  <w:tcBorders>
                                    <w:top w:val="single" w:sz="4" w:space="0" w:color="auto"/>
                                    <w:left w:val="nil"/>
                                    <w:bottom w:val="nil"/>
                                    <w:right w:val="nil"/>
                                  </w:tcBorders>
                                </w:tcPr>
                                <w:p w14:paraId="1812FDCF"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0.25°</w:t>
                                  </w:r>
                                </w:p>
                              </w:tc>
                              <w:tc>
                                <w:tcPr>
                                  <w:tcW w:w="1411" w:type="dxa"/>
                                  <w:tcBorders>
                                    <w:top w:val="single" w:sz="4" w:space="0" w:color="auto"/>
                                    <w:left w:val="nil"/>
                                    <w:bottom w:val="nil"/>
                                    <w:right w:val="nil"/>
                                  </w:tcBorders>
                                  <w:vAlign w:val="center"/>
                                </w:tcPr>
                                <w:p w14:paraId="2B9FB54F" w14:textId="77777777" w:rsidR="007857F3" w:rsidRDefault="007857F3">
                                  <w:pPr>
                                    <w:pStyle w:val="Style7"/>
                                    <w:spacing w:line="312" w:lineRule="auto"/>
                                    <w:ind w:left="180"/>
                                    <w:rPr>
                                      <w:rFonts w:ascii="Times New Roman" w:hAnsi="Times New Roman" w:cs="Times New Roman"/>
                                      <w:sz w:val="24"/>
                                      <w:szCs w:val="24"/>
                                    </w:rPr>
                                  </w:pPr>
                                  <w:r>
                                    <w:rPr>
                                      <w:rStyle w:val="CharStyle8"/>
                                      <w:sz w:val="14"/>
                                      <w:szCs w:val="14"/>
                                      <w:lang w:eastAsia="en-US"/>
                                    </w:rPr>
                                    <w:t>Daily (aggregated to monthly)</w:t>
                                  </w:r>
                                </w:p>
                              </w:tc>
                            </w:tr>
                            <w:tr w:rsidR="00000000" w14:paraId="6C65BD2E" w14:textId="77777777">
                              <w:tblPrEx>
                                <w:tblCellMar>
                                  <w:top w:w="0" w:type="dxa"/>
                                  <w:left w:w="0" w:type="dxa"/>
                                  <w:bottom w:w="0" w:type="dxa"/>
                                  <w:right w:w="0" w:type="dxa"/>
                                </w:tblCellMar>
                              </w:tblPrEx>
                              <w:trPr>
                                <w:trHeight w:hRule="exact" w:val="533"/>
                              </w:trPr>
                              <w:tc>
                                <w:tcPr>
                                  <w:tcW w:w="2400" w:type="dxa"/>
                                  <w:tcBorders>
                                    <w:top w:val="single" w:sz="4" w:space="0" w:color="auto"/>
                                    <w:left w:val="nil"/>
                                    <w:bottom w:val="nil"/>
                                    <w:right w:val="nil"/>
                                  </w:tcBorders>
                                </w:tcPr>
                                <w:p w14:paraId="4DAA960F"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Total evaporation</w:t>
                                  </w:r>
                                </w:p>
                              </w:tc>
                              <w:tc>
                                <w:tcPr>
                                  <w:tcW w:w="1066" w:type="dxa"/>
                                  <w:tcBorders>
                                    <w:top w:val="single" w:sz="4" w:space="0" w:color="auto"/>
                                    <w:left w:val="nil"/>
                                    <w:bottom w:val="nil"/>
                                    <w:right w:val="nil"/>
                                  </w:tcBorders>
                                </w:tcPr>
                                <w:p w14:paraId="244BA11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tcPr>
                                <w:p w14:paraId="0470529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tcPr>
                                <w:p w14:paraId="641E27A6"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vAlign w:val="center"/>
                                </w:tcPr>
                                <w:p w14:paraId="73E40A9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GLEAM v3.8a</w:t>
                                  </w:r>
                                </w:p>
                                <w:p w14:paraId="0E77CD74" w14:textId="77777777" w:rsidR="007857F3" w:rsidRDefault="007857F3">
                                  <w:pPr>
                                    <w:pStyle w:val="Style7"/>
                                    <w:spacing w:line="240" w:lineRule="auto"/>
                                    <w:rPr>
                                      <w:rFonts w:ascii="Times New Roman" w:hAnsi="Times New Roman" w:cs="Times New Roman"/>
                                      <w:sz w:val="24"/>
                                      <w:szCs w:val="24"/>
                                    </w:rPr>
                                  </w:pPr>
                                  <w:hyperlink w:anchor="bookmark110" w:tooltip="Current Document" w:history="1">
                                    <w:r>
                                      <w:rPr>
                                        <w:rStyle w:val="CharStyle8"/>
                                        <w:sz w:val="14"/>
                                        <w:szCs w:val="14"/>
                                        <w:lang w:eastAsia="en-US"/>
                                      </w:rPr>
                                      <w:t>(Martens et al., 2017)</w:t>
                                    </w:r>
                                  </w:hyperlink>
                                </w:p>
                              </w:tc>
                              <w:tc>
                                <w:tcPr>
                                  <w:tcW w:w="1075" w:type="dxa"/>
                                  <w:tcBorders>
                                    <w:top w:val="single" w:sz="4" w:space="0" w:color="auto"/>
                                    <w:left w:val="nil"/>
                                    <w:bottom w:val="nil"/>
                                    <w:right w:val="nil"/>
                                  </w:tcBorders>
                                </w:tcPr>
                                <w:p w14:paraId="25119968"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0.25°</w:t>
                                  </w:r>
                                </w:p>
                              </w:tc>
                              <w:tc>
                                <w:tcPr>
                                  <w:tcW w:w="1411" w:type="dxa"/>
                                  <w:tcBorders>
                                    <w:top w:val="single" w:sz="4" w:space="0" w:color="auto"/>
                                    <w:left w:val="nil"/>
                                    <w:bottom w:val="nil"/>
                                    <w:right w:val="nil"/>
                                  </w:tcBorders>
                                </w:tcPr>
                                <w:p w14:paraId="2F370273"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799A08AD" w14:textId="77777777">
                              <w:tblPrEx>
                                <w:tblCellMar>
                                  <w:top w:w="0" w:type="dxa"/>
                                  <w:left w:w="0" w:type="dxa"/>
                                  <w:bottom w:w="0" w:type="dxa"/>
                                  <w:right w:w="0" w:type="dxa"/>
                                </w:tblCellMar>
                              </w:tblPrEx>
                              <w:trPr>
                                <w:trHeight w:hRule="exact" w:val="322"/>
                              </w:trPr>
                              <w:tc>
                                <w:tcPr>
                                  <w:tcW w:w="2400" w:type="dxa"/>
                                  <w:tcBorders>
                                    <w:top w:val="single" w:sz="4" w:space="0" w:color="auto"/>
                                    <w:left w:val="nil"/>
                                    <w:bottom w:val="nil"/>
                                    <w:right w:val="nil"/>
                                  </w:tcBorders>
                                  <w:vAlign w:val="center"/>
                                </w:tcPr>
                                <w:p w14:paraId="161791E3"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Sea surface</w:t>
                                  </w:r>
                                </w:p>
                              </w:tc>
                              <w:tc>
                                <w:tcPr>
                                  <w:tcW w:w="1066" w:type="dxa"/>
                                  <w:tcBorders>
                                    <w:top w:val="single" w:sz="4" w:space="0" w:color="auto"/>
                                    <w:left w:val="nil"/>
                                    <w:bottom w:val="nil"/>
                                    <w:right w:val="nil"/>
                                  </w:tcBorders>
                                </w:tcPr>
                                <w:p w14:paraId="214474D4" w14:textId="77777777" w:rsidR="007857F3" w:rsidRDefault="007857F3">
                                  <w:pPr>
                                    <w:rPr>
                                      <w:color w:val="auto"/>
                                      <w:lang w:eastAsia="en-GB"/>
                                    </w:rPr>
                                  </w:pPr>
                                </w:p>
                              </w:tc>
                              <w:tc>
                                <w:tcPr>
                                  <w:tcW w:w="3806" w:type="dxa"/>
                                  <w:gridSpan w:val="3"/>
                                  <w:tcBorders>
                                    <w:top w:val="single" w:sz="4" w:space="0" w:color="auto"/>
                                    <w:left w:val="nil"/>
                                    <w:bottom w:val="nil"/>
                                    <w:right w:val="nil"/>
                                  </w:tcBorders>
                                  <w:vAlign w:val="center"/>
                                </w:tcPr>
                                <w:p w14:paraId="5A42A7CE" w14:textId="77777777" w:rsidR="007857F3" w:rsidRDefault="007857F3">
                                  <w:pPr>
                                    <w:pStyle w:val="Style7"/>
                                    <w:spacing w:line="240" w:lineRule="auto"/>
                                    <w:ind w:firstLine="360"/>
                                    <w:rPr>
                                      <w:rFonts w:ascii="Times New Roman" w:hAnsi="Times New Roman" w:cs="Times New Roman"/>
                                      <w:sz w:val="24"/>
                                      <w:szCs w:val="24"/>
                                    </w:rPr>
                                  </w:pPr>
                                  <w:r>
                                    <w:rPr>
                                      <w:rStyle w:val="CharStyle8"/>
                                      <w:sz w:val="14"/>
                                      <w:szCs w:val="14"/>
                                      <w:lang w:eastAsia="en-US"/>
                                    </w:rPr>
                                    <w:t xml:space="preserve">ERSST v5 </w:t>
                                  </w:r>
                                  <w:hyperlink w:anchor="bookmark99" w:tooltip="Current Document" w:history="1">
                                    <w:r>
                                      <w:rPr>
                                        <w:rStyle w:val="CharStyle8"/>
                                        <w:sz w:val="14"/>
                                        <w:szCs w:val="14"/>
                                        <w:lang w:eastAsia="en-US"/>
                                      </w:rPr>
                                      <w:t>(Huang et al., 2017)</w:t>
                                    </w:r>
                                  </w:hyperlink>
                                </w:p>
                              </w:tc>
                              <w:tc>
                                <w:tcPr>
                                  <w:tcW w:w="1075" w:type="dxa"/>
                                  <w:tcBorders>
                                    <w:top w:val="single" w:sz="4" w:space="0" w:color="auto"/>
                                    <w:left w:val="nil"/>
                                    <w:bottom w:val="nil"/>
                                    <w:right w:val="nil"/>
                                  </w:tcBorders>
                                  <w:vAlign w:val="center"/>
                                </w:tcPr>
                                <w:p w14:paraId="4A2C6BEB"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2°</w:t>
                                  </w:r>
                                </w:p>
                              </w:tc>
                              <w:tc>
                                <w:tcPr>
                                  <w:tcW w:w="1411" w:type="dxa"/>
                                  <w:tcBorders>
                                    <w:top w:val="single" w:sz="4" w:space="0" w:color="auto"/>
                                    <w:left w:val="nil"/>
                                    <w:bottom w:val="nil"/>
                                    <w:right w:val="nil"/>
                                  </w:tcBorders>
                                  <w:vAlign w:val="center"/>
                                </w:tcPr>
                                <w:p w14:paraId="2534E74C"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2760D8BA" w14:textId="77777777">
                              <w:tblPrEx>
                                <w:tblCellMar>
                                  <w:top w:w="0" w:type="dxa"/>
                                  <w:left w:w="0" w:type="dxa"/>
                                  <w:bottom w:w="0" w:type="dxa"/>
                                  <w:right w:w="0" w:type="dxa"/>
                                </w:tblCellMar>
                              </w:tblPrEx>
                              <w:trPr>
                                <w:trHeight w:hRule="exact" w:val="274"/>
                              </w:trPr>
                              <w:tc>
                                <w:tcPr>
                                  <w:tcW w:w="2400" w:type="dxa"/>
                                  <w:tcBorders>
                                    <w:top w:val="single" w:sz="4" w:space="0" w:color="auto"/>
                                    <w:left w:val="nil"/>
                                    <w:bottom w:val="single" w:sz="4" w:space="0" w:color="auto"/>
                                    <w:right w:val="nil"/>
                                  </w:tcBorders>
                                  <w:vAlign w:val="bottom"/>
                                </w:tcPr>
                                <w:p w14:paraId="254BCC49"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Temperature anomalies</w:t>
                                  </w:r>
                                </w:p>
                              </w:tc>
                              <w:tc>
                                <w:tcPr>
                                  <w:tcW w:w="1066" w:type="dxa"/>
                                  <w:tcBorders>
                                    <w:top w:val="single" w:sz="4" w:space="0" w:color="auto"/>
                                    <w:left w:val="nil"/>
                                    <w:bottom w:val="single" w:sz="4" w:space="0" w:color="auto"/>
                                    <w:right w:val="nil"/>
                                  </w:tcBorders>
                                </w:tcPr>
                                <w:p w14:paraId="67E8D4AC" w14:textId="77777777" w:rsidR="007857F3" w:rsidRDefault="007857F3">
                                  <w:pPr>
                                    <w:rPr>
                                      <w:color w:val="auto"/>
                                      <w:lang w:eastAsia="en-GB"/>
                                    </w:rPr>
                                  </w:pPr>
                                </w:p>
                              </w:tc>
                              <w:tc>
                                <w:tcPr>
                                  <w:tcW w:w="3806" w:type="dxa"/>
                                  <w:gridSpan w:val="3"/>
                                  <w:tcBorders>
                                    <w:top w:val="single" w:sz="4" w:space="0" w:color="auto"/>
                                    <w:left w:val="nil"/>
                                    <w:bottom w:val="single" w:sz="4" w:space="0" w:color="auto"/>
                                    <w:right w:val="nil"/>
                                  </w:tcBorders>
                                  <w:vAlign w:val="bottom"/>
                                </w:tcPr>
                                <w:p w14:paraId="6A33C79D"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 xml:space="preserve">HadSST v4.0.1 </w:t>
                                  </w:r>
                                  <w:hyperlink w:anchor="bookmark90" w:tooltip="Current Document" w:history="1">
                                    <w:r>
                                      <w:rPr>
                                        <w:rStyle w:val="CharStyle8"/>
                                        <w:sz w:val="14"/>
                                        <w:szCs w:val="14"/>
                                        <w:lang w:eastAsia="en-US"/>
                                      </w:rPr>
                                      <w:t>(Kennedy et al., 2019)</w:t>
                                    </w:r>
                                  </w:hyperlink>
                                </w:p>
                              </w:tc>
                              <w:tc>
                                <w:tcPr>
                                  <w:tcW w:w="1075" w:type="dxa"/>
                                  <w:tcBorders>
                                    <w:top w:val="single" w:sz="4" w:space="0" w:color="auto"/>
                                    <w:left w:val="nil"/>
                                    <w:bottom w:val="single" w:sz="4" w:space="0" w:color="auto"/>
                                    <w:right w:val="nil"/>
                                  </w:tcBorders>
                                  <w:vAlign w:val="bottom"/>
                                </w:tcPr>
                                <w:p w14:paraId="5F7DB8E9"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5°</w:t>
                                  </w:r>
                                </w:p>
                              </w:tc>
                              <w:tc>
                                <w:tcPr>
                                  <w:tcW w:w="1411" w:type="dxa"/>
                                  <w:tcBorders>
                                    <w:top w:val="single" w:sz="4" w:space="0" w:color="auto"/>
                                    <w:left w:val="nil"/>
                                    <w:bottom w:val="single" w:sz="4" w:space="0" w:color="auto"/>
                                    <w:right w:val="nil"/>
                                  </w:tcBorders>
                                  <w:vAlign w:val="bottom"/>
                                </w:tcPr>
                                <w:p w14:paraId="752BAB8B"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bl>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8217" id="Text Box 7" o:spid="_x0000_s1027" type="#_x0000_t202" style="position:absolute;left:0;text-align:left;margin-left:7.3pt;margin-top:58.8pt;width:487.9pt;height:290.9pt;z-index:251659264;visibility:visible;mso-wrap-style:square;mso-width-percent:0;mso-height-percent:0;mso-wrap-distance-left:15.7pt;mso-wrap-distance-top:32.15pt;mso-wrap-distance-right:18.35pt;mso-wrap-distance-bottom:1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400"/>
                        <w:gridCol w:w="1066"/>
                        <w:gridCol w:w="1003"/>
                        <w:gridCol w:w="1075"/>
                        <w:gridCol w:w="1728"/>
                        <w:gridCol w:w="1075"/>
                        <w:gridCol w:w="1411"/>
                      </w:tblGrid>
                      <w:tr w:rsidR="00000000" w14:paraId="47B3B9DF" w14:textId="77777777">
                        <w:tblPrEx>
                          <w:tblCellMar>
                            <w:top w:w="0" w:type="dxa"/>
                            <w:left w:w="0" w:type="dxa"/>
                            <w:bottom w:w="0" w:type="dxa"/>
                            <w:right w:w="0" w:type="dxa"/>
                          </w:tblCellMar>
                        </w:tblPrEx>
                        <w:trPr>
                          <w:trHeight w:hRule="exact" w:val="302"/>
                        </w:trPr>
                        <w:tc>
                          <w:tcPr>
                            <w:tcW w:w="2400" w:type="dxa"/>
                            <w:vMerge w:val="restart"/>
                            <w:tcBorders>
                              <w:top w:val="single" w:sz="4" w:space="0" w:color="auto"/>
                              <w:left w:val="nil"/>
                              <w:bottom w:val="nil"/>
                              <w:right w:val="nil"/>
                            </w:tcBorders>
                            <w:vAlign w:val="center"/>
                          </w:tcPr>
                          <w:p w14:paraId="116DA3D4"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Variable</w:t>
                            </w:r>
                          </w:p>
                        </w:tc>
                        <w:tc>
                          <w:tcPr>
                            <w:tcW w:w="3144" w:type="dxa"/>
                            <w:gridSpan w:val="3"/>
                            <w:tcBorders>
                              <w:top w:val="single" w:sz="4" w:space="0" w:color="auto"/>
                              <w:left w:val="nil"/>
                              <w:bottom w:val="nil"/>
                              <w:right w:val="nil"/>
                            </w:tcBorders>
                            <w:vAlign w:val="bottom"/>
                          </w:tcPr>
                          <w:p w14:paraId="3632B6FC" w14:textId="77777777" w:rsidR="007857F3" w:rsidRDefault="007857F3">
                            <w:pPr>
                              <w:pStyle w:val="Style7"/>
                              <w:spacing w:line="240" w:lineRule="auto"/>
                              <w:jc w:val="center"/>
                              <w:rPr>
                                <w:rFonts w:ascii="Times New Roman" w:hAnsi="Times New Roman" w:cs="Times New Roman"/>
                                <w:sz w:val="24"/>
                                <w:szCs w:val="24"/>
                              </w:rPr>
                            </w:pPr>
                            <w:r>
                              <w:rPr>
                                <w:rStyle w:val="CharStyle8"/>
                                <w:sz w:val="14"/>
                                <w:szCs w:val="14"/>
                                <w:lang w:eastAsia="en-US"/>
                              </w:rPr>
                              <w:t>Reanalysis</w:t>
                            </w:r>
                          </w:p>
                        </w:tc>
                        <w:tc>
                          <w:tcPr>
                            <w:tcW w:w="4214" w:type="dxa"/>
                            <w:gridSpan w:val="3"/>
                            <w:tcBorders>
                              <w:top w:val="single" w:sz="4" w:space="0" w:color="auto"/>
                              <w:left w:val="nil"/>
                              <w:bottom w:val="nil"/>
                              <w:right w:val="nil"/>
                            </w:tcBorders>
                            <w:vAlign w:val="bottom"/>
                          </w:tcPr>
                          <w:p w14:paraId="52A2B983" w14:textId="77777777" w:rsidR="007857F3" w:rsidRDefault="007857F3">
                            <w:pPr>
                              <w:pStyle w:val="Style7"/>
                              <w:spacing w:line="240" w:lineRule="auto"/>
                              <w:jc w:val="center"/>
                              <w:rPr>
                                <w:rFonts w:ascii="Times New Roman" w:hAnsi="Times New Roman" w:cs="Times New Roman"/>
                                <w:sz w:val="24"/>
                                <w:szCs w:val="24"/>
                              </w:rPr>
                            </w:pPr>
                            <w:r>
                              <w:rPr>
                                <w:rStyle w:val="CharStyle8"/>
                                <w:sz w:val="14"/>
                                <w:szCs w:val="14"/>
                                <w:lang w:eastAsia="en-US"/>
                              </w:rPr>
                              <w:t>Satellite</w:t>
                            </w:r>
                          </w:p>
                        </w:tc>
                      </w:tr>
                      <w:tr w:rsidR="00000000" w14:paraId="48E0A421" w14:textId="77777777">
                        <w:tblPrEx>
                          <w:tblCellMar>
                            <w:top w:w="0" w:type="dxa"/>
                            <w:left w:w="0" w:type="dxa"/>
                            <w:bottom w:w="0" w:type="dxa"/>
                            <w:right w:w="0" w:type="dxa"/>
                          </w:tblCellMar>
                        </w:tblPrEx>
                        <w:trPr>
                          <w:trHeight w:hRule="exact" w:val="547"/>
                        </w:trPr>
                        <w:tc>
                          <w:tcPr>
                            <w:tcW w:w="2400" w:type="dxa"/>
                            <w:vMerge/>
                            <w:tcBorders>
                              <w:top w:val="nil"/>
                              <w:left w:val="nil"/>
                              <w:bottom w:val="nil"/>
                              <w:right w:val="nil"/>
                            </w:tcBorders>
                            <w:vAlign w:val="center"/>
                          </w:tcPr>
                          <w:p w14:paraId="54EE6D56" w14:textId="77777777" w:rsidR="007857F3" w:rsidRDefault="007857F3">
                            <w:pPr>
                              <w:pStyle w:val="Style7"/>
                              <w:spacing w:line="240" w:lineRule="auto"/>
                              <w:jc w:val="center"/>
                              <w:rPr>
                                <w:rFonts w:ascii="Times New Roman" w:hAnsi="Times New Roman" w:cs="Times New Roman"/>
                                <w:sz w:val="24"/>
                                <w:szCs w:val="24"/>
                              </w:rPr>
                            </w:pPr>
                          </w:p>
                        </w:tc>
                        <w:tc>
                          <w:tcPr>
                            <w:tcW w:w="1066" w:type="dxa"/>
                            <w:tcBorders>
                              <w:top w:val="single" w:sz="4" w:space="0" w:color="auto"/>
                              <w:left w:val="nil"/>
                              <w:bottom w:val="nil"/>
                              <w:right w:val="nil"/>
                            </w:tcBorders>
                          </w:tcPr>
                          <w:p w14:paraId="59E56777"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Dataset</w:t>
                            </w:r>
                          </w:p>
                        </w:tc>
                        <w:tc>
                          <w:tcPr>
                            <w:tcW w:w="1003" w:type="dxa"/>
                            <w:tcBorders>
                              <w:top w:val="single" w:sz="4" w:space="0" w:color="auto"/>
                              <w:left w:val="nil"/>
                              <w:bottom w:val="nil"/>
                              <w:right w:val="nil"/>
                            </w:tcBorders>
                            <w:vAlign w:val="center"/>
                          </w:tcPr>
                          <w:p w14:paraId="50BF174C" w14:textId="77777777" w:rsidR="007857F3" w:rsidRDefault="007857F3">
                            <w:pPr>
                              <w:pStyle w:val="Style7"/>
                              <w:spacing w:line="307" w:lineRule="auto"/>
                              <w:rPr>
                                <w:rFonts w:ascii="Times New Roman" w:hAnsi="Times New Roman" w:cs="Times New Roman"/>
                                <w:sz w:val="24"/>
                                <w:szCs w:val="24"/>
                              </w:rPr>
                            </w:pPr>
                            <w:r>
                              <w:rPr>
                                <w:rStyle w:val="CharStyle8"/>
                                <w:sz w:val="14"/>
                                <w:szCs w:val="14"/>
                                <w:lang w:eastAsia="en-US"/>
                              </w:rPr>
                              <w:t>Spatial resolution</w:t>
                            </w:r>
                          </w:p>
                        </w:tc>
                        <w:tc>
                          <w:tcPr>
                            <w:tcW w:w="1075" w:type="dxa"/>
                            <w:tcBorders>
                              <w:top w:val="single" w:sz="4" w:space="0" w:color="auto"/>
                              <w:left w:val="nil"/>
                              <w:bottom w:val="nil"/>
                              <w:right w:val="nil"/>
                            </w:tcBorders>
                            <w:vAlign w:val="center"/>
                          </w:tcPr>
                          <w:p w14:paraId="4DED9AFF" w14:textId="77777777" w:rsidR="007857F3" w:rsidRDefault="007857F3">
                            <w:pPr>
                              <w:pStyle w:val="Style7"/>
                              <w:spacing w:line="307" w:lineRule="auto"/>
                              <w:ind w:left="140"/>
                              <w:rPr>
                                <w:rFonts w:ascii="Times New Roman" w:hAnsi="Times New Roman" w:cs="Times New Roman"/>
                                <w:sz w:val="24"/>
                                <w:szCs w:val="24"/>
                              </w:rPr>
                            </w:pPr>
                            <w:r>
                              <w:rPr>
                                <w:rStyle w:val="CharStyle8"/>
                                <w:sz w:val="14"/>
                                <w:szCs w:val="14"/>
                                <w:lang w:eastAsia="en-US"/>
                              </w:rPr>
                              <w:t>Temporal resolution</w:t>
                            </w:r>
                          </w:p>
                        </w:tc>
                        <w:tc>
                          <w:tcPr>
                            <w:tcW w:w="1728" w:type="dxa"/>
                            <w:tcBorders>
                              <w:top w:val="single" w:sz="4" w:space="0" w:color="auto"/>
                              <w:left w:val="single" w:sz="4" w:space="0" w:color="auto"/>
                              <w:bottom w:val="nil"/>
                              <w:right w:val="nil"/>
                            </w:tcBorders>
                          </w:tcPr>
                          <w:p w14:paraId="2F60010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Dataset</w:t>
                            </w:r>
                          </w:p>
                        </w:tc>
                        <w:tc>
                          <w:tcPr>
                            <w:tcW w:w="1075" w:type="dxa"/>
                            <w:tcBorders>
                              <w:top w:val="single" w:sz="4" w:space="0" w:color="auto"/>
                              <w:left w:val="nil"/>
                              <w:bottom w:val="nil"/>
                              <w:right w:val="nil"/>
                            </w:tcBorders>
                            <w:vAlign w:val="center"/>
                          </w:tcPr>
                          <w:p w14:paraId="11153674" w14:textId="77777777" w:rsidR="007857F3" w:rsidRDefault="007857F3">
                            <w:pPr>
                              <w:pStyle w:val="Style7"/>
                              <w:spacing w:line="307" w:lineRule="auto"/>
                              <w:ind w:left="220"/>
                              <w:rPr>
                                <w:rFonts w:ascii="Times New Roman" w:hAnsi="Times New Roman" w:cs="Times New Roman"/>
                                <w:sz w:val="24"/>
                                <w:szCs w:val="24"/>
                              </w:rPr>
                            </w:pPr>
                            <w:r>
                              <w:rPr>
                                <w:rStyle w:val="CharStyle8"/>
                                <w:sz w:val="14"/>
                                <w:szCs w:val="14"/>
                                <w:lang w:eastAsia="en-US"/>
                              </w:rPr>
                              <w:t>Spatial resolution</w:t>
                            </w:r>
                          </w:p>
                        </w:tc>
                        <w:tc>
                          <w:tcPr>
                            <w:tcW w:w="1411" w:type="dxa"/>
                            <w:tcBorders>
                              <w:top w:val="single" w:sz="4" w:space="0" w:color="auto"/>
                              <w:left w:val="nil"/>
                              <w:bottom w:val="nil"/>
                              <w:right w:val="nil"/>
                            </w:tcBorders>
                            <w:vAlign w:val="center"/>
                          </w:tcPr>
                          <w:p w14:paraId="75D6B4BD" w14:textId="77777777" w:rsidR="007857F3" w:rsidRDefault="007857F3">
                            <w:pPr>
                              <w:pStyle w:val="Style7"/>
                              <w:spacing w:line="307" w:lineRule="auto"/>
                              <w:ind w:left="180"/>
                              <w:rPr>
                                <w:rFonts w:ascii="Times New Roman" w:hAnsi="Times New Roman" w:cs="Times New Roman"/>
                                <w:sz w:val="24"/>
                                <w:szCs w:val="24"/>
                              </w:rPr>
                            </w:pPr>
                            <w:r>
                              <w:rPr>
                                <w:rStyle w:val="CharStyle8"/>
                                <w:sz w:val="14"/>
                                <w:szCs w:val="14"/>
                                <w:lang w:eastAsia="en-US"/>
                              </w:rPr>
                              <w:t>Temporal resolution</w:t>
                            </w:r>
                          </w:p>
                        </w:tc>
                      </w:tr>
                      <w:tr w:rsidR="00000000" w14:paraId="33D480E1" w14:textId="77777777">
                        <w:tblPrEx>
                          <w:tblCellMar>
                            <w:top w:w="0" w:type="dxa"/>
                            <w:left w:w="0" w:type="dxa"/>
                            <w:bottom w:w="0" w:type="dxa"/>
                            <w:right w:w="0" w:type="dxa"/>
                          </w:tblCellMar>
                        </w:tblPrEx>
                        <w:trPr>
                          <w:trHeight w:hRule="exact" w:val="326"/>
                        </w:trPr>
                        <w:tc>
                          <w:tcPr>
                            <w:tcW w:w="2400" w:type="dxa"/>
                            <w:tcBorders>
                              <w:top w:val="single" w:sz="4" w:space="0" w:color="auto"/>
                              <w:left w:val="nil"/>
                              <w:bottom w:val="nil"/>
                              <w:right w:val="nil"/>
                            </w:tcBorders>
                            <w:vAlign w:val="center"/>
                          </w:tcPr>
                          <w:p w14:paraId="6D056E5C"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Sea level pressure</w:t>
                            </w:r>
                          </w:p>
                        </w:tc>
                        <w:tc>
                          <w:tcPr>
                            <w:tcW w:w="1066" w:type="dxa"/>
                            <w:tcBorders>
                              <w:top w:val="single" w:sz="4" w:space="0" w:color="auto"/>
                              <w:left w:val="nil"/>
                              <w:bottom w:val="nil"/>
                              <w:right w:val="nil"/>
                            </w:tcBorders>
                            <w:vAlign w:val="center"/>
                          </w:tcPr>
                          <w:p w14:paraId="0467C09A"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vAlign w:val="center"/>
                          </w:tcPr>
                          <w:p w14:paraId="1B548D1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vAlign w:val="center"/>
                          </w:tcPr>
                          <w:p w14:paraId="15B68215"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nil"/>
                              <w:bottom w:val="nil"/>
                              <w:right w:val="nil"/>
                            </w:tcBorders>
                            <w:vAlign w:val="center"/>
                          </w:tcPr>
                          <w:p w14:paraId="15A90C5D" w14:textId="77777777" w:rsidR="007857F3" w:rsidRDefault="007857F3">
                            <w:pPr>
                              <w:pStyle w:val="Style7"/>
                              <w:spacing w:line="240" w:lineRule="auto"/>
                              <w:rPr>
                                <w:rFonts w:ascii="Times New Roman" w:hAnsi="Times New Roman" w:cs="Times New Roman"/>
                                <w:sz w:val="24"/>
                                <w:szCs w:val="24"/>
                              </w:rPr>
                            </w:pPr>
                            <w:r>
                              <w:rPr>
                                <w:rStyle w:val="CharStyle8"/>
                                <w:sz w:val="20"/>
                                <w:szCs w:val="20"/>
                                <w:vertAlign w:val="superscript"/>
                                <w:lang w:eastAsia="en-US"/>
                              </w:rPr>
                              <w:t>–</w:t>
                            </w:r>
                          </w:p>
                        </w:tc>
                        <w:tc>
                          <w:tcPr>
                            <w:tcW w:w="1075" w:type="dxa"/>
                            <w:tcBorders>
                              <w:top w:val="single" w:sz="4" w:space="0" w:color="auto"/>
                              <w:left w:val="nil"/>
                              <w:bottom w:val="nil"/>
                              <w:right w:val="nil"/>
                            </w:tcBorders>
                            <w:vAlign w:val="center"/>
                          </w:tcPr>
                          <w:p w14:paraId="114C101F"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vAlign w:val="center"/>
                          </w:tcPr>
                          <w:p w14:paraId="2E1341EA"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07A5A812" w14:textId="77777777">
                        <w:tblPrEx>
                          <w:tblCellMar>
                            <w:top w:w="0" w:type="dxa"/>
                            <w:left w:w="0" w:type="dxa"/>
                            <w:bottom w:w="0" w:type="dxa"/>
                            <w:right w:w="0" w:type="dxa"/>
                          </w:tblCellMar>
                        </w:tblPrEx>
                        <w:trPr>
                          <w:trHeight w:hRule="exact" w:val="322"/>
                        </w:trPr>
                        <w:tc>
                          <w:tcPr>
                            <w:tcW w:w="2400" w:type="dxa"/>
                            <w:tcBorders>
                              <w:top w:val="single" w:sz="4" w:space="0" w:color="auto"/>
                              <w:left w:val="nil"/>
                              <w:bottom w:val="nil"/>
                              <w:right w:val="nil"/>
                            </w:tcBorders>
                            <w:vAlign w:val="center"/>
                          </w:tcPr>
                          <w:p w14:paraId="7A610D87"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Winds at 850 hPa</w:t>
                            </w:r>
                          </w:p>
                        </w:tc>
                        <w:tc>
                          <w:tcPr>
                            <w:tcW w:w="1066" w:type="dxa"/>
                            <w:tcBorders>
                              <w:top w:val="single" w:sz="4" w:space="0" w:color="auto"/>
                              <w:left w:val="nil"/>
                              <w:bottom w:val="nil"/>
                              <w:right w:val="nil"/>
                            </w:tcBorders>
                            <w:vAlign w:val="center"/>
                          </w:tcPr>
                          <w:p w14:paraId="7850F36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vAlign w:val="center"/>
                          </w:tcPr>
                          <w:p w14:paraId="549747F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vAlign w:val="center"/>
                          </w:tcPr>
                          <w:p w14:paraId="4AB1489E"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nil"/>
                              <w:bottom w:val="nil"/>
                              <w:right w:val="nil"/>
                            </w:tcBorders>
                            <w:vAlign w:val="center"/>
                          </w:tcPr>
                          <w:p w14:paraId="0E3BA679" w14:textId="77777777" w:rsidR="007857F3" w:rsidRDefault="007857F3">
                            <w:pPr>
                              <w:pStyle w:val="Style7"/>
                              <w:spacing w:line="240" w:lineRule="auto"/>
                              <w:rPr>
                                <w:rFonts w:ascii="Times New Roman" w:hAnsi="Times New Roman" w:cs="Times New Roman"/>
                                <w:sz w:val="24"/>
                                <w:szCs w:val="24"/>
                              </w:rPr>
                            </w:pPr>
                            <w:r>
                              <w:rPr>
                                <w:rStyle w:val="CharStyle8"/>
                                <w:sz w:val="20"/>
                                <w:szCs w:val="20"/>
                                <w:vertAlign w:val="superscript"/>
                                <w:lang w:eastAsia="en-US"/>
                              </w:rPr>
                              <w:t>–</w:t>
                            </w:r>
                          </w:p>
                        </w:tc>
                        <w:tc>
                          <w:tcPr>
                            <w:tcW w:w="1075" w:type="dxa"/>
                            <w:tcBorders>
                              <w:top w:val="single" w:sz="4" w:space="0" w:color="auto"/>
                              <w:left w:val="nil"/>
                              <w:bottom w:val="nil"/>
                              <w:right w:val="nil"/>
                            </w:tcBorders>
                            <w:vAlign w:val="center"/>
                          </w:tcPr>
                          <w:p w14:paraId="216E37F7"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vAlign w:val="center"/>
                          </w:tcPr>
                          <w:p w14:paraId="1C65C790"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3EB5B6F4" w14:textId="77777777">
                        <w:tblPrEx>
                          <w:tblCellMar>
                            <w:top w:w="0" w:type="dxa"/>
                            <w:left w:w="0" w:type="dxa"/>
                            <w:bottom w:w="0" w:type="dxa"/>
                            <w:right w:w="0" w:type="dxa"/>
                          </w:tblCellMar>
                        </w:tblPrEx>
                        <w:trPr>
                          <w:trHeight w:hRule="exact" w:val="533"/>
                        </w:trPr>
                        <w:tc>
                          <w:tcPr>
                            <w:tcW w:w="2400" w:type="dxa"/>
                            <w:tcBorders>
                              <w:top w:val="single" w:sz="4" w:space="0" w:color="auto"/>
                              <w:left w:val="nil"/>
                              <w:bottom w:val="nil"/>
                              <w:right w:val="nil"/>
                            </w:tcBorders>
                            <w:vAlign w:val="center"/>
                          </w:tcPr>
                          <w:p w14:paraId="792D7C53" w14:textId="77777777" w:rsidR="007857F3" w:rsidRDefault="007857F3">
                            <w:pPr>
                              <w:pStyle w:val="Style7"/>
                              <w:spacing w:line="307" w:lineRule="auto"/>
                              <w:ind w:left="140"/>
                              <w:rPr>
                                <w:rFonts w:ascii="Times New Roman" w:hAnsi="Times New Roman" w:cs="Times New Roman"/>
                                <w:sz w:val="24"/>
                                <w:szCs w:val="24"/>
                              </w:rPr>
                            </w:pPr>
                            <w:r>
                              <w:rPr>
                                <w:rStyle w:val="CharStyle8"/>
                                <w:sz w:val="14"/>
                                <w:szCs w:val="14"/>
                                <w:lang w:eastAsia="en-US"/>
                              </w:rPr>
                              <w:t>Vertically integrated water vapour flux (VIMF)</w:t>
                            </w:r>
                          </w:p>
                        </w:tc>
                        <w:tc>
                          <w:tcPr>
                            <w:tcW w:w="1066" w:type="dxa"/>
                            <w:tcBorders>
                              <w:top w:val="single" w:sz="4" w:space="0" w:color="auto"/>
                              <w:left w:val="nil"/>
                              <w:bottom w:val="nil"/>
                              <w:right w:val="nil"/>
                            </w:tcBorders>
                          </w:tcPr>
                          <w:p w14:paraId="6107686C"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tcPr>
                          <w:p w14:paraId="743DE334"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tcPr>
                          <w:p w14:paraId="05423848"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tcPr>
                          <w:p w14:paraId="5875D555"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w:t>
                            </w:r>
                          </w:p>
                        </w:tc>
                        <w:tc>
                          <w:tcPr>
                            <w:tcW w:w="1075" w:type="dxa"/>
                            <w:tcBorders>
                              <w:top w:val="single" w:sz="4" w:space="0" w:color="auto"/>
                              <w:left w:val="nil"/>
                              <w:bottom w:val="nil"/>
                              <w:right w:val="nil"/>
                            </w:tcBorders>
                          </w:tcPr>
                          <w:p w14:paraId="3B85FA0B"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tcPr>
                          <w:p w14:paraId="1DD63B82"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53D50BBC" w14:textId="77777777">
                        <w:tblPrEx>
                          <w:tblCellMar>
                            <w:top w:w="0" w:type="dxa"/>
                            <w:left w:w="0" w:type="dxa"/>
                            <w:bottom w:w="0" w:type="dxa"/>
                            <w:right w:w="0" w:type="dxa"/>
                          </w:tblCellMar>
                        </w:tblPrEx>
                        <w:trPr>
                          <w:trHeight w:hRule="exact" w:val="322"/>
                        </w:trPr>
                        <w:tc>
                          <w:tcPr>
                            <w:tcW w:w="2400" w:type="dxa"/>
                            <w:tcBorders>
                              <w:top w:val="single" w:sz="4" w:space="0" w:color="auto"/>
                              <w:left w:val="nil"/>
                              <w:bottom w:val="nil"/>
                              <w:right w:val="nil"/>
                            </w:tcBorders>
                            <w:vAlign w:val="center"/>
                          </w:tcPr>
                          <w:p w14:paraId="5C38887A"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Moisture divergence (MDiv)</w:t>
                            </w:r>
                          </w:p>
                        </w:tc>
                        <w:tc>
                          <w:tcPr>
                            <w:tcW w:w="1066" w:type="dxa"/>
                            <w:tcBorders>
                              <w:top w:val="single" w:sz="4" w:space="0" w:color="auto"/>
                              <w:left w:val="nil"/>
                              <w:bottom w:val="nil"/>
                              <w:right w:val="nil"/>
                            </w:tcBorders>
                            <w:vAlign w:val="center"/>
                          </w:tcPr>
                          <w:p w14:paraId="7FD8A85A"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w:t>
                            </w:r>
                          </w:p>
                        </w:tc>
                        <w:tc>
                          <w:tcPr>
                            <w:tcW w:w="1003" w:type="dxa"/>
                            <w:tcBorders>
                              <w:top w:val="single" w:sz="4" w:space="0" w:color="auto"/>
                              <w:left w:val="nil"/>
                              <w:bottom w:val="nil"/>
                              <w:right w:val="nil"/>
                            </w:tcBorders>
                            <w:vAlign w:val="center"/>
                          </w:tcPr>
                          <w:p w14:paraId="35BF8473"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0.25°</w:t>
                            </w:r>
                          </w:p>
                        </w:tc>
                        <w:tc>
                          <w:tcPr>
                            <w:tcW w:w="1075" w:type="dxa"/>
                            <w:tcBorders>
                              <w:top w:val="single" w:sz="4" w:space="0" w:color="auto"/>
                              <w:left w:val="nil"/>
                              <w:bottom w:val="nil"/>
                              <w:right w:val="nil"/>
                            </w:tcBorders>
                            <w:vAlign w:val="center"/>
                          </w:tcPr>
                          <w:p w14:paraId="0F48FE15"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nil"/>
                              <w:bottom w:val="nil"/>
                              <w:right w:val="nil"/>
                            </w:tcBorders>
                            <w:vAlign w:val="center"/>
                          </w:tcPr>
                          <w:p w14:paraId="7E4817FC" w14:textId="77777777" w:rsidR="007857F3" w:rsidRDefault="007857F3">
                            <w:pPr>
                              <w:pStyle w:val="Style7"/>
                              <w:spacing w:line="240" w:lineRule="auto"/>
                              <w:rPr>
                                <w:rFonts w:ascii="Times New Roman" w:hAnsi="Times New Roman" w:cs="Times New Roman"/>
                                <w:sz w:val="24"/>
                                <w:szCs w:val="24"/>
                              </w:rPr>
                            </w:pPr>
                            <w:r>
                              <w:rPr>
                                <w:rStyle w:val="CharStyle8"/>
                                <w:sz w:val="20"/>
                                <w:szCs w:val="20"/>
                                <w:vertAlign w:val="superscript"/>
                                <w:lang w:eastAsia="en-US"/>
                              </w:rPr>
                              <w:t>–</w:t>
                            </w:r>
                          </w:p>
                        </w:tc>
                        <w:tc>
                          <w:tcPr>
                            <w:tcW w:w="1075" w:type="dxa"/>
                            <w:tcBorders>
                              <w:top w:val="single" w:sz="4" w:space="0" w:color="auto"/>
                              <w:left w:val="nil"/>
                              <w:bottom w:val="nil"/>
                              <w:right w:val="nil"/>
                            </w:tcBorders>
                            <w:vAlign w:val="center"/>
                          </w:tcPr>
                          <w:p w14:paraId="2ECD0CC5"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w:t>
                            </w:r>
                          </w:p>
                        </w:tc>
                        <w:tc>
                          <w:tcPr>
                            <w:tcW w:w="1411" w:type="dxa"/>
                            <w:tcBorders>
                              <w:top w:val="single" w:sz="4" w:space="0" w:color="auto"/>
                              <w:left w:val="nil"/>
                              <w:bottom w:val="nil"/>
                              <w:right w:val="nil"/>
                            </w:tcBorders>
                            <w:vAlign w:val="center"/>
                          </w:tcPr>
                          <w:p w14:paraId="0B6F9C8A"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w:t>
                            </w:r>
                          </w:p>
                        </w:tc>
                      </w:tr>
                      <w:tr w:rsidR="00000000" w14:paraId="28AD8297" w14:textId="77777777">
                        <w:tblPrEx>
                          <w:tblCellMar>
                            <w:top w:w="0" w:type="dxa"/>
                            <w:left w:w="0" w:type="dxa"/>
                            <w:bottom w:w="0" w:type="dxa"/>
                            <w:right w:w="0" w:type="dxa"/>
                          </w:tblCellMar>
                        </w:tblPrEx>
                        <w:trPr>
                          <w:trHeight w:hRule="exact" w:val="533"/>
                        </w:trPr>
                        <w:tc>
                          <w:tcPr>
                            <w:tcW w:w="2400" w:type="dxa"/>
                            <w:tcBorders>
                              <w:top w:val="single" w:sz="4" w:space="0" w:color="auto"/>
                              <w:left w:val="nil"/>
                              <w:bottom w:val="nil"/>
                              <w:right w:val="nil"/>
                            </w:tcBorders>
                          </w:tcPr>
                          <w:p w14:paraId="2F300E94"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Precipitation</w:t>
                            </w:r>
                          </w:p>
                        </w:tc>
                        <w:tc>
                          <w:tcPr>
                            <w:tcW w:w="1066" w:type="dxa"/>
                            <w:tcBorders>
                              <w:top w:val="single" w:sz="4" w:space="0" w:color="auto"/>
                              <w:left w:val="nil"/>
                              <w:bottom w:val="nil"/>
                              <w:right w:val="nil"/>
                            </w:tcBorders>
                          </w:tcPr>
                          <w:p w14:paraId="61AC1117"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w:t>
                            </w:r>
                          </w:p>
                        </w:tc>
                        <w:tc>
                          <w:tcPr>
                            <w:tcW w:w="1003" w:type="dxa"/>
                            <w:tcBorders>
                              <w:top w:val="single" w:sz="4" w:space="0" w:color="auto"/>
                              <w:left w:val="nil"/>
                              <w:bottom w:val="nil"/>
                              <w:right w:val="nil"/>
                            </w:tcBorders>
                          </w:tcPr>
                          <w:p w14:paraId="21188A94"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w:t>
                            </w:r>
                          </w:p>
                        </w:tc>
                        <w:tc>
                          <w:tcPr>
                            <w:tcW w:w="1075" w:type="dxa"/>
                            <w:tcBorders>
                              <w:top w:val="single" w:sz="4" w:space="0" w:color="auto"/>
                              <w:left w:val="nil"/>
                              <w:bottom w:val="nil"/>
                              <w:right w:val="nil"/>
                            </w:tcBorders>
                          </w:tcPr>
                          <w:p w14:paraId="458926D5"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w:t>
                            </w:r>
                          </w:p>
                        </w:tc>
                        <w:tc>
                          <w:tcPr>
                            <w:tcW w:w="1728" w:type="dxa"/>
                            <w:tcBorders>
                              <w:top w:val="single" w:sz="4" w:space="0" w:color="auto"/>
                              <w:left w:val="single" w:sz="4" w:space="0" w:color="auto"/>
                              <w:bottom w:val="nil"/>
                              <w:right w:val="nil"/>
                            </w:tcBorders>
                            <w:vAlign w:val="center"/>
                          </w:tcPr>
                          <w:p w14:paraId="39A395C4" w14:textId="77777777" w:rsidR="007857F3" w:rsidRDefault="007857F3">
                            <w:pPr>
                              <w:pStyle w:val="Style7"/>
                              <w:spacing w:line="307" w:lineRule="auto"/>
                              <w:rPr>
                                <w:rFonts w:ascii="Times New Roman" w:hAnsi="Times New Roman" w:cs="Times New Roman"/>
                                <w:sz w:val="24"/>
                                <w:szCs w:val="24"/>
                              </w:rPr>
                            </w:pPr>
                            <w:r>
                              <w:rPr>
                                <w:rStyle w:val="CharStyle8"/>
                                <w:sz w:val="14"/>
                                <w:szCs w:val="14"/>
                                <w:lang w:eastAsia="en-US"/>
                              </w:rPr>
                              <w:t xml:space="preserve">MSWEP v2.8 </w:t>
                            </w:r>
                            <w:hyperlink w:anchor="bookmark58" w:tooltip="Current Document" w:history="1">
                              <w:r>
                                <w:rPr>
                                  <w:rStyle w:val="CharStyle8"/>
                                  <w:sz w:val="14"/>
                                  <w:szCs w:val="14"/>
                                  <w:lang w:eastAsia="en-US"/>
                                </w:rPr>
                                <w:t>(Beck et al., 2019)</w:t>
                              </w:r>
                            </w:hyperlink>
                          </w:p>
                        </w:tc>
                        <w:tc>
                          <w:tcPr>
                            <w:tcW w:w="1075" w:type="dxa"/>
                            <w:tcBorders>
                              <w:top w:val="single" w:sz="4" w:space="0" w:color="auto"/>
                              <w:left w:val="nil"/>
                              <w:bottom w:val="nil"/>
                              <w:right w:val="nil"/>
                            </w:tcBorders>
                          </w:tcPr>
                          <w:p w14:paraId="53B5589E"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0.1°</w:t>
                            </w:r>
                          </w:p>
                        </w:tc>
                        <w:tc>
                          <w:tcPr>
                            <w:tcW w:w="1411" w:type="dxa"/>
                            <w:tcBorders>
                              <w:top w:val="single" w:sz="4" w:space="0" w:color="auto"/>
                              <w:left w:val="nil"/>
                              <w:bottom w:val="nil"/>
                              <w:right w:val="nil"/>
                            </w:tcBorders>
                          </w:tcPr>
                          <w:p w14:paraId="6F158C1F"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35F233FC" w14:textId="77777777">
                        <w:tblPrEx>
                          <w:tblCellMar>
                            <w:top w:w="0" w:type="dxa"/>
                            <w:left w:w="0" w:type="dxa"/>
                            <w:bottom w:w="0" w:type="dxa"/>
                            <w:right w:w="0" w:type="dxa"/>
                          </w:tblCellMar>
                        </w:tblPrEx>
                        <w:trPr>
                          <w:trHeight w:hRule="exact" w:val="739"/>
                        </w:trPr>
                        <w:tc>
                          <w:tcPr>
                            <w:tcW w:w="2400" w:type="dxa"/>
                            <w:tcBorders>
                              <w:top w:val="single" w:sz="4" w:space="0" w:color="auto"/>
                              <w:left w:val="nil"/>
                              <w:bottom w:val="nil"/>
                              <w:right w:val="nil"/>
                            </w:tcBorders>
                          </w:tcPr>
                          <w:p w14:paraId="2377A21D"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Net surface thermal radiation</w:t>
                            </w:r>
                          </w:p>
                        </w:tc>
                        <w:tc>
                          <w:tcPr>
                            <w:tcW w:w="1066" w:type="dxa"/>
                            <w:tcBorders>
                              <w:top w:val="single" w:sz="4" w:space="0" w:color="auto"/>
                              <w:left w:val="nil"/>
                              <w:bottom w:val="nil"/>
                              <w:right w:val="nil"/>
                            </w:tcBorders>
                          </w:tcPr>
                          <w:p w14:paraId="3F930269"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tcPr>
                          <w:p w14:paraId="05D041C0"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tcPr>
                          <w:p w14:paraId="217720CB"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vAlign w:val="center"/>
                          </w:tcPr>
                          <w:p w14:paraId="7231CE81"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CLARA-A3</w:t>
                            </w:r>
                          </w:p>
                          <w:p w14:paraId="7BCC24F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cloud area fraction</w:t>
                            </w:r>
                          </w:p>
                          <w:p w14:paraId="61B42779" w14:textId="77777777" w:rsidR="007857F3" w:rsidRDefault="007857F3">
                            <w:pPr>
                              <w:pStyle w:val="Style7"/>
                              <w:spacing w:line="240" w:lineRule="auto"/>
                              <w:rPr>
                                <w:rFonts w:ascii="Times New Roman" w:hAnsi="Times New Roman" w:cs="Times New Roman"/>
                                <w:sz w:val="24"/>
                                <w:szCs w:val="24"/>
                              </w:rPr>
                            </w:pPr>
                            <w:hyperlink w:anchor="bookmark86" w:tooltip="Current Document" w:history="1">
                              <w:r>
                                <w:rPr>
                                  <w:rStyle w:val="CharStyle8"/>
                                  <w:sz w:val="14"/>
                                  <w:szCs w:val="14"/>
                                  <w:lang w:eastAsia="en-US"/>
                                </w:rPr>
                                <w:t>(Karlsson et al., 2023)</w:t>
                              </w:r>
                            </w:hyperlink>
                          </w:p>
                        </w:tc>
                        <w:tc>
                          <w:tcPr>
                            <w:tcW w:w="1075" w:type="dxa"/>
                            <w:tcBorders>
                              <w:top w:val="single" w:sz="4" w:space="0" w:color="auto"/>
                              <w:left w:val="nil"/>
                              <w:bottom w:val="nil"/>
                              <w:right w:val="nil"/>
                            </w:tcBorders>
                          </w:tcPr>
                          <w:p w14:paraId="575B28E5"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0.25°</w:t>
                            </w:r>
                          </w:p>
                        </w:tc>
                        <w:tc>
                          <w:tcPr>
                            <w:tcW w:w="1411" w:type="dxa"/>
                            <w:tcBorders>
                              <w:top w:val="single" w:sz="4" w:space="0" w:color="auto"/>
                              <w:left w:val="nil"/>
                              <w:bottom w:val="nil"/>
                              <w:right w:val="nil"/>
                            </w:tcBorders>
                          </w:tcPr>
                          <w:p w14:paraId="5F3CAE29"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222F6D10" w14:textId="77777777">
                        <w:tblPrEx>
                          <w:tblCellMar>
                            <w:top w:w="0" w:type="dxa"/>
                            <w:left w:w="0" w:type="dxa"/>
                            <w:bottom w:w="0" w:type="dxa"/>
                            <w:right w:w="0" w:type="dxa"/>
                          </w:tblCellMar>
                        </w:tblPrEx>
                        <w:trPr>
                          <w:trHeight w:hRule="exact" w:val="326"/>
                        </w:trPr>
                        <w:tc>
                          <w:tcPr>
                            <w:tcW w:w="2400" w:type="dxa"/>
                            <w:tcBorders>
                              <w:top w:val="single" w:sz="4" w:space="0" w:color="auto"/>
                              <w:left w:val="nil"/>
                              <w:bottom w:val="nil"/>
                              <w:right w:val="nil"/>
                            </w:tcBorders>
                            <w:vAlign w:val="center"/>
                          </w:tcPr>
                          <w:p w14:paraId="27C12344"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Net surface solar radiation</w:t>
                            </w:r>
                          </w:p>
                        </w:tc>
                        <w:tc>
                          <w:tcPr>
                            <w:tcW w:w="1066" w:type="dxa"/>
                            <w:tcBorders>
                              <w:top w:val="single" w:sz="4" w:space="0" w:color="auto"/>
                              <w:left w:val="nil"/>
                              <w:bottom w:val="nil"/>
                              <w:right w:val="nil"/>
                            </w:tcBorders>
                            <w:vAlign w:val="center"/>
                          </w:tcPr>
                          <w:p w14:paraId="37729D94"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vAlign w:val="center"/>
                          </w:tcPr>
                          <w:p w14:paraId="4314013F"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vAlign w:val="center"/>
                          </w:tcPr>
                          <w:p w14:paraId="7180967D"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4214" w:type="dxa"/>
                            <w:gridSpan w:val="3"/>
                            <w:tcBorders>
                              <w:top w:val="single" w:sz="4" w:space="0" w:color="auto"/>
                              <w:left w:val="nil"/>
                              <w:bottom w:val="nil"/>
                              <w:right w:val="nil"/>
                            </w:tcBorders>
                            <w:vAlign w:val="center"/>
                          </w:tcPr>
                          <w:p w14:paraId="6D1A39FC" w14:textId="77777777" w:rsidR="007857F3" w:rsidRDefault="007857F3">
                            <w:pPr>
                              <w:pStyle w:val="Style7"/>
                              <w:spacing w:line="240" w:lineRule="auto"/>
                              <w:rPr>
                                <w:rFonts w:ascii="Times New Roman" w:hAnsi="Times New Roman" w:cs="Times New Roman"/>
                                <w:sz w:val="24"/>
                                <w:szCs w:val="24"/>
                              </w:rPr>
                            </w:pPr>
                            <w:hyperlink w:anchor="bookmark86" w:tooltip="Current Document" w:history="1">
                              <w:r>
                                <w:rPr>
                                  <w:rStyle w:val="CharStyle8"/>
                                  <w:sz w:val="14"/>
                                  <w:szCs w:val="14"/>
                                  <w:lang w:eastAsia="en-US"/>
                                </w:rPr>
                                <w:t>(Karlsson et al., 2023)</w:t>
                              </w:r>
                            </w:hyperlink>
                          </w:p>
                        </w:tc>
                      </w:tr>
                      <w:tr w:rsidR="00000000" w14:paraId="28FB59A3" w14:textId="77777777">
                        <w:tblPrEx>
                          <w:tblCellMar>
                            <w:top w:w="0" w:type="dxa"/>
                            <w:left w:w="0" w:type="dxa"/>
                            <w:bottom w:w="0" w:type="dxa"/>
                            <w:right w:w="0" w:type="dxa"/>
                          </w:tblCellMar>
                        </w:tblPrEx>
                        <w:trPr>
                          <w:trHeight w:hRule="exact" w:val="739"/>
                        </w:trPr>
                        <w:tc>
                          <w:tcPr>
                            <w:tcW w:w="2400" w:type="dxa"/>
                            <w:tcBorders>
                              <w:top w:val="single" w:sz="4" w:space="0" w:color="auto"/>
                              <w:left w:val="nil"/>
                              <w:bottom w:val="nil"/>
                              <w:right w:val="nil"/>
                            </w:tcBorders>
                            <w:vAlign w:val="center"/>
                          </w:tcPr>
                          <w:p w14:paraId="1077C3AD" w14:textId="77777777" w:rsidR="007857F3" w:rsidRDefault="007857F3">
                            <w:pPr>
                              <w:pStyle w:val="Style7"/>
                              <w:spacing w:line="312" w:lineRule="auto"/>
                              <w:ind w:left="140"/>
                              <w:rPr>
                                <w:rFonts w:ascii="Times New Roman" w:hAnsi="Times New Roman" w:cs="Times New Roman"/>
                                <w:sz w:val="24"/>
                                <w:szCs w:val="24"/>
                              </w:rPr>
                            </w:pPr>
                            <w:r>
                              <w:rPr>
                                <w:rStyle w:val="CharStyle8"/>
                                <w:sz w:val="14"/>
                                <w:szCs w:val="14"/>
                                <w:lang w:eastAsia="en-US"/>
                              </w:rPr>
                              <w:t>Soil moisture (volumetric</w:t>
                            </w:r>
                            <w:r>
                              <w:rPr>
                                <w:rStyle w:val="CharStyle8"/>
                                <w:sz w:val="14"/>
                                <w:szCs w:val="14"/>
                                <w:lang w:eastAsia="en-US"/>
                              </w:rPr>
                              <w:t xml:space="preserve"> water content in the first soil layer)</w:t>
                            </w:r>
                          </w:p>
                        </w:tc>
                        <w:tc>
                          <w:tcPr>
                            <w:tcW w:w="1066" w:type="dxa"/>
                            <w:tcBorders>
                              <w:top w:val="single" w:sz="4" w:space="0" w:color="auto"/>
                              <w:left w:val="nil"/>
                              <w:bottom w:val="nil"/>
                              <w:right w:val="nil"/>
                            </w:tcBorders>
                          </w:tcPr>
                          <w:p w14:paraId="5D9A748D"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tcPr>
                          <w:p w14:paraId="0976219D"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tcPr>
                          <w:p w14:paraId="13F43617"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tcPr>
                          <w:p w14:paraId="1ACBD0B9" w14:textId="77777777" w:rsidR="007857F3" w:rsidRDefault="007857F3">
                            <w:pPr>
                              <w:pStyle w:val="Style7"/>
                              <w:spacing w:line="314" w:lineRule="auto"/>
                              <w:rPr>
                                <w:rFonts w:ascii="Times New Roman" w:hAnsi="Times New Roman" w:cs="Times New Roman"/>
                                <w:sz w:val="24"/>
                                <w:szCs w:val="24"/>
                              </w:rPr>
                            </w:pPr>
                            <w:r>
                              <w:rPr>
                                <w:rStyle w:val="CharStyle8"/>
                                <w:sz w:val="14"/>
                                <w:szCs w:val="14"/>
                                <w:lang w:eastAsia="en-US"/>
                              </w:rPr>
                              <w:t xml:space="preserve">ESA-CCI-SM v08.1 </w:t>
                            </w:r>
                            <w:hyperlink w:anchor="bookmark81" w:tooltip="Current Document" w:history="1">
                              <w:r>
                                <w:rPr>
                                  <w:rStyle w:val="CharStyle8"/>
                                  <w:sz w:val="14"/>
                                  <w:szCs w:val="14"/>
                                  <w:lang w:eastAsia="en-US"/>
                                </w:rPr>
                                <w:t>(Gruber et al., 2019)</w:t>
                              </w:r>
                            </w:hyperlink>
                          </w:p>
                        </w:tc>
                        <w:tc>
                          <w:tcPr>
                            <w:tcW w:w="1075" w:type="dxa"/>
                            <w:tcBorders>
                              <w:top w:val="single" w:sz="4" w:space="0" w:color="auto"/>
                              <w:left w:val="nil"/>
                              <w:bottom w:val="nil"/>
                              <w:right w:val="nil"/>
                            </w:tcBorders>
                          </w:tcPr>
                          <w:p w14:paraId="1812FDCF"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0.25°</w:t>
                            </w:r>
                          </w:p>
                        </w:tc>
                        <w:tc>
                          <w:tcPr>
                            <w:tcW w:w="1411" w:type="dxa"/>
                            <w:tcBorders>
                              <w:top w:val="single" w:sz="4" w:space="0" w:color="auto"/>
                              <w:left w:val="nil"/>
                              <w:bottom w:val="nil"/>
                              <w:right w:val="nil"/>
                            </w:tcBorders>
                            <w:vAlign w:val="center"/>
                          </w:tcPr>
                          <w:p w14:paraId="2B9FB54F" w14:textId="77777777" w:rsidR="007857F3" w:rsidRDefault="007857F3">
                            <w:pPr>
                              <w:pStyle w:val="Style7"/>
                              <w:spacing w:line="312" w:lineRule="auto"/>
                              <w:ind w:left="180"/>
                              <w:rPr>
                                <w:rFonts w:ascii="Times New Roman" w:hAnsi="Times New Roman" w:cs="Times New Roman"/>
                                <w:sz w:val="24"/>
                                <w:szCs w:val="24"/>
                              </w:rPr>
                            </w:pPr>
                            <w:r>
                              <w:rPr>
                                <w:rStyle w:val="CharStyle8"/>
                                <w:sz w:val="14"/>
                                <w:szCs w:val="14"/>
                                <w:lang w:eastAsia="en-US"/>
                              </w:rPr>
                              <w:t>Daily (aggregated to monthly)</w:t>
                            </w:r>
                          </w:p>
                        </w:tc>
                      </w:tr>
                      <w:tr w:rsidR="00000000" w14:paraId="6C65BD2E" w14:textId="77777777">
                        <w:tblPrEx>
                          <w:tblCellMar>
                            <w:top w:w="0" w:type="dxa"/>
                            <w:left w:w="0" w:type="dxa"/>
                            <w:bottom w:w="0" w:type="dxa"/>
                            <w:right w:w="0" w:type="dxa"/>
                          </w:tblCellMar>
                        </w:tblPrEx>
                        <w:trPr>
                          <w:trHeight w:hRule="exact" w:val="533"/>
                        </w:trPr>
                        <w:tc>
                          <w:tcPr>
                            <w:tcW w:w="2400" w:type="dxa"/>
                            <w:tcBorders>
                              <w:top w:val="single" w:sz="4" w:space="0" w:color="auto"/>
                              <w:left w:val="nil"/>
                              <w:bottom w:val="nil"/>
                              <w:right w:val="nil"/>
                            </w:tcBorders>
                          </w:tcPr>
                          <w:p w14:paraId="4DAA960F"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Total evaporation</w:t>
                            </w:r>
                          </w:p>
                        </w:tc>
                        <w:tc>
                          <w:tcPr>
                            <w:tcW w:w="1066" w:type="dxa"/>
                            <w:tcBorders>
                              <w:top w:val="single" w:sz="4" w:space="0" w:color="auto"/>
                              <w:left w:val="nil"/>
                              <w:bottom w:val="nil"/>
                              <w:right w:val="nil"/>
                            </w:tcBorders>
                          </w:tcPr>
                          <w:p w14:paraId="244BA11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ERA5-Land</w:t>
                            </w:r>
                          </w:p>
                        </w:tc>
                        <w:tc>
                          <w:tcPr>
                            <w:tcW w:w="1003" w:type="dxa"/>
                            <w:tcBorders>
                              <w:top w:val="single" w:sz="4" w:space="0" w:color="auto"/>
                              <w:left w:val="nil"/>
                              <w:bottom w:val="nil"/>
                              <w:right w:val="nil"/>
                            </w:tcBorders>
                          </w:tcPr>
                          <w:p w14:paraId="0470529E"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0.1°</w:t>
                            </w:r>
                          </w:p>
                        </w:tc>
                        <w:tc>
                          <w:tcPr>
                            <w:tcW w:w="1075" w:type="dxa"/>
                            <w:tcBorders>
                              <w:top w:val="single" w:sz="4" w:space="0" w:color="auto"/>
                              <w:left w:val="nil"/>
                              <w:bottom w:val="nil"/>
                              <w:right w:val="nil"/>
                            </w:tcBorders>
                          </w:tcPr>
                          <w:p w14:paraId="641E27A6"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Monthly</w:t>
                            </w:r>
                          </w:p>
                        </w:tc>
                        <w:tc>
                          <w:tcPr>
                            <w:tcW w:w="1728" w:type="dxa"/>
                            <w:tcBorders>
                              <w:top w:val="single" w:sz="4" w:space="0" w:color="auto"/>
                              <w:left w:val="single" w:sz="4" w:space="0" w:color="auto"/>
                              <w:bottom w:val="nil"/>
                              <w:right w:val="nil"/>
                            </w:tcBorders>
                            <w:vAlign w:val="center"/>
                          </w:tcPr>
                          <w:p w14:paraId="73E40A9B"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GLEAM v3.8a</w:t>
                            </w:r>
                          </w:p>
                          <w:p w14:paraId="0E77CD74" w14:textId="77777777" w:rsidR="007857F3" w:rsidRDefault="007857F3">
                            <w:pPr>
                              <w:pStyle w:val="Style7"/>
                              <w:spacing w:line="240" w:lineRule="auto"/>
                              <w:rPr>
                                <w:rFonts w:ascii="Times New Roman" w:hAnsi="Times New Roman" w:cs="Times New Roman"/>
                                <w:sz w:val="24"/>
                                <w:szCs w:val="24"/>
                              </w:rPr>
                            </w:pPr>
                            <w:hyperlink w:anchor="bookmark110" w:tooltip="Current Document" w:history="1">
                              <w:r>
                                <w:rPr>
                                  <w:rStyle w:val="CharStyle8"/>
                                  <w:sz w:val="14"/>
                                  <w:szCs w:val="14"/>
                                  <w:lang w:eastAsia="en-US"/>
                                </w:rPr>
                                <w:t>(Martens et al., 2017)</w:t>
                              </w:r>
                            </w:hyperlink>
                          </w:p>
                        </w:tc>
                        <w:tc>
                          <w:tcPr>
                            <w:tcW w:w="1075" w:type="dxa"/>
                            <w:tcBorders>
                              <w:top w:val="single" w:sz="4" w:space="0" w:color="auto"/>
                              <w:left w:val="nil"/>
                              <w:bottom w:val="nil"/>
                              <w:right w:val="nil"/>
                            </w:tcBorders>
                          </w:tcPr>
                          <w:p w14:paraId="25119968"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0.25°</w:t>
                            </w:r>
                          </w:p>
                        </w:tc>
                        <w:tc>
                          <w:tcPr>
                            <w:tcW w:w="1411" w:type="dxa"/>
                            <w:tcBorders>
                              <w:top w:val="single" w:sz="4" w:space="0" w:color="auto"/>
                              <w:left w:val="nil"/>
                              <w:bottom w:val="nil"/>
                              <w:right w:val="nil"/>
                            </w:tcBorders>
                          </w:tcPr>
                          <w:p w14:paraId="2F370273"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799A08AD" w14:textId="77777777">
                        <w:tblPrEx>
                          <w:tblCellMar>
                            <w:top w:w="0" w:type="dxa"/>
                            <w:left w:w="0" w:type="dxa"/>
                            <w:bottom w:w="0" w:type="dxa"/>
                            <w:right w:w="0" w:type="dxa"/>
                          </w:tblCellMar>
                        </w:tblPrEx>
                        <w:trPr>
                          <w:trHeight w:hRule="exact" w:val="322"/>
                        </w:trPr>
                        <w:tc>
                          <w:tcPr>
                            <w:tcW w:w="2400" w:type="dxa"/>
                            <w:tcBorders>
                              <w:top w:val="single" w:sz="4" w:space="0" w:color="auto"/>
                              <w:left w:val="nil"/>
                              <w:bottom w:val="nil"/>
                              <w:right w:val="nil"/>
                            </w:tcBorders>
                            <w:vAlign w:val="center"/>
                          </w:tcPr>
                          <w:p w14:paraId="161791E3"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Sea surface</w:t>
                            </w:r>
                          </w:p>
                        </w:tc>
                        <w:tc>
                          <w:tcPr>
                            <w:tcW w:w="1066" w:type="dxa"/>
                            <w:tcBorders>
                              <w:top w:val="single" w:sz="4" w:space="0" w:color="auto"/>
                              <w:left w:val="nil"/>
                              <w:bottom w:val="nil"/>
                              <w:right w:val="nil"/>
                            </w:tcBorders>
                          </w:tcPr>
                          <w:p w14:paraId="214474D4" w14:textId="77777777" w:rsidR="007857F3" w:rsidRDefault="007857F3">
                            <w:pPr>
                              <w:rPr>
                                <w:color w:val="auto"/>
                                <w:lang w:eastAsia="en-GB"/>
                              </w:rPr>
                            </w:pPr>
                          </w:p>
                        </w:tc>
                        <w:tc>
                          <w:tcPr>
                            <w:tcW w:w="3806" w:type="dxa"/>
                            <w:gridSpan w:val="3"/>
                            <w:tcBorders>
                              <w:top w:val="single" w:sz="4" w:space="0" w:color="auto"/>
                              <w:left w:val="nil"/>
                              <w:bottom w:val="nil"/>
                              <w:right w:val="nil"/>
                            </w:tcBorders>
                            <w:vAlign w:val="center"/>
                          </w:tcPr>
                          <w:p w14:paraId="5A42A7CE" w14:textId="77777777" w:rsidR="007857F3" w:rsidRDefault="007857F3">
                            <w:pPr>
                              <w:pStyle w:val="Style7"/>
                              <w:spacing w:line="240" w:lineRule="auto"/>
                              <w:ind w:firstLine="360"/>
                              <w:rPr>
                                <w:rFonts w:ascii="Times New Roman" w:hAnsi="Times New Roman" w:cs="Times New Roman"/>
                                <w:sz w:val="24"/>
                                <w:szCs w:val="24"/>
                              </w:rPr>
                            </w:pPr>
                            <w:r>
                              <w:rPr>
                                <w:rStyle w:val="CharStyle8"/>
                                <w:sz w:val="14"/>
                                <w:szCs w:val="14"/>
                                <w:lang w:eastAsia="en-US"/>
                              </w:rPr>
                              <w:t xml:space="preserve">ERSST v5 </w:t>
                            </w:r>
                            <w:hyperlink w:anchor="bookmark99" w:tooltip="Current Document" w:history="1">
                              <w:r>
                                <w:rPr>
                                  <w:rStyle w:val="CharStyle8"/>
                                  <w:sz w:val="14"/>
                                  <w:szCs w:val="14"/>
                                  <w:lang w:eastAsia="en-US"/>
                                </w:rPr>
                                <w:t>(Huang et al., 2017)</w:t>
                              </w:r>
                            </w:hyperlink>
                          </w:p>
                        </w:tc>
                        <w:tc>
                          <w:tcPr>
                            <w:tcW w:w="1075" w:type="dxa"/>
                            <w:tcBorders>
                              <w:top w:val="single" w:sz="4" w:space="0" w:color="auto"/>
                              <w:left w:val="nil"/>
                              <w:bottom w:val="nil"/>
                              <w:right w:val="nil"/>
                            </w:tcBorders>
                            <w:vAlign w:val="center"/>
                          </w:tcPr>
                          <w:p w14:paraId="4A2C6BEB"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2°</w:t>
                            </w:r>
                          </w:p>
                        </w:tc>
                        <w:tc>
                          <w:tcPr>
                            <w:tcW w:w="1411" w:type="dxa"/>
                            <w:tcBorders>
                              <w:top w:val="single" w:sz="4" w:space="0" w:color="auto"/>
                              <w:left w:val="nil"/>
                              <w:bottom w:val="nil"/>
                              <w:right w:val="nil"/>
                            </w:tcBorders>
                            <w:vAlign w:val="center"/>
                          </w:tcPr>
                          <w:p w14:paraId="2534E74C"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r w:rsidR="00000000" w14:paraId="2760D8BA" w14:textId="77777777">
                        <w:tblPrEx>
                          <w:tblCellMar>
                            <w:top w:w="0" w:type="dxa"/>
                            <w:left w:w="0" w:type="dxa"/>
                            <w:bottom w:w="0" w:type="dxa"/>
                            <w:right w:w="0" w:type="dxa"/>
                          </w:tblCellMar>
                        </w:tblPrEx>
                        <w:trPr>
                          <w:trHeight w:hRule="exact" w:val="274"/>
                        </w:trPr>
                        <w:tc>
                          <w:tcPr>
                            <w:tcW w:w="2400" w:type="dxa"/>
                            <w:tcBorders>
                              <w:top w:val="single" w:sz="4" w:space="0" w:color="auto"/>
                              <w:left w:val="nil"/>
                              <w:bottom w:val="single" w:sz="4" w:space="0" w:color="auto"/>
                              <w:right w:val="nil"/>
                            </w:tcBorders>
                            <w:vAlign w:val="bottom"/>
                          </w:tcPr>
                          <w:p w14:paraId="254BCC49" w14:textId="77777777" w:rsidR="007857F3" w:rsidRDefault="007857F3">
                            <w:pPr>
                              <w:pStyle w:val="Style7"/>
                              <w:spacing w:line="240" w:lineRule="auto"/>
                              <w:ind w:firstLine="140"/>
                              <w:rPr>
                                <w:rFonts w:ascii="Times New Roman" w:hAnsi="Times New Roman" w:cs="Times New Roman"/>
                                <w:sz w:val="24"/>
                                <w:szCs w:val="24"/>
                              </w:rPr>
                            </w:pPr>
                            <w:r>
                              <w:rPr>
                                <w:rStyle w:val="CharStyle8"/>
                                <w:sz w:val="14"/>
                                <w:szCs w:val="14"/>
                                <w:lang w:eastAsia="en-US"/>
                              </w:rPr>
                              <w:t>Temperature anomalies</w:t>
                            </w:r>
                          </w:p>
                        </w:tc>
                        <w:tc>
                          <w:tcPr>
                            <w:tcW w:w="1066" w:type="dxa"/>
                            <w:tcBorders>
                              <w:top w:val="single" w:sz="4" w:space="0" w:color="auto"/>
                              <w:left w:val="nil"/>
                              <w:bottom w:val="single" w:sz="4" w:space="0" w:color="auto"/>
                              <w:right w:val="nil"/>
                            </w:tcBorders>
                          </w:tcPr>
                          <w:p w14:paraId="67E8D4AC" w14:textId="77777777" w:rsidR="007857F3" w:rsidRDefault="007857F3">
                            <w:pPr>
                              <w:rPr>
                                <w:color w:val="auto"/>
                                <w:lang w:eastAsia="en-GB"/>
                              </w:rPr>
                            </w:pPr>
                          </w:p>
                        </w:tc>
                        <w:tc>
                          <w:tcPr>
                            <w:tcW w:w="3806" w:type="dxa"/>
                            <w:gridSpan w:val="3"/>
                            <w:tcBorders>
                              <w:top w:val="single" w:sz="4" w:space="0" w:color="auto"/>
                              <w:left w:val="nil"/>
                              <w:bottom w:val="single" w:sz="4" w:space="0" w:color="auto"/>
                              <w:right w:val="nil"/>
                            </w:tcBorders>
                            <w:vAlign w:val="bottom"/>
                          </w:tcPr>
                          <w:p w14:paraId="6A33C79D" w14:textId="77777777" w:rsidR="007857F3" w:rsidRDefault="007857F3">
                            <w:pPr>
                              <w:pStyle w:val="Style7"/>
                              <w:spacing w:line="240" w:lineRule="auto"/>
                              <w:rPr>
                                <w:rFonts w:ascii="Times New Roman" w:hAnsi="Times New Roman" w:cs="Times New Roman"/>
                                <w:sz w:val="24"/>
                                <w:szCs w:val="24"/>
                              </w:rPr>
                            </w:pPr>
                            <w:r>
                              <w:rPr>
                                <w:rStyle w:val="CharStyle8"/>
                                <w:sz w:val="14"/>
                                <w:szCs w:val="14"/>
                                <w:lang w:eastAsia="en-US"/>
                              </w:rPr>
                              <w:t xml:space="preserve">HadSST v4.0.1 </w:t>
                            </w:r>
                            <w:hyperlink w:anchor="bookmark90" w:tooltip="Current Document" w:history="1">
                              <w:r>
                                <w:rPr>
                                  <w:rStyle w:val="CharStyle8"/>
                                  <w:sz w:val="14"/>
                                  <w:szCs w:val="14"/>
                                  <w:lang w:eastAsia="en-US"/>
                                </w:rPr>
                                <w:t>(Kennedy et al., 2019)</w:t>
                              </w:r>
                            </w:hyperlink>
                          </w:p>
                        </w:tc>
                        <w:tc>
                          <w:tcPr>
                            <w:tcW w:w="1075" w:type="dxa"/>
                            <w:tcBorders>
                              <w:top w:val="single" w:sz="4" w:space="0" w:color="auto"/>
                              <w:left w:val="nil"/>
                              <w:bottom w:val="single" w:sz="4" w:space="0" w:color="auto"/>
                              <w:right w:val="nil"/>
                            </w:tcBorders>
                            <w:vAlign w:val="bottom"/>
                          </w:tcPr>
                          <w:p w14:paraId="5F7DB8E9" w14:textId="77777777" w:rsidR="007857F3" w:rsidRDefault="007857F3">
                            <w:pPr>
                              <w:pStyle w:val="Style7"/>
                              <w:spacing w:line="240" w:lineRule="auto"/>
                              <w:ind w:firstLine="220"/>
                              <w:rPr>
                                <w:rFonts w:ascii="Times New Roman" w:hAnsi="Times New Roman" w:cs="Times New Roman"/>
                                <w:sz w:val="24"/>
                                <w:szCs w:val="24"/>
                              </w:rPr>
                            </w:pPr>
                            <w:r>
                              <w:rPr>
                                <w:rStyle w:val="CharStyle8"/>
                                <w:sz w:val="14"/>
                                <w:szCs w:val="14"/>
                                <w:lang w:eastAsia="en-US"/>
                              </w:rPr>
                              <w:t>5°</w:t>
                            </w:r>
                          </w:p>
                        </w:tc>
                        <w:tc>
                          <w:tcPr>
                            <w:tcW w:w="1411" w:type="dxa"/>
                            <w:tcBorders>
                              <w:top w:val="single" w:sz="4" w:space="0" w:color="auto"/>
                              <w:left w:val="nil"/>
                              <w:bottom w:val="single" w:sz="4" w:space="0" w:color="auto"/>
                              <w:right w:val="nil"/>
                            </w:tcBorders>
                            <w:vAlign w:val="bottom"/>
                          </w:tcPr>
                          <w:p w14:paraId="752BAB8B" w14:textId="77777777" w:rsidR="007857F3" w:rsidRDefault="007857F3">
                            <w:pPr>
                              <w:pStyle w:val="Style7"/>
                              <w:spacing w:line="240" w:lineRule="auto"/>
                              <w:ind w:firstLine="180"/>
                              <w:rPr>
                                <w:rFonts w:ascii="Times New Roman" w:hAnsi="Times New Roman" w:cs="Times New Roman"/>
                                <w:sz w:val="24"/>
                                <w:szCs w:val="24"/>
                              </w:rPr>
                            </w:pPr>
                            <w:r>
                              <w:rPr>
                                <w:rStyle w:val="CharStyle8"/>
                                <w:sz w:val="14"/>
                                <w:szCs w:val="14"/>
                                <w:lang w:eastAsia="en-US"/>
                              </w:rPr>
                              <w:t>Monthly</w:t>
                            </w:r>
                          </w:p>
                        </w:tc>
                      </w:tr>
                    </w:tbl>
                  </w:txbxContent>
                </v:textbox>
                <w10:wrap type="topAndBottom" anchorx="margin" anchory="margin"/>
              </v:shape>
            </w:pict>
          </mc:Fallback>
        </mc:AlternateContent>
      </w:r>
      <w:r>
        <w:rPr>
          <w:noProof/>
        </w:rPr>
        <mc:AlternateContent>
          <mc:Choice Requires="wps">
            <w:drawing>
              <wp:anchor distT="0" distB="0" distL="0" distR="0" simplePos="0" relativeHeight="251660288" behindDoc="0" locked="0" layoutInCell="1" allowOverlap="1" wp14:anchorId="5677B240" wp14:editId="4598C3F1">
                <wp:simplePos x="0" y="0"/>
                <wp:positionH relativeFrom="margin">
                  <wp:posOffset>7620</wp:posOffset>
                </wp:positionH>
                <wp:positionV relativeFrom="margin">
                  <wp:posOffset>338455</wp:posOffset>
                </wp:positionV>
                <wp:extent cx="6400800" cy="313690"/>
                <wp:effectExtent l="0" t="0" r="1905" b="3175"/>
                <wp:wrapNone/>
                <wp:docPr id="84303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02A7" w14:textId="77777777" w:rsidR="007857F3" w:rsidRDefault="007857F3">
                            <w:pPr>
                              <w:pStyle w:val="Style11"/>
                              <w:rPr>
                                <w:rFonts w:ascii="Times New Roman" w:hAnsi="Times New Roman" w:cs="Times New Roman"/>
                                <w:sz w:val="24"/>
                                <w:szCs w:val="24"/>
                              </w:rPr>
                            </w:pPr>
                            <w:bookmarkStart w:id="4" w:name="bookmark0"/>
                            <w:r>
                              <w:rPr>
                                <w:rStyle w:val="CharStyle12"/>
                                <w:lang w:eastAsia="en-US"/>
                              </w:rPr>
                              <w:t>Table 1. Overview of the datasets used in this study. ERA5 is described in</w:t>
                            </w:r>
                            <w:hyperlink w:anchor="bookmark89" w:tooltip="Current Document" w:history="1">
                              <w:r>
                                <w:rPr>
                                  <w:rStyle w:val="CharStyle12"/>
                                  <w:lang w:eastAsia="en-US"/>
                                </w:rPr>
                                <w:t xml:space="preserve"> Hersbach et al. (2020)</w:t>
                              </w:r>
                            </w:hyperlink>
                            <w:r>
                              <w:rPr>
                                <w:rStyle w:val="CharStyle12"/>
                                <w:lang w:eastAsia="en-US"/>
                              </w:rPr>
                              <w:t>, and ERA5-Land is in</w:t>
                            </w:r>
                            <w:hyperlink w:anchor="bookmark103" w:tooltip="Current Document" w:history="1">
                              <w:r>
                                <w:rPr>
                                  <w:rStyle w:val="CharStyle12"/>
                                  <w:lang w:eastAsia="en-US"/>
                                </w:rPr>
                                <w:t xml:space="preserve"> Muñoz-Sabater et al.</w:t>
                              </w:r>
                            </w:hyperlink>
                            <w:r>
                              <w:rPr>
                                <w:rStyle w:val="CharStyle12"/>
                                <w:lang w:eastAsia="en-US"/>
                              </w:rPr>
                              <w:t xml:space="preserve"> </w:t>
                            </w:r>
                            <w:hyperlink w:anchor="bookmark103" w:tooltip="Current Document" w:history="1">
                              <w:r>
                                <w:rPr>
                                  <w:rStyle w:val="CharStyle12"/>
                                  <w:lang w:eastAsia="en-US"/>
                                </w:rPr>
                                <w:t>(2021)</w:t>
                              </w:r>
                            </w:hyperlink>
                            <w:r>
                              <w:rPr>
                                <w:rStyle w:val="CharStyle12"/>
                                <w:lang w:eastAsia="en-US"/>
                              </w:rPr>
                              <w:t xml:space="preserve"> and</w:t>
                            </w:r>
                            <w:hyperlink w:anchor="bookmark63" w:tooltip="Current Document" w:history="1">
                              <w:r>
                                <w:rPr>
                                  <w:rStyle w:val="CharStyle12"/>
                                  <w:lang w:eastAsia="en-US"/>
                                </w:rPr>
                                <w:t xml:space="preserve"> ECMWF (2023)</w:t>
                              </w:r>
                            </w:hyperlink>
                            <w:r>
                              <w:rPr>
                                <w:rStyle w:val="CharStyle12"/>
                                <w:lang w:eastAsia="en-US"/>
                              </w:rPr>
                              <w:t>.</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B240" id="Text Box 8" o:spid="_x0000_s1028" type="#_x0000_t202" style="position:absolute;left:0;text-align:left;margin-left:.6pt;margin-top:26.65pt;width:7in;height:24.7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" filled="f" stroked="f">
                <v:textbox inset="0,0,0,0">
                  <w:txbxContent>
                    <w:p w14:paraId="136A02A7" w14:textId="77777777" w:rsidR="007857F3" w:rsidRDefault="007857F3">
                      <w:pPr>
                        <w:pStyle w:val="Style11"/>
                        <w:rPr>
                          <w:rFonts w:ascii="Times New Roman" w:hAnsi="Times New Roman" w:cs="Times New Roman"/>
                          <w:sz w:val="24"/>
                          <w:szCs w:val="24"/>
                        </w:rPr>
                      </w:pPr>
                      <w:bookmarkStart w:id="5" w:name="bookmark0"/>
                      <w:r>
                        <w:rPr>
                          <w:rStyle w:val="CharStyle12"/>
                          <w:lang w:eastAsia="en-US"/>
                        </w:rPr>
                        <w:t>Table 1. Overview of the datasets used in this study. ERA5 is described in</w:t>
                      </w:r>
                      <w:hyperlink w:anchor="bookmark89" w:tooltip="Current Document" w:history="1">
                        <w:r>
                          <w:rPr>
                            <w:rStyle w:val="CharStyle12"/>
                            <w:lang w:eastAsia="en-US"/>
                          </w:rPr>
                          <w:t xml:space="preserve"> Hersbach et al. (2020)</w:t>
                        </w:r>
                      </w:hyperlink>
                      <w:r>
                        <w:rPr>
                          <w:rStyle w:val="CharStyle12"/>
                          <w:lang w:eastAsia="en-US"/>
                        </w:rPr>
                        <w:t>, and ERA5-Land is in</w:t>
                      </w:r>
                      <w:hyperlink w:anchor="bookmark103" w:tooltip="Current Document" w:history="1">
                        <w:r>
                          <w:rPr>
                            <w:rStyle w:val="CharStyle12"/>
                            <w:lang w:eastAsia="en-US"/>
                          </w:rPr>
                          <w:t xml:space="preserve"> Muñoz-Sabater et al.</w:t>
                        </w:r>
                      </w:hyperlink>
                      <w:r>
                        <w:rPr>
                          <w:rStyle w:val="CharStyle12"/>
                          <w:lang w:eastAsia="en-US"/>
                        </w:rPr>
                        <w:t xml:space="preserve"> </w:t>
                      </w:r>
                      <w:hyperlink w:anchor="bookmark103" w:tooltip="Current Document" w:history="1">
                        <w:r>
                          <w:rPr>
                            <w:rStyle w:val="CharStyle12"/>
                            <w:lang w:eastAsia="en-US"/>
                          </w:rPr>
                          <w:t>(2021)</w:t>
                        </w:r>
                      </w:hyperlink>
                      <w:r>
                        <w:rPr>
                          <w:rStyle w:val="CharStyle12"/>
                          <w:lang w:eastAsia="en-US"/>
                        </w:rPr>
                        <w:t xml:space="preserve"> and</w:t>
                      </w:r>
                      <w:hyperlink w:anchor="bookmark63" w:tooltip="Current Document" w:history="1">
                        <w:r>
                          <w:rPr>
                            <w:rStyle w:val="CharStyle12"/>
                            <w:lang w:eastAsia="en-US"/>
                          </w:rPr>
                          <w:t xml:space="preserve"> ECMWF (2023)</w:t>
                        </w:r>
                      </w:hyperlink>
                      <w:r>
                        <w:rPr>
                          <w:rStyle w:val="CharStyle12"/>
                          <w:lang w:eastAsia="en-US"/>
                        </w:rPr>
                        <w:t>.</w:t>
                      </w:r>
                      <w:bookmarkEnd w:id="5"/>
                    </w:p>
                  </w:txbxContent>
                </v:textbox>
                <w10:wrap anchorx="margin" anchory="margin"/>
              </v:shape>
            </w:pict>
          </mc:Fallback>
        </mc:AlternateContent>
      </w:r>
      <w:bookmarkStart w:id="6" w:name="bookmark11"/>
      <w:bookmarkStart w:id="7" w:name="bookmark10"/>
      <w:r>
        <w:rPr>
          <w:rStyle w:val="CharStyle17"/>
          <w:lang w:eastAsia="en-US"/>
        </w:rPr>
        <w:t>Methods</w:t>
      </w:r>
      <w:bookmarkEnd w:id="6"/>
      <w:bookmarkEnd w:id="7"/>
    </w:p>
    <w:p w14:paraId="02C3E2DE" w14:textId="77777777" w:rsidR="007857F3" w:rsidRDefault="007857F3">
      <w:pPr>
        <w:pStyle w:val="Style2"/>
        <w:jc w:val="both"/>
        <w:rPr>
          <w:rFonts w:ascii="Times New Roman" w:hAnsi="Times New Roman" w:cs="Times New Roman"/>
          <w:sz w:val="24"/>
          <w:szCs w:val="24"/>
        </w:rPr>
      </w:pPr>
      <w:r>
        <w:rPr>
          <w:rStyle w:val="CharStyle3"/>
          <w:lang w:eastAsia="en-US"/>
        </w:rPr>
        <w:t>Climate modes and their atmospheric circulation anomalies are expected to impact evapotranspiration through a chain of progressive physical processes. The processes start with anomalies in atmospheric circulation (coupled with SSTAs) and moisture transport (VIMF). Then, the latter changes moisture flux divergence (MDiv), affecting cloud formation, which simultaneously influences precipitation and radiation availability. Precipitation then affects soil moisture, and af</w:t>
      </w:r>
      <w:r>
        <w:rPr>
          <w:rStyle w:val="CharStyle3"/>
          <w:lang w:eastAsia="en-US"/>
        </w:rPr>
        <w:softHyphen/>
        <w:t>terwards, the two local controllers impact evapotranspiration. However, the impacts of the chain are also mediated by the climatological cycle of the ET regime (water limited or en</w:t>
      </w:r>
      <w:r>
        <w:rPr>
          <w:rStyle w:val="CharStyle3"/>
          <w:lang w:eastAsia="en-US"/>
        </w:rPr>
        <w:softHyphen/>
        <w:t>ergy limited). Consequently, our research starts by determin</w:t>
      </w:r>
      <w:r>
        <w:rPr>
          <w:rStyle w:val="CharStyle3"/>
          <w:lang w:eastAsia="en-US"/>
        </w:rPr>
        <w:softHyphen/>
        <w:t>ing the annual cycle of the ET regime and of the local con</w:t>
      </w:r>
      <w:r>
        <w:rPr>
          <w:rStyle w:val="CharStyle3"/>
          <w:lang w:eastAsia="en-US"/>
        </w:rPr>
        <w:softHyphen/>
        <w:t>trollers (Sect.</w:t>
      </w:r>
      <w:hyperlink w:anchor="bookmark13" w:tooltip="Current Document" w:history="1">
        <w:r>
          <w:rPr>
            <w:rStyle w:val="CharStyle3"/>
            <w:lang w:eastAsia="en-US"/>
          </w:rPr>
          <w:t xml:space="preserve"> 3.1)</w:t>
        </w:r>
      </w:hyperlink>
      <w:r>
        <w:rPr>
          <w:rStyle w:val="CharStyle3"/>
          <w:lang w:eastAsia="en-US"/>
        </w:rPr>
        <w:t>. Then, we use composites to show how the chain unfolds, with its final impacts on ET (Sect.</w:t>
      </w:r>
      <w:hyperlink w:anchor="bookmark16" w:tooltip="Current Document" w:history="1">
        <w:r>
          <w:rPr>
            <w:rStyle w:val="CharStyle3"/>
            <w:lang w:eastAsia="en-US"/>
          </w:rPr>
          <w:t xml:space="preserve"> 3.2)</w:t>
        </w:r>
      </w:hyperlink>
      <w:r>
        <w:rPr>
          <w:rStyle w:val="CharStyle3"/>
          <w:lang w:eastAsia="en-US"/>
        </w:rPr>
        <w:t>. Finally, we study the joint effects of the Atlantic modes and ENSO (Sect.</w:t>
      </w:r>
      <w:hyperlink w:anchor="bookmark19" w:tooltip="Current Document" w:history="1">
        <w:r>
          <w:rPr>
            <w:rStyle w:val="CharStyle3"/>
            <w:lang w:eastAsia="en-US"/>
          </w:rPr>
          <w:t xml:space="preserve"> 3.3)</w:t>
        </w:r>
      </w:hyperlink>
      <w:r>
        <w:rPr>
          <w:rStyle w:val="CharStyle3"/>
          <w:lang w:eastAsia="en-US"/>
        </w:rPr>
        <w:t xml:space="preserve"> </w:t>
      </w:r>
      <w:hyperlink w:anchor="bookmark61" w:tooltip="Current Document" w:history="1">
        <w:r>
          <w:rPr>
            <w:rStyle w:val="CharStyle3"/>
            <w:lang w:eastAsia="en-US"/>
          </w:rPr>
          <w:t>(Duque-Gardeazabal, 2025)</w:t>
        </w:r>
      </w:hyperlink>
      <w:r>
        <w:rPr>
          <w:rStyle w:val="CharStyle3"/>
          <w:lang w:eastAsia="en-US"/>
        </w:rPr>
        <w:t>. Moisture re</w:t>
      </w:r>
      <w:r>
        <w:rPr>
          <w:rStyle w:val="CharStyle3"/>
          <w:lang w:eastAsia="en-US"/>
        </w:rPr>
        <w:softHyphen/>
        <w:t>cycling is discussed in Sect.</w:t>
      </w:r>
      <w:hyperlink w:anchor="bookmark36" w:tooltip="Current Document" w:history="1">
        <w:r>
          <w:rPr>
            <w:rStyle w:val="CharStyle3"/>
            <w:lang w:eastAsia="en-US"/>
          </w:rPr>
          <w:t xml:space="preserve"> 5.</w:t>
        </w:r>
      </w:hyperlink>
    </w:p>
    <w:p w14:paraId="2FE3169F" w14:textId="77777777" w:rsidR="007857F3" w:rsidRDefault="007857F3">
      <w:pPr>
        <w:pStyle w:val="Style21"/>
        <w:keepNext/>
        <w:keepLines/>
        <w:numPr>
          <w:ilvl w:val="1"/>
          <w:numId w:val="2"/>
        </w:numPr>
        <w:tabs>
          <w:tab w:val="left" w:pos="446"/>
        </w:tabs>
        <w:spacing w:after="140" w:line="295" w:lineRule="auto"/>
        <w:ind w:left="480" w:hanging="480"/>
        <w:jc w:val="both"/>
        <w:rPr>
          <w:sz w:val="24"/>
          <w:szCs w:val="24"/>
        </w:rPr>
      </w:pPr>
      <w:bookmarkStart w:id="8" w:name="bookmark14"/>
      <w:bookmarkStart w:id="9" w:name="bookmark13"/>
      <w:r>
        <w:rPr>
          <w:rStyle w:val="CharStyle22"/>
          <w:lang w:eastAsia="en-US"/>
        </w:rPr>
        <w:t>Determining the location and annual cycle of local ET controllers</w:t>
      </w:r>
      <w:bookmarkEnd w:id="8"/>
      <w:bookmarkEnd w:id="9"/>
    </w:p>
    <w:p w14:paraId="35E79F8A" w14:textId="77777777" w:rsidR="007857F3" w:rsidRDefault="007857F3">
      <w:pPr>
        <w:pStyle w:val="Style2"/>
        <w:spacing w:after="140" w:line="295" w:lineRule="auto"/>
        <w:jc w:val="both"/>
        <w:rPr>
          <w:rFonts w:ascii="Times New Roman" w:hAnsi="Times New Roman" w:cs="Times New Roman"/>
          <w:sz w:val="24"/>
          <w:szCs w:val="24"/>
        </w:rPr>
      </w:pPr>
      <w:r>
        <w:rPr>
          <w:rStyle w:val="CharStyle3"/>
          <w:lang w:eastAsia="en-US"/>
        </w:rPr>
        <w:t xml:space="preserve">This study explores the two main local controllers of ET (soil moisture and net radiation) </w:t>
      </w:r>
      <w:hyperlink w:anchor="bookmark132" w:tooltip="Current Document" w:history="1">
        <w:r>
          <w:rPr>
            <w:rStyle w:val="CharStyle3"/>
            <w:lang w:eastAsia="en-US"/>
          </w:rPr>
          <w:t>(Seneviratne et al., 2010)</w:t>
        </w:r>
      </w:hyperlink>
      <w:r>
        <w:rPr>
          <w:rStyle w:val="CharStyle3"/>
          <w:lang w:eastAsia="en-US"/>
        </w:rPr>
        <w:t xml:space="preserve"> to af</w:t>
      </w:r>
      <w:r>
        <w:rPr>
          <w:rStyle w:val="CharStyle3"/>
          <w:lang w:eastAsia="en-US"/>
        </w:rPr>
        <w:softHyphen/>
        <w:t>terwards search for the ocean–atmospheric modes that drive those controllers. SM and net radiation are classified by the slope of their multi-linear regression against evapotranspi</w:t>
      </w:r>
      <w:r>
        <w:rPr>
          <w:rStyle w:val="CharStyle3"/>
          <w:lang w:eastAsia="en-US"/>
        </w:rPr>
        <w:softHyphen/>
        <w:t>ration, using their seasonally standardised anomalies. This analysis can suggest whether the ET anomalies are associated with water availability or a radiation anomaly (ET regime). The multiple linear regression is then expressed as</w:t>
      </w:r>
    </w:p>
    <w:p w14:paraId="11E05072" w14:textId="77777777" w:rsidR="007857F3" w:rsidRDefault="007857F3">
      <w:pPr>
        <w:pStyle w:val="Style2"/>
        <w:spacing w:after="140" w:line="295" w:lineRule="auto"/>
        <w:jc w:val="both"/>
        <w:rPr>
          <w:rFonts w:ascii="Times New Roman" w:hAnsi="Times New Roman" w:cs="Times New Roman"/>
          <w:sz w:val="24"/>
          <w:szCs w:val="24"/>
        </w:rPr>
      </w:pPr>
      <w:r>
        <w:rPr>
          <w:rStyle w:val="CharStyle3"/>
          <w:lang w:eastAsia="en-US"/>
        </w:rPr>
        <w:t>ET</w:t>
      </w:r>
      <w:r>
        <w:rPr>
          <w:rStyle w:val="CharStyle3"/>
          <w:sz w:val="13"/>
          <w:szCs w:val="13"/>
          <w:lang w:eastAsia="en-US"/>
        </w:rPr>
        <w:t xml:space="preserve">ij </w:t>
      </w:r>
      <w:r>
        <w:rPr>
          <w:rStyle w:val="CharStyle3"/>
          <w:lang w:eastAsia="en-US"/>
        </w:rPr>
        <w:t>=</w:t>
      </w:r>
      <w:r>
        <w:rPr>
          <w:rStyle w:val="CharStyle3"/>
          <w:sz w:val="16"/>
          <w:szCs w:val="16"/>
          <w:lang w:eastAsia="en-US"/>
        </w:rPr>
        <w:t>a</w:t>
      </w:r>
      <w:r>
        <w:rPr>
          <w:rStyle w:val="CharStyle3"/>
          <w:sz w:val="13"/>
          <w:szCs w:val="13"/>
          <w:lang w:eastAsia="en-US"/>
        </w:rPr>
        <w:t xml:space="preserve">ij </w:t>
      </w:r>
      <w:r>
        <w:rPr>
          <w:rStyle w:val="CharStyle3"/>
          <w:lang w:eastAsia="en-US"/>
        </w:rPr>
        <w:t>× SM</w:t>
      </w:r>
      <w:r>
        <w:rPr>
          <w:rStyle w:val="CharStyle3"/>
          <w:sz w:val="13"/>
          <w:szCs w:val="13"/>
          <w:lang w:eastAsia="en-US"/>
        </w:rPr>
        <w:t xml:space="preserve">ij </w:t>
      </w:r>
      <w:r>
        <w:rPr>
          <w:rStyle w:val="CharStyle3"/>
          <w:lang w:eastAsia="en-US"/>
        </w:rPr>
        <w:t xml:space="preserve">+ </w:t>
      </w:r>
      <w:r>
        <w:rPr>
          <w:rStyle w:val="CharStyle3"/>
          <w:sz w:val="16"/>
          <w:szCs w:val="16"/>
          <w:lang w:eastAsia="en-US"/>
        </w:rPr>
        <w:t>b</w:t>
      </w:r>
      <w:r>
        <w:rPr>
          <w:rStyle w:val="CharStyle3"/>
          <w:sz w:val="13"/>
          <w:szCs w:val="13"/>
          <w:lang w:eastAsia="en-US"/>
        </w:rPr>
        <w:t xml:space="preserve">ij </w:t>
      </w:r>
      <w:r>
        <w:rPr>
          <w:rStyle w:val="CharStyle3"/>
          <w:lang w:eastAsia="en-US"/>
        </w:rPr>
        <w:t>×Rn</w:t>
      </w:r>
      <w:r>
        <w:rPr>
          <w:rStyle w:val="CharStyle3"/>
          <w:sz w:val="13"/>
          <w:szCs w:val="13"/>
          <w:lang w:eastAsia="en-US"/>
        </w:rPr>
        <w:t>ij</w:t>
      </w:r>
      <w:r>
        <w:rPr>
          <w:rStyle w:val="CharStyle3"/>
          <w:lang w:eastAsia="en-US"/>
        </w:rPr>
        <w:t>+</w:t>
      </w:r>
      <w:r>
        <w:rPr>
          <w:rStyle w:val="CharStyle3"/>
          <w:sz w:val="16"/>
          <w:szCs w:val="16"/>
          <w:lang w:eastAsia="en-US"/>
        </w:rPr>
        <w:t xml:space="preserve">C, </w:t>
      </w:r>
      <w:r>
        <w:rPr>
          <w:rStyle w:val="CharStyle3"/>
          <w:lang w:eastAsia="en-US"/>
        </w:rPr>
        <w:t>(1)</w:t>
      </w:r>
    </w:p>
    <w:p w14:paraId="657ADAB0" w14:textId="77777777" w:rsidR="007857F3" w:rsidRDefault="007857F3">
      <w:pPr>
        <w:pStyle w:val="Style2"/>
        <w:spacing w:after="140" w:line="298" w:lineRule="auto"/>
        <w:jc w:val="both"/>
        <w:rPr>
          <w:rFonts w:ascii="Times New Roman" w:hAnsi="Times New Roman" w:cs="Times New Roman"/>
          <w:sz w:val="24"/>
          <w:szCs w:val="24"/>
        </w:rPr>
      </w:pPr>
      <w:r>
        <w:rPr>
          <w:rStyle w:val="CharStyle3"/>
          <w:lang w:eastAsia="en-US"/>
        </w:rPr>
        <w:t xml:space="preserve">where ET is the total evaporation, SM is the volumetric soil water content in the first layer, Rn is the surface net radiation, </w:t>
      </w:r>
      <w:r>
        <w:rPr>
          <w:rStyle w:val="CharStyle3"/>
          <w:sz w:val="16"/>
          <w:szCs w:val="16"/>
          <w:lang w:eastAsia="en-US"/>
        </w:rPr>
        <w:t xml:space="preserve">i </w:t>
      </w:r>
      <w:r>
        <w:rPr>
          <w:rStyle w:val="CharStyle3"/>
          <w:lang w:eastAsia="en-US"/>
        </w:rPr>
        <w:t xml:space="preserve">refers to a specific longitude, and </w:t>
      </w:r>
      <w:r>
        <w:rPr>
          <w:rStyle w:val="CharStyle3"/>
          <w:sz w:val="16"/>
          <w:szCs w:val="16"/>
          <w:lang w:eastAsia="en-US"/>
        </w:rPr>
        <w:t xml:space="preserve">j </w:t>
      </w:r>
      <w:r>
        <w:rPr>
          <w:rStyle w:val="CharStyle3"/>
          <w:lang w:eastAsia="en-US"/>
        </w:rPr>
        <w:t>refers to a specific lati</w:t>
      </w:r>
      <w:r>
        <w:rPr>
          <w:rStyle w:val="CharStyle3"/>
          <w:lang w:eastAsia="en-US"/>
        </w:rPr>
        <w:softHyphen/>
        <w:t xml:space="preserve">tude. </w:t>
      </w:r>
      <w:r>
        <w:rPr>
          <w:rStyle w:val="CharStyle3"/>
          <w:sz w:val="16"/>
          <w:szCs w:val="16"/>
          <w:lang w:eastAsia="en-US"/>
        </w:rPr>
        <w:t xml:space="preserve">a </w:t>
      </w:r>
      <w:r>
        <w:rPr>
          <w:rStyle w:val="CharStyle3"/>
          <w:lang w:eastAsia="en-US"/>
        </w:rPr>
        <w:t xml:space="preserve">and </w:t>
      </w:r>
      <w:r>
        <w:rPr>
          <w:rStyle w:val="CharStyle3"/>
          <w:sz w:val="16"/>
          <w:szCs w:val="16"/>
          <w:lang w:eastAsia="en-US"/>
        </w:rPr>
        <w:t xml:space="preserve">b </w:t>
      </w:r>
      <w:r>
        <w:rPr>
          <w:rStyle w:val="CharStyle3"/>
          <w:lang w:eastAsia="en-US"/>
        </w:rPr>
        <w:t xml:space="preserve">are then the regression slope coefficients and </w:t>
      </w:r>
      <w:r>
        <w:rPr>
          <w:rStyle w:val="CharStyle3"/>
          <w:sz w:val="16"/>
          <w:szCs w:val="16"/>
          <w:lang w:eastAsia="en-US"/>
        </w:rPr>
        <w:t xml:space="preserve">C </w:t>
      </w:r>
      <w:r>
        <w:rPr>
          <w:rStyle w:val="CharStyle3"/>
          <w:lang w:eastAsia="en-US"/>
        </w:rPr>
        <w:t>the intercept.</w:t>
      </w:r>
    </w:p>
    <w:p w14:paraId="35247166" w14:textId="77777777" w:rsidR="007857F3" w:rsidRDefault="007857F3">
      <w:pPr>
        <w:pStyle w:val="Style21"/>
        <w:keepNext/>
        <w:keepLines/>
        <w:numPr>
          <w:ilvl w:val="1"/>
          <w:numId w:val="2"/>
        </w:numPr>
        <w:tabs>
          <w:tab w:val="left" w:pos="446"/>
        </w:tabs>
        <w:spacing w:after="140" w:line="295" w:lineRule="auto"/>
        <w:ind w:left="0" w:firstLine="0"/>
        <w:jc w:val="both"/>
        <w:rPr>
          <w:sz w:val="24"/>
          <w:szCs w:val="24"/>
        </w:rPr>
      </w:pPr>
      <w:bookmarkStart w:id="10" w:name="bookmark17"/>
      <w:bookmarkStart w:id="11" w:name="bookmark16"/>
      <w:r>
        <w:rPr>
          <w:rStyle w:val="CharStyle22"/>
          <w:lang w:eastAsia="en-US"/>
        </w:rPr>
        <w:t>Composites</w:t>
      </w:r>
      <w:bookmarkEnd w:id="10"/>
      <w:bookmarkEnd w:id="11"/>
    </w:p>
    <w:p w14:paraId="521F1944" w14:textId="77777777" w:rsidR="007857F3" w:rsidRDefault="007857F3">
      <w:pPr>
        <w:pStyle w:val="Style2"/>
        <w:spacing w:after="140"/>
        <w:jc w:val="both"/>
        <w:rPr>
          <w:rFonts w:ascii="Times New Roman" w:hAnsi="Times New Roman" w:cs="Times New Roman"/>
          <w:sz w:val="24"/>
          <w:szCs w:val="24"/>
        </w:rPr>
      </w:pPr>
      <w:r>
        <w:rPr>
          <w:rStyle w:val="CharStyle3"/>
          <w:lang w:eastAsia="en-US"/>
        </w:rPr>
        <w:t>This study uses composite</w:t>
      </w:r>
      <w:r>
        <w:rPr>
          <w:rStyle w:val="CharStyle3"/>
          <w:lang w:eastAsia="en-US"/>
        </w:rPr>
        <w:t xml:space="preserve"> analysis to exemplify the state of the atmosphere and the land surface during the active phase of the Atlantic modes. The composites reveal the physical processes/mechanisms that connect the variables.</w:t>
      </w:r>
    </w:p>
    <w:p w14:paraId="0E191CEC" w14:textId="77777777" w:rsidR="007857F3" w:rsidRDefault="007857F3">
      <w:pPr>
        <w:pStyle w:val="Style2"/>
        <w:spacing w:after="120"/>
        <w:ind w:firstLine="220"/>
        <w:jc w:val="both"/>
        <w:rPr>
          <w:rFonts w:ascii="Times New Roman" w:hAnsi="Times New Roman" w:cs="Times New Roman"/>
          <w:sz w:val="24"/>
          <w:szCs w:val="24"/>
        </w:rPr>
      </w:pPr>
      <w:r>
        <w:rPr>
          <w:rStyle w:val="CharStyle3"/>
          <w:lang w:eastAsia="en-US"/>
        </w:rPr>
        <w:t>Coupled ocean–atmospheric modes are identified by SSTA indices. The SSTAs are first detrended to exclude the effect of climate change from the analysis, using a regression with de-seasonalised CO</w:t>
      </w:r>
      <w:r>
        <w:rPr>
          <w:rStyle w:val="CharStyle3"/>
          <w:sz w:val="13"/>
          <w:szCs w:val="13"/>
          <w:lang w:eastAsia="en-US"/>
        </w:rPr>
        <w:t xml:space="preserve">2 </w:t>
      </w:r>
      <w:r>
        <w:rPr>
          <w:rStyle w:val="CharStyle3"/>
          <w:lang w:eastAsia="en-US"/>
        </w:rPr>
        <w:t>(</w:t>
      </w:r>
      <w:r>
        <w:rPr>
          <w:rStyle w:val="CharStyle3"/>
          <w:sz w:val="16"/>
          <w:szCs w:val="16"/>
          <w:lang w:eastAsia="en-US"/>
        </w:rPr>
        <w:t>R</w:t>
      </w:r>
      <w:r>
        <w:rPr>
          <w:rStyle w:val="CharStyle3"/>
          <w:vertAlign w:val="superscript"/>
          <w:lang w:eastAsia="en-US"/>
        </w:rPr>
        <w:t>2</w:t>
      </w:r>
      <w:r>
        <w:rPr>
          <w:rStyle w:val="CharStyle3"/>
          <w:lang w:eastAsia="en-US"/>
        </w:rPr>
        <w:t xml:space="preserve"> = 0</w:t>
      </w:r>
      <w:r>
        <w:rPr>
          <w:rStyle w:val="CharStyle3"/>
          <w:sz w:val="16"/>
          <w:szCs w:val="16"/>
          <w:lang w:eastAsia="en-US"/>
        </w:rPr>
        <w:t>.</w:t>
      </w:r>
      <w:r>
        <w:rPr>
          <w:rStyle w:val="CharStyle3"/>
          <w:lang w:eastAsia="en-US"/>
        </w:rPr>
        <w:t xml:space="preserve">92, </w:t>
      </w:r>
      <w:r>
        <w:rPr>
          <w:rStyle w:val="CharStyle3"/>
          <w:sz w:val="16"/>
          <w:szCs w:val="16"/>
          <w:lang w:eastAsia="en-US"/>
        </w:rPr>
        <w:t xml:space="preserve">p &lt; </w:t>
      </w:r>
      <w:r>
        <w:rPr>
          <w:rStyle w:val="CharStyle3"/>
          <w:lang w:eastAsia="en-US"/>
        </w:rPr>
        <w:t>0</w:t>
      </w:r>
      <w:r>
        <w:rPr>
          <w:rStyle w:val="CharStyle3"/>
          <w:sz w:val="16"/>
          <w:szCs w:val="16"/>
          <w:lang w:eastAsia="en-US"/>
        </w:rPr>
        <w:t>.</w:t>
      </w:r>
      <w:r>
        <w:rPr>
          <w:rStyle w:val="CharStyle3"/>
          <w:lang w:eastAsia="en-US"/>
        </w:rPr>
        <w:t xml:space="preserve">001) </w:t>
      </w:r>
      <w:hyperlink w:anchor="bookmark136" w:tooltip="Current Document" w:history="1">
        <w:r>
          <w:rPr>
            <w:rStyle w:val="CharStyle3"/>
            <w:lang w:eastAsia="en-US"/>
          </w:rPr>
          <w:t>(Thoning</w:t>
        </w:r>
      </w:hyperlink>
      <w:r>
        <w:rPr>
          <w:rStyle w:val="CharStyle3"/>
          <w:lang w:eastAsia="en-US"/>
        </w:rPr>
        <w:t xml:space="preserve"> </w:t>
      </w:r>
      <w:hyperlink w:anchor="bookmark136" w:tooltip="Current Document" w:history="1">
        <w:r>
          <w:rPr>
            <w:rStyle w:val="CharStyle3"/>
            <w:lang w:eastAsia="en-US"/>
          </w:rPr>
          <w:t>et al., 1989)</w:t>
        </w:r>
      </w:hyperlink>
      <w:r>
        <w:rPr>
          <w:rStyle w:val="CharStyle3"/>
          <w:lang w:eastAsia="en-US"/>
        </w:rPr>
        <w:t>; the CO</w:t>
      </w:r>
      <w:r>
        <w:rPr>
          <w:rStyle w:val="CharStyle3"/>
          <w:sz w:val="13"/>
          <w:szCs w:val="13"/>
          <w:lang w:eastAsia="en-US"/>
        </w:rPr>
        <w:t xml:space="preserve">2 </w:t>
      </w:r>
      <w:r>
        <w:rPr>
          <w:rStyle w:val="CharStyle3"/>
          <w:lang w:eastAsia="en-US"/>
        </w:rPr>
        <w:t>concentration is used to consider its continuous change in the 20th and 21st century and to avoid subtracting the internal variability. We performed principal component analysis over the detrended Atlantic SSTAs, and the resulting loadings were compared with the literature re</w:t>
      </w:r>
      <w:r>
        <w:rPr>
          <w:rStyle w:val="CharStyle3"/>
          <w:lang w:eastAsia="en-US"/>
        </w:rPr>
        <w:softHyphen/>
        <w:t xml:space="preserve">view </w:t>
      </w:r>
      <w:hyperlink w:anchor="bookmark69" w:tooltip="Current Document" w:history="1">
        <w:r>
          <w:rPr>
            <w:rStyle w:val="CharStyle3"/>
            <w:lang w:eastAsia="en-US"/>
          </w:rPr>
          <w:t>(Fernandes et al., 2015;</w:t>
        </w:r>
      </w:hyperlink>
      <w:hyperlink w:anchor="bookmark146" w:tooltip="Current Document" w:history="1">
        <w:r>
          <w:rPr>
            <w:rStyle w:val="CharStyle3"/>
            <w:lang w:eastAsia="en-US"/>
          </w:rPr>
          <w:t xml:space="preserve"> </w:t>
        </w:r>
        <w:r>
          <w:rPr>
            <w:rStyle w:val="CharStyle3"/>
            <w:lang w:val="it-IT" w:eastAsia="it-IT"/>
          </w:rPr>
          <w:t xml:space="preserve">Vallès-Casanova </w:t>
        </w:r>
        <w:r>
          <w:rPr>
            <w:rStyle w:val="CharStyle3"/>
            <w:lang w:eastAsia="en-US"/>
          </w:rPr>
          <w:t>et al., 2020;</w:t>
        </w:r>
      </w:hyperlink>
      <w:r>
        <w:rPr>
          <w:rStyle w:val="CharStyle3"/>
          <w:lang w:eastAsia="en-US"/>
        </w:rPr>
        <w:t xml:space="preserve"> </w:t>
      </w:r>
      <w:hyperlink w:anchor="bookmark128" w:tooltip="Current Document" w:history="1">
        <w:r>
          <w:rPr>
            <w:rStyle w:val="CharStyle3"/>
            <w:lang w:eastAsia="en-US"/>
          </w:rPr>
          <w:t>Ruiz-Barradas et al., 2000)</w:t>
        </w:r>
      </w:hyperlink>
      <w:r>
        <w:rPr>
          <w:rStyle w:val="CharStyle3"/>
          <w:lang w:eastAsia="en-US"/>
        </w:rPr>
        <w:t xml:space="preserve"> (Supplement Fig. S8). Correla</w:t>
      </w:r>
      <w:r>
        <w:rPr>
          <w:rStyle w:val="CharStyle3"/>
          <w:lang w:eastAsia="en-US"/>
        </w:rPr>
        <w:softHyphen/>
        <w:t>tion analysis between the principal components and hydro</w:t>
      </w:r>
      <w:r>
        <w:rPr>
          <w:rStyle w:val="CharStyle3"/>
          <w:lang w:eastAsia="en-US"/>
        </w:rPr>
        <w:softHyphen/>
        <w:t>logical variables revealed which modes possibly have an im</w:t>
      </w:r>
      <w:r>
        <w:rPr>
          <w:rStyle w:val="CharStyle3"/>
          <w:lang w:eastAsia="en-US"/>
        </w:rPr>
        <w:softHyphen/>
        <w:t xml:space="preserve">pact on South America (not shown). Other climate modes, such as the Indian Ocean Dipole or the AMO, unfold over basins that are not close to our study area, and hence, they do not alter tropical South America’s atmospheric circulation. Consequently, we discard them from our analysis. We define the Atlantic indices based on SSTA area-average </w:t>
      </w:r>
      <w:r>
        <w:rPr>
          <w:rStyle w:val="CharStyle3"/>
          <w:lang w:eastAsia="en-US"/>
        </w:rPr>
        <w:lastRenderedPageBreak/>
        <w:t>boxes sim</w:t>
      </w:r>
      <w:r>
        <w:rPr>
          <w:rStyle w:val="CharStyle3"/>
          <w:lang w:eastAsia="en-US"/>
        </w:rPr>
        <w:softHyphen/>
        <w:t xml:space="preserve">ilar to the </w:t>
      </w:r>
      <w:r>
        <w:rPr>
          <w:rStyle w:val="CharStyle3"/>
          <w:lang w:eastAsia="en-US"/>
        </w:rPr>
        <w:t>principal component loadings of the Atlantic SSTs (Fig. S8).</w:t>
      </w:r>
    </w:p>
    <w:p w14:paraId="74774DB1" w14:textId="77777777" w:rsidR="007857F3" w:rsidRDefault="007857F3">
      <w:pPr>
        <w:pStyle w:val="Style2"/>
        <w:spacing w:after="120"/>
        <w:ind w:left="420" w:hanging="200"/>
        <w:jc w:val="both"/>
        <w:rPr>
          <w:rFonts w:ascii="Times New Roman" w:hAnsi="Times New Roman" w:cs="Times New Roman"/>
          <w:sz w:val="24"/>
          <w:szCs w:val="24"/>
        </w:rPr>
      </w:pPr>
      <w:r>
        <w:rPr>
          <w:rStyle w:val="CharStyle3"/>
          <w:lang w:eastAsia="en-US"/>
        </w:rPr>
        <w:t>– The AMM monthly index is defined as the difference between the spatially averaged Tropical North Atlantic (TNA) SSTAs (5–25° N, 70–15° W) and those of the Tropical South Atlantic (TSA) (25–5° S, 40–0° W); the spatial definition of the AMM comprises the TNA.</w:t>
      </w:r>
    </w:p>
    <w:p w14:paraId="1FEC75D7" w14:textId="77777777" w:rsidR="007857F3" w:rsidRDefault="007857F3">
      <w:pPr>
        <w:pStyle w:val="Style2"/>
        <w:spacing w:after="120" w:line="295" w:lineRule="auto"/>
        <w:ind w:left="420" w:hanging="200"/>
        <w:jc w:val="both"/>
        <w:rPr>
          <w:rFonts w:ascii="Times New Roman" w:hAnsi="Times New Roman" w:cs="Times New Roman"/>
          <w:sz w:val="24"/>
          <w:szCs w:val="24"/>
        </w:rPr>
      </w:pPr>
      <w:r>
        <w:rPr>
          <w:rStyle w:val="CharStyle3"/>
          <w:lang w:eastAsia="en-US"/>
        </w:rPr>
        <w:t>– The Atl3 monthly index is identified as the spatial av</w:t>
      </w:r>
      <w:r>
        <w:rPr>
          <w:rStyle w:val="CharStyle3"/>
          <w:lang w:eastAsia="en-US"/>
        </w:rPr>
        <w:softHyphen/>
        <w:t>erage of eastern equatorial Atlantic SSTAs (3° S–3° N, 20° W–0°).</w:t>
      </w:r>
    </w:p>
    <w:p w14:paraId="4D717A5E"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To define the composite time steps, the phases of each mode are established based on the indices. The positive and negative phases are identified when their indices are above or below ±1 standard deviation, respectively, and otherwise are defined as neutral phase. The latter is defined individually for each season (index time series in Fig. S8). The asymmetric impacts of the modes are assessed by adding both extreme phases (positive plus neg</w:t>
      </w:r>
      <w:r>
        <w:rPr>
          <w:rStyle w:val="CharStyle3"/>
          <w:lang w:eastAsia="en-US"/>
        </w:rPr>
        <w:t>ative), allowing recognition of the different impacts exerted by each phase. The composite’s sta</w:t>
      </w:r>
      <w:r>
        <w:rPr>
          <w:rStyle w:val="CharStyle3"/>
          <w:lang w:eastAsia="en-US"/>
        </w:rPr>
        <w:softHyphen/>
        <w:t xml:space="preserve">tistical significance is assessed with the two-sample Student two-tailed </w:t>
      </w:r>
      <w:r>
        <w:rPr>
          <w:rStyle w:val="CharStyle3"/>
          <w:sz w:val="16"/>
          <w:szCs w:val="16"/>
          <w:lang w:eastAsia="en-US"/>
        </w:rPr>
        <w:t xml:space="preserve">t </w:t>
      </w:r>
      <w:r>
        <w:rPr>
          <w:rStyle w:val="CharStyle3"/>
          <w:lang w:eastAsia="en-US"/>
        </w:rPr>
        <w:t>test, testing the positive or negative phase against the neutral. Regarding precipitation, half of the cell’s time se</w:t>
      </w:r>
      <w:r>
        <w:rPr>
          <w:rStyle w:val="CharStyle3"/>
          <w:lang w:eastAsia="en-US"/>
        </w:rPr>
        <w:softHyphen/>
        <w:t xml:space="preserve">ries has skewed distributions (Shapiro–Wilk test, not shown). Thus, the Mann–Whitney </w:t>
      </w:r>
      <w:r>
        <w:rPr>
          <w:rStyle w:val="CharStyle3"/>
          <w:sz w:val="16"/>
          <w:szCs w:val="16"/>
          <w:lang w:eastAsia="en-US"/>
        </w:rPr>
        <w:t xml:space="preserve">U </w:t>
      </w:r>
      <w:r>
        <w:rPr>
          <w:rStyle w:val="CharStyle3"/>
          <w:lang w:eastAsia="en-US"/>
        </w:rPr>
        <w:t>test is used instead. We did not find a significant correlation between evapotranspiration and CO</w:t>
      </w:r>
      <w:r>
        <w:rPr>
          <w:rStyle w:val="CharStyle3"/>
          <w:sz w:val="13"/>
          <w:szCs w:val="13"/>
          <w:lang w:eastAsia="en-US"/>
        </w:rPr>
        <w:t>2</w:t>
      </w:r>
      <w:r>
        <w:rPr>
          <w:rStyle w:val="CharStyle3"/>
          <w:lang w:eastAsia="en-US"/>
        </w:rPr>
        <w:t>. Nevertheless, ET time series are de</w:t>
      </w:r>
      <w:r>
        <w:rPr>
          <w:rStyle w:val="CharStyle3"/>
          <w:lang w:eastAsia="en-US"/>
        </w:rPr>
        <w:t>trended with a lin</w:t>
      </w:r>
      <w:r>
        <w:rPr>
          <w:rStyle w:val="CharStyle3"/>
          <w:lang w:eastAsia="en-US"/>
        </w:rPr>
        <w:softHyphen/>
        <w:t xml:space="preserve">ear trend to also exclude global warming </w:t>
      </w:r>
      <w:hyperlink w:anchor="bookmark143" w:tooltip="Current Document" w:history="1">
        <w:r>
          <w:rPr>
            <w:rStyle w:val="CharStyle3"/>
            <w:lang w:eastAsia="en-US"/>
          </w:rPr>
          <w:t>(Zhang et al., 2016)</w:t>
        </w:r>
      </w:hyperlink>
      <w:r>
        <w:rPr>
          <w:rStyle w:val="CharStyle3"/>
          <w:lang w:eastAsia="en-US"/>
        </w:rPr>
        <w:t xml:space="preserve"> before being used in the composites.</w:t>
      </w:r>
    </w:p>
    <w:p w14:paraId="15704A02" w14:textId="77777777" w:rsidR="007857F3" w:rsidRDefault="007857F3">
      <w:pPr>
        <w:pStyle w:val="Style2"/>
        <w:spacing w:after="160"/>
        <w:ind w:firstLine="220"/>
        <w:jc w:val="both"/>
        <w:rPr>
          <w:rFonts w:ascii="Times New Roman" w:hAnsi="Times New Roman" w:cs="Times New Roman"/>
          <w:sz w:val="24"/>
          <w:szCs w:val="24"/>
        </w:rPr>
      </w:pPr>
      <w:r>
        <w:rPr>
          <w:rStyle w:val="CharStyle3"/>
          <w:lang w:eastAsia="en-US"/>
        </w:rPr>
        <w:t>ENSO develops in the second semester, and its peak sea</w:t>
      </w:r>
      <w:r>
        <w:rPr>
          <w:rStyle w:val="CharStyle3"/>
          <w:lang w:eastAsia="en-US"/>
        </w:rPr>
        <w:softHyphen/>
        <w:t xml:space="preserve">son is DJF. On the other hand, the AMM is more active from February onwards but might last until SON </w:t>
      </w:r>
      <w:hyperlink w:anchor="bookmark137" w:tooltip="Current Document" w:history="1">
        <w:r>
          <w:rPr>
            <w:rStyle w:val="CharStyle3"/>
            <w:lang w:eastAsia="en-US"/>
          </w:rPr>
          <w:t>(Yoon and Zeng,</w:t>
        </w:r>
      </w:hyperlink>
      <w:r>
        <w:rPr>
          <w:rStyle w:val="CharStyle3"/>
          <w:lang w:eastAsia="en-US"/>
        </w:rPr>
        <w:t xml:space="preserve"> </w:t>
      </w:r>
      <w:hyperlink w:anchor="bookmark137" w:tooltip="Current Document" w:history="1">
        <w:r>
          <w:rPr>
            <w:rStyle w:val="CharStyle3"/>
            <w:lang w:eastAsia="en-US"/>
          </w:rPr>
          <w:t>2010)</w:t>
        </w:r>
      </w:hyperlink>
      <w:r>
        <w:rPr>
          <w:rStyle w:val="CharStyle3"/>
          <w:lang w:eastAsia="en-US"/>
        </w:rPr>
        <w:t xml:space="preserve">, and the Atl3 is more active in JJA </w:t>
      </w:r>
      <w:hyperlink w:anchor="bookmark146" w:tooltip="Current Document" w:history="1">
        <w:r>
          <w:rPr>
            <w:rStyle w:val="CharStyle3"/>
            <w:lang w:val="it-IT" w:eastAsia="it-IT"/>
          </w:rPr>
          <w:t>(Vallès-Casanova</w:t>
        </w:r>
      </w:hyperlink>
      <w:r>
        <w:rPr>
          <w:rStyle w:val="CharStyle3"/>
          <w:lang w:val="it-IT" w:eastAsia="it-IT"/>
        </w:rPr>
        <w:t xml:space="preserve"> </w:t>
      </w:r>
      <w:hyperlink w:anchor="bookmark146" w:tooltip="Current Document" w:history="1">
        <w:r>
          <w:rPr>
            <w:rStyle w:val="CharStyle3"/>
            <w:lang w:eastAsia="en-US"/>
          </w:rPr>
          <w:t>et al., 2020)</w:t>
        </w:r>
      </w:hyperlink>
      <w:r>
        <w:rPr>
          <w:rStyle w:val="CharStyle3"/>
          <w:lang w:eastAsia="en-US"/>
        </w:rPr>
        <w:t>. In DJF, the AMM-associated anomalies are ev</w:t>
      </w:r>
      <w:r>
        <w:rPr>
          <w:rStyle w:val="CharStyle3"/>
          <w:lang w:eastAsia="en-US"/>
        </w:rPr>
        <w:softHyphen/>
        <w:t>ident over the Atlantic, but its effect over the continent is diluted (not shown). Therefore, we analyse the influence of the Atlantic modes from March to September.</w:t>
      </w:r>
    </w:p>
    <w:p w14:paraId="0FD3EABF" w14:textId="77777777" w:rsidR="007857F3" w:rsidRDefault="007857F3">
      <w:pPr>
        <w:pStyle w:val="Style21"/>
        <w:keepNext/>
        <w:keepLines/>
        <w:numPr>
          <w:ilvl w:val="1"/>
          <w:numId w:val="2"/>
        </w:numPr>
        <w:tabs>
          <w:tab w:val="left" w:pos="449"/>
        </w:tabs>
        <w:spacing w:after="160"/>
        <w:ind w:left="0" w:firstLine="0"/>
        <w:jc w:val="both"/>
        <w:rPr>
          <w:sz w:val="24"/>
          <w:szCs w:val="24"/>
        </w:rPr>
      </w:pPr>
      <w:bookmarkStart w:id="12" w:name="bookmark20"/>
      <w:bookmarkStart w:id="13" w:name="bookmark19"/>
      <w:r>
        <w:rPr>
          <w:rStyle w:val="CharStyle22"/>
          <w:lang w:eastAsia="en-US"/>
        </w:rPr>
        <w:t>Conjoint effect with ENSO</w:t>
      </w:r>
      <w:bookmarkEnd w:id="12"/>
      <w:bookmarkEnd w:id="13"/>
    </w:p>
    <w:p w14:paraId="4FE167D2" w14:textId="77777777" w:rsidR="007857F3" w:rsidRDefault="007857F3">
      <w:pPr>
        <w:pStyle w:val="Style2"/>
        <w:spacing w:after="360" w:line="295" w:lineRule="auto"/>
        <w:jc w:val="both"/>
        <w:rPr>
          <w:rFonts w:ascii="Times New Roman" w:hAnsi="Times New Roman" w:cs="Times New Roman"/>
          <w:sz w:val="24"/>
          <w:szCs w:val="24"/>
        </w:rPr>
      </w:pPr>
      <w:r>
        <w:rPr>
          <w:rStyle w:val="CharStyle3"/>
          <w:lang w:eastAsia="en-US"/>
        </w:rPr>
        <w:t>We also perform a grid-wise partial correlation analysis be</w:t>
      </w:r>
      <w:r>
        <w:rPr>
          <w:rStyle w:val="CharStyle3"/>
          <w:lang w:eastAsia="en-US"/>
        </w:rPr>
        <w:softHyphen/>
        <w:t>tween the two Atlantic indices, the El Niño Longitude In</w:t>
      </w:r>
      <w:r>
        <w:rPr>
          <w:rStyle w:val="CharStyle3"/>
          <w:lang w:eastAsia="en-US"/>
        </w:rPr>
        <w:softHyphen/>
        <w:t xml:space="preserve">dex (ELI) </w:t>
      </w:r>
      <w:hyperlink w:anchor="bookmark133" w:tooltip="Current Document" w:history="1">
        <w:r>
          <w:rPr>
            <w:rStyle w:val="CharStyle3"/>
            <w:lang w:eastAsia="en-US"/>
          </w:rPr>
          <w:t>(Williams and Patricola, 2018)</w:t>
        </w:r>
      </w:hyperlink>
      <w:r>
        <w:rPr>
          <w:rStyle w:val="CharStyle3"/>
          <w:lang w:eastAsia="en-US"/>
        </w:rPr>
        <w:t>, and evapotranspi</w:t>
      </w:r>
      <w:r>
        <w:rPr>
          <w:rStyle w:val="CharStyle3"/>
          <w:lang w:eastAsia="en-US"/>
        </w:rPr>
        <w:softHyphen/>
        <w:t>ration.</w:t>
      </w:r>
      <w:r>
        <w:rPr>
          <w:rStyle w:val="CharStyle3"/>
          <w:lang w:eastAsia="en-US"/>
        </w:rPr>
        <w:t xml:space="preserve"> The ELI considers the type of ENSO event (east or central Pacific). The purpose of this analysis is to find those regions that are driven by an Atlantic mode but might also have impacts from another mode when it is also active (i.e. si</w:t>
      </w:r>
      <w:r>
        <w:rPr>
          <w:rStyle w:val="CharStyle3"/>
          <w:lang w:eastAsia="en-US"/>
        </w:rPr>
        <w:softHyphen/>
        <w:t>multaneously controlling the analysis by the effect of ENSO and the other Atlantic mode).</w:t>
      </w:r>
    </w:p>
    <w:p w14:paraId="1558B33E" w14:textId="77777777" w:rsidR="007857F3" w:rsidRDefault="007857F3">
      <w:pPr>
        <w:pStyle w:val="Style16"/>
        <w:keepNext/>
        <w:keepLines/>
        <w:numPr>
          <w:ilvl w:val="0"/>
          <w:numId w:val="2"/>
        </w:numPr>
        <w:tabs>
          <w:tab w:val="left" w:pos="288"/>
        </w:tabs>
        <w:spacing w:after="160"/>
        <w:jc w:val="both"/>
        <w:rPr>
          <w:sz w:val="24"/>
          <w:szCs w:val="24"/>
        </w:rPr>
      </w:pPr>
      <w:bookmarkStart w:id="14" w:name="bookmark22"/>
      <w:r>
        <w:rPr>
          <w:rStyle w:val="CharStyle17"/>
          <w:lang w:eastAsia="en-US"/>
        </w:rPr>
        <w:t>Results</w:t>
      </w:r>
      <w:bookmarkEnd w:id="14"/>
    </w:p>
    <w:p w14:paraId="06E0FDBC" w14:textId="77777777" w:rsidR="007857F3" w:rsidRDefault="007857F3">
      <w:pPr>
        <w:pStyle w:val="Style21"/>
        <w:keepNext/>
        <w:keepLines/>
        <w:numPr>
          <w:ilvl w:val="1"/>
          <w:numId w:val="2"/>
        </w:numPr>
        <w:tabs>
          <w:tab w:val="left" w:pos="449"/>
        </w:tabs>
        <w:spacing w:after="160"/>
        <w:ind w:left="0" w:firstLine="0"/>
        <w:jc w:val="both"/>
        <w:rPr>
          <w:sz w:val="24"/>
          <w:szCs w:val="24"/>
        </w:rPr>
      </w:pPr>
      <w:bookmarkStart w:id="15" w:name="bookmark24"/>
      <w:r>
        <w:rPr>
          <w:rStyle w:val="CharStyle22"/>
          <w:lang w:eastAsia="en-US"/>
        </w:rPr>
        <w:t>Key local evapotranspiration controllers</w:t>
      </w:r>
      <w:bookmarkEnd w:id="15"/>
    </w:p>
    <w:p w14:paraId="0072CF38" w14:textId="77777777" w:rsidR="007857F3" w:rsidRDefault="007857F3">
      <w:pPr>
        <w:pStyle w:val="Style2"/>
        <w:spacing w:after="160"/>
        <w:jc w:val="both"/>
        <w:rPr>
          <w:rFonts w:ascii="Times New Roman" w:hAnsi="Times New Roman" w:cs="Times New Roman"/>
          <w:sz w:val="24"/>
          <w:szCs w:val="24"/>
        </w:rPr>
      </w:pPr>
      <w:r>
        <w:rPr>
          <w:rStyle w:val="CharStyle3"/>
          <w:lang w:eastAsia="en-US"/>
        </w:rPr>
        <w:t>The classification of the ET regime follows the migration of the Intertropical Convergence Zone (ITCZ, located in the southern Amazon in DJF and over northern Orinoco in JJA) (Fig. 1). The reason is associated with the heavy rainfall in the ITCZ, which saturates the soils and influences the loca</w:t>
      </w:r>
      <w:r>
        <w:rPr>
          <w:rStyle w:val="CharStyle3"/>
          <w:lang w:eastAsia="en-US"/>
        </w:rPr>
        <w:softHyphen/>
        <w:t xml:space="preserve">tions of the energy-limited regime. Panels (a) to (h) in Fig. 1 show the slope coefficients of the regressions, which are then ranked in panels (i) to (l). Values below 0 indicate that the other independent </w:t>
      </w:r>
      <w:r>
        <w:rPr>
          <w:rStyle w:val="CharStyle3"/>
          <w:lang w:eastAsia="en-US"/>
        </w:rPr>
        <w:t>variable is the main controller of ET. In MAM (Fig. 1a, e, i), the northeasterly winds bring mois</w:t>
      </w:r>
      <w:r>
        <w:rPr>
          <w:rStyle w:val="CharStyle3"/>
          <w:lang w:eastAsia="en-US"/>
        </w:rPr>
        <w:softHyphen/>
        <w:t>ture from the Atlantic and produce convergence and rain</w:t>
      </w:r>
      <w:r>
        <w:rPr>
          <w:rStyle w:val="CharStyle3"/>
          <w:lang w:eastAsia="en-US"/>
        </w:rPr>
        <w:softHyphen/>
        <w:t>fall over the Amazon in such amounts that the soil satu</w:t>
      </w:r>
      <w:r>
        <w:rPr>
          <w:rStyle w:val="CharStyle3"/>
          <w:lang w:eastAsia="en-US"/>
        </w:rPr>
        <w:softHyphen/>
        <w:t>rates (and thus is above the soil’s water field capacity), giving the conditions for energy-li</w:t>
      </w:r>
      <w:r>
        <w:rPr>
          <w:rStyle w:val="CharStyle3"/>
          <w:lang w:eastAsia="en-US"/>
        </w:rPr>
        <w:t>mited ET. However, the north of the Orinoco basin still behaves like a water-limited environ</w:t>
      </w:r>
      <w:r>
        <w:rPr>
          <w:rStyle w:val="CharStyle3"/>
          <w:lang w:eastAsia="en-US"/>
        </w:rPr>
        <w:softHyphen/>
        <w:t xml:space="preserve">ment. As the ITCZ moves northward in JJA (Fig. 1b, f, j), the rainfall recharges SM, changing Orinoco’s behaviour to an energy-limited regime, whereas other regions transform from energy- to water-limited regimes, such as northeast Brazil and the southern Amazon. The core of the Amazon rainforest is energy limited throughout the year. In SON (Fig. 1c, g, k), the ITCZ begins to move southward, but the energy-limited </w:t>
      </w:r>
      <w:r>
        <w:rPr>
          <w:rStyle w:val="CharStyle3"/>
          <w:lang w:eastAsia="en-US"/>
        </w:rPr>
        <w:t>regime is concentrated in the west of the Amazon. The east and southeast basins are still in a water-limited regime. The Orinoco still behaves in an energy-limited way even though this is the transition season from wet to dry. In DJF (Fig. 1d, h, l), the ET in the southern Amazon depends on the available energy, as the ITCZ has reached its southern continental loca</w:t>
      </w:r>
      <w:r>
        <w:rPr>
          <w:rStyle w:val="CharStyle3"/>
          <w:lang w:eastAsia="en-US"/>
        </w:rPr>
        <w:softHyphen/>
        <w:t xml:space="preserve">tion; above-average net radiation (Rn) would produce more ET. The energy-limited regions correspond to those where SM is above the soil’s field </w:t>
      </w:r>
      <w:r>
        <w:rPr>
          <w:rStyle w:val="CharStyle3"/>
          <w:lang w:eastAsia="en-US"/>
        </w:rPr>
        <w:t xml:space="preserve">capacity </w:t>
      </w:r>
      <w:hyperlink w:anchor="bookmark63" w:tooltip="Current Document" w:history="1">
        <w:r>
          <w:rPr>
            <w:rStyle w:val="CharStyle3"/>
            <w:lang w:eastAsia="en-US"/>
          </w:rPr>
          <w:t>(ECMWF, 2023)</w:t>
        </w:r>
      </w:hyperlink>
      <w:r>
        <w:rPr>
          <w:rStyle w:val="CharStyle3"/>
          <w:lang w:eastAsia="en-US"/>
        </w:rPr>
        <w:t xml:space="preserve"> (not shown), and not all of the continent is primarily controlled by variations in energy supply.</w:t>
      </w:r>
      <w:r>
        <w:rPr>
          <w:rFonts w:ascii="Times New Roman" w:hAnsi="Times New Roman" w:cs="Times New Roman"/>
          <w:sz w:val="24"/>
          <w:szCs w:val="24"/>
        </w:rPr>
        <w:br w:type="page"/>
      </w:r>
    </w:p>
    <w:p w14:paraId="4F845A7B" w14:textId="4981D2DE" w:rsidR="007857F3" w:rsidRDefault="007857F3">
      <w:pPr>
        <w:pStyle w:val="Style21"/>
        <w:keepNext/>
        <w:keepLines/>
        <w:numPr>
          <w:ilvl w:val="1"/>
          <w:numId w:val="2"/>
        </w:numPr>
        <w:tabs>
          <w:tab w:val="left" w:pos="451"/>
        </w:tabs>
        <w:spacing w:after="220" w:line="288" w:lineRule="auto"/>
        <w:rPr>
          <w:sz w:val="24"/>
          <w:szCs w:val="24"/>
        </w:rPr>
      </w:pPr>
      <w:r>
        <w:rPr>
          <w:noProof/>
        </w:rPr>
        <w:lastRenderedPageBreak/>
        <w:drawing>
          <wp:anchor distT="0" distB="1024890" distL="166370" distR="163195" simplePos="0" relativeHeight="251661312" behindDoc="1" locked="0" layoutInCell="1" allowOverlap="1" wp14:anchorId="48FE31DE" wp14:editId="63A19945">
            <wp:simplePos x="0" y="0"/>
            <wp:positionH relativeFrom="margin">
              <wp:posOffset>55245</wp:posOffset>
            </wp:positionH>
            <wp:positionV relativeFrom="margin">
              <wp:posOffset>365760</wp:posOffset>
            </wp:positionV>
            <wp:extent cx="6303010" cy="4611370"/>
            <wp:effectExtent l="0" t="0" r="0" b="0"/>
            <wp:wrapTopAndBottom/>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010" cy="4611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2336" behindDoc="0" locked="0" layoutInCell="1" allowOverlap="1" wp14:anchorId="5ACBEBB6" wp14:editId="09830E78">
                <wp:simplePos x="0" y="0"/>
                <wp:positionH relativeFrom="margin">
                  <wp:posOffset>3175</wp:posOffset>
                </wp:positionH>
                <wp:positionV relativeFrom="margin">
                  <wp:posOffset>5093335</wp:posOffset>
                </wp:positionV>
                <wp:extent cx="6403975" cy="731520"/>
                <wp:effectExtent l="3175" t="0" r="3175" b="2540"/>
                <wp:wrapNone/>
                <wp:docPr id="20513488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BC34" w14:textId="77777777" w:rsidR="007857F3" w:rsidRDefault="007857F3">
                            <w:pPr>
                              <w:pStyle w:val="Style13"/>
                              <w:spacing w:line="307" w:lineRule="auto"/>
                              <w:jc w:val="both"/>
                              <w:rPr>
                                <w:rFonts w:ascii="Times New Roman" w:hAnsi="Times New Roman" w:cs="Times New Roman"/>
                                <w:sz w:val="24"/>
                                <w:szCs w:val="24"/>
                              </w:rPr>
                            </w:pPr>
                            <w:r>
                              <w:rPr>
                                <w:rStyle w:val="CharStyle14"/>
                                <w:lang w:eastAsia="en-US"/>
                              </w:rPr>
                              <w:t>Figure 1. Classification</w:t>
                            </w:r>
                            <w:r>
                              <w:rPr>
                                <w:rStyle w:val="CharStyle14"/>
                                <w:lang w:eastAsia="en-US"/>
                              </w:rPr>
                              <w:t xml:space="preserve"> of the ERA5-Land evapotranspiration (ET) controller based on regression coefficients for each season. (a–d) Multiple linear regression slope coefficient for soil moisture (SM), (e–h) the slope coefficient for the net radiation (Rn), and (i–l) the variable with the highest significant linear slope coefficient (p </w:t>
                            </w:r>
                            <w:r>
                              <w:rPr>
                                <w:rStyle w:val="CharStyle14"/>
                                <w:sz w:val="16"/>
                                <w:szCs w:val="16"/>
                                <w:lang w:eastAsia="en-US"/>
                              </w:rPr>
                              <w:t>≤</w:t>
                            </w:r>
                            <w:r>
                              <w:rPr>
                                <w:rStyle w:val="CharStyle14"/>
                                <w:sz w:val="16"/>
                                <w:szCs w:val="16"/>
                                <w:lang w:eastAsia="en-US"/>
                              </w:rPr>
                              <w:t xml:space="preserve"> </w:t>
                            </w:r>
                            <w:r>
                              <w:rPr>
                                <w:rStyle w:val="CharStyle14"/>
                                <w:lang w:eastAsia="en-US"/>
                              </w:rPr>
                              <w:t>0.05). Panels are divided by season: panels (a, e, i) for MAM, panels (b, f, j) for JJA, panels (c, g, k) for SON, and panels (d, h, l) for DJF. Black lines delineate the major river basins; the same boundaries are used in the following figures.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BEBB6" id="Text Box 10" o:spid="_x0000_s1029" type="#_x0000_t202" style="position:absolute;left:0;text-align:left;margin-left:.25pt;margin-top:401.05pt;width:504.25pt;height:57.6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" filled="f" stroked="f">
                <v:textbox inset="0,0,0,0">
                  <w:txbxContent>
                    <w:p w14:paraId="1185BC34" w14:textId="77777777" w:rsidR="007857F3" w:rsidRDefault="007857F3">
                      <w:pPr>
                        <w:pStyle w:val="Style13"/>
                        <w:spacing w:line="307" w:lineRule="auto"/>
                        <w:jc w:val="both"/>
                        <w:rPr>
                          <w:rFonts w:ascii="Times New Roman" w:hAnsi="Times New Roman" w:cs="Times New Roman"/>
                          <w:sz w:val="24"/>
                          <w:szCs w:val="24"/>
                        </w:rPr>
                      </w:pPr>
                      <w:r>
                        <w:rPr>
                          <w:rStyle w:val="CharStyle14"/>
                          <w:lang w:eastAsia="en-US"/>
                        </w:rPr>
                        <w:t>Figure 1. Classification</w:t>
                      </w:r>
                      <w:r>
                        <w:rPr>
                          <w:rStyle w:val="CharStyle14"/>
                          <w:lang w:eastAsia="en-US"/>
                        </w:rPr>
                        <w:t xml:space="preserve"> of the ERA5-Land evapotranspiration (ET) controller based on regression coefficients for each season. (a–d) Multiple linear regression slope coefficient for soil moisture (SM), (e–h) the slope coefficient for the net radiation (Rn), and (i–l) the variable with the highest significant linear slope coefficient (p </w:t>
                      </w:r>
                      <w:r>
                        <w:rPr>
                          <w:rStyle w:val="CharStyle14"/>
                          <w:sz w:val="16"/>
                          <w:szCs w:val="16"/>
                          <w:lang w:eastAsia="en-US"/>
                        </w:rPr>
                        <w:t>≤</w:t>
                      </w:r>
                      <w:r>
                        <w:rPr>
                          <w:rStyle w:val="CharStyle14"/>
                          <w:sz w:val="16"/>
                          <w:szCs w:val="16"/>
                          <w:lang w:eastAsia="en-US"/>
                        </w:rPr>
                        <w:t xml:space="preserve"> </w:t>
                      </w:r>
                      <w:r>
                        <w:rPr>
                          <w:rStyle w:val="CharStyle14"/>
                          <w:lang w:eastAsia="en-US"/>
                        </w:rPr>
                        <w:t>0.05). Panels are divided by season: panels (a, e, i) for MAM, panels (b, f, j) for JJA, panels (c, g, k) for SON, and panels (d, h, l) for DJF. Black lines delineate the major river basins; the same boundaries are used in the following figures.</w:t>
                      </w:r>
                    </w:p>
                  </w:txbxContent>
                </v:textbox>
                <w10:wrap anchorx="margin" anchory="margin"/>
              </v:shape>
            </w:pict>
          </mc:Fallback>
        </mc:AlternateContent>
      </w:r>
      <w:bookmarkStart w:id="16" w:name="bookmark26"/>
      <w:r>
        <w:rPr>
          <w:rStyle w:val="CharStyle22"/>
          <w:lang w:eastAsia="en-US"/>
        </w:rPr>
        <w:t>Chain of physical processes between the Atlantic modes and continental evapotranspiration</w:t>
      </w:r>
      <w:bookmarkEnd w:id="16"/>
    </w:p>
    <w:p w14:paraId="238FF0EF" w14:textId="77777777" w:rsidR="007857F3" w:rsidRDefault="007857F3">
      <w:pPr>
        <w:pStyle w:val="Style2"/>
        <w:spacing w:after="220" w:line="295" w:lineRule="auto"/>
        <w:jc w:val="both"/>
        <w:rPr>
          <w:rFonts w:ascii="Times New Roman" w:hAnsi="Times New Roman" w:cs="Times New Roman"/>
          <w:sz w:val="24"/>
          <w:szCs w:val="24"/>
        </w:rPr>
      </w:pPr>
      <w:r>
        <w:rPr>
          <w:rStyle w:val="CharStyle3"/>
          <w:lang w:eastAsia="en-US"/>
        </w:rPr>
        <w:t>This section shows the composites of the variables involved in the chain (see Sect.</w:t>
      </w:r>
      <w:hyperlink w:anchor="bookmark10" w:tooltip="Current Document" w:history="1">
        <w:r>
          <w:rPr>
            <w:rStyle w:val="CharStyle3"/>
            <w:lang w:eastAsia="en-US"/>
          </w:rPr>
          <w:t xml:space="preserve"> 3)</w:t>
        </w:r>
      </w:hyperlink>
      <w:r>
        <w:rPr>
          <w:rStyle w:val="CharStyle3"/>
          <w:lang w:eastAsia="en-US"/>
        </w:rPr>
        <w:t>. The steps in the chain repeat as long as a mode is active. However, the impacts have impor</w:t>
      </w:r>
      <w:r>
        <w:rPr>
          <w:rStyle w:val="CharStyle3"/>
          <w:lang w:eastAsia="en-US"/>
        </w:rPr>
        <w:softHyphen/>
        <w:t>tant geographical differences depending on the mode and the season analysed.</w:t>
      </w:r>
    </w:p>
    <w:p w14:paraId="641AD45E" w14:textId="77777777" w:rsidR="007857F3" w:rsidRDefault="007857F3">
      <w:pPr>
        <w:pStyle w:val="Style26"/>
        <w:keepNext/>
        <w:keepLines/>
        <w:numPr>
          <w:ilvl w:val="2"/>
          <w:numId w:val="2"/>
        </w:numPr>
        <w:tabs>
          <w:tab w:val="left" w:pos="600"/>
        </w:tabs>
        <w:jc w:val="both"/>
        <w:rPr>
          <w:sz w:val="24"/>
          <w:szCs w:val="24"/>
        </w:rPr>
      </w:pPr>
      <w:bookmarkStart w:id="17" w:name="bookmark28"/>
      <w:r>
        <w:rPr>
          <w:rStyle w:val="CharStyle27"/>
          <w:lang w:eastAsia="en-US"/>
        </w:rPr>
        <w:t>March–May (MAM): austral autumn</w:t>
      </w:r>
      <w:bookmarkEnd w:id="17"/>
    </w:p>
    <w:p w14:paraId="7452084A" w14:textId="77777777" w:rsidR="007857F3" w:rsidRDefault="007857F3">
      <w:pPr>
        <w:pStyle w:val="Style2"/>
        <w:jc w:val="both"/>
        <w:rPr>
          <w:rFonts w:ascii="Times New Roman" w:hAnsi="Times New Roman" w:cs="Times New Roman"/>
          <w:sz w:val="24"/>
          <w:szCs w:val="24"/>
        </w:rPr>
      </w:pPr>
      <w:r>
        <w:rPr>
          <w:rStyle w:val="CharStyle3"/>
          <w:lang w:eastAsia="en-US"/>
        </w:rPr>
        <w:t>The Atlantic Meridional Mode (AMM) consists of an SST and SLP seesaw between the tropical North and South At</w:t>
      </w:r>
      <w:r>
        <w:rPr>
          <w:rStyle w:val="CharStyle3"/>
          <w:lang w:eastAsia="en-US"/>
        </w:rPr>
        <w:softHyphen/>
        <w:t>lantic, creating cross-equatorial wind anomalies (see Fig. S1 for SLP and 850 hPa winds composites). In austral autumn, the positive phase redirects and advects moist air northward, towards the Orinoco, where it provokes positive convergence and precipitation anomalies (Fig. 2a). The locations of the satellite precipitation and reanalysed convergence anoma</w:t>
      </w:r>
      <w:r>
        <w:rPr>
          <w:rStyle w:val="CharStyle3"/>
          <w:lang w:eastAsia="en-US"/>
        </w:rPr>
        <w:softHyphen/>
        <w:t xml:space="preserve">lies are consistent in both datasets. The positive convergence creates more clouds that then reduce net surface radiation (Fig. 2c). Soil moisture (SM) </w:t>
      </w:r>
      <w:r>
        <w:rPr>
          <w:rStyle w:val="CharStyle3"/>
          <w:lang w:eastAsia="en-US"/>
        </w:rPr>
        <w:t>is impacted by the anoma</w:t>
      </w:r>
      <w:r>
        <w:rPr>
          <w:rStyle w:val="CharStyle3"/>
          <w:lang w:eastAsia="en-US"/>
        </w:rPr>
        <w:softHyphen/>
        <w:t>lous rainfall; Fig. 2e shows that the SM anomalies in north</w:t>
      </w:r>
      <w:r>
        <w:rPr>
          <w:rStyle w:val="CharStyle3"/>
          <w:lang w:eastAsia="en-US"/>
        </w:rPr>
        <w:softHyphen/>
        <w:t>ern Orinoco are sensitive to the AMM in the positive phase. ESA-CCI-SM is available for this region and shows similar dynamics (Fig. S2). The western and southern Amazon have SM anomalies lower than a 2 % absolute value, as it is the rainy season and the soil is near saturation.</w:t>
      </w:r>
    </w:p>
    <w:p w14:paraId="0A14FF8A"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The evapotranspiration is impacted afterwards. The Orinoco behaves in a water-limited way (Fig. 1i) since this is the transition from the dry to th</w:t>
      </w:r>
      <w:r>
        <w:rPr>
          <w:rStyle w:val="CharStyle3"/>
          <w:lang w:eastAsia="en-US"/>
        </w:rPr>
        <w:t>e wet season; then the in</w:t>
      </w:r>
      <w:r>
        <w:rPr>
          <w:rStyle w:val="CharStyle3"/>
          <w:lang w:eastAsia="en-US"/>
        </w:rPr>
        <w:softHyphen/>
        <w:t>crease in rainfall and SM causes above-average ET (Fig. 2g). Over northeast Brazil, the positive phase produces diver</w:t>
      </w:r>
      <w:r>
        <w:rPr>
          <w:rStyle w:val="CharStyle3"/>
          <w:lang w:eastAsia="en-US"/>
        </w:rPr>
        <w:softHyphen/>
        <w:t>gence anomalies and less cloud cover (Fig. 2a and c). The lat</w:t>
      </w:r>
      <w:r>
        <w:rPr>
          <w:rStyle w:val="CharStyle3"/>
          <w:lang w:eastAsia="en-US"/>
        </w:rPr>
        <w:softHyphen/>
        <w:t>ter increases radiation but causes higher evapotranspiration than average due to the high SM availability above the soil’s field capacity, which allows the region to act in an energy</w:t>
      </w:r>
      <w:r>
        <w:rPr>
          <w:rStyle w:val="CharStyle3"/>
          <w:lang w:eastAsia="en-US"/>
        </w:rPr>
        <w:softHyphen/>
        <w:t>limited way (Figs. 1i and 2g). GLEAM independently shows similar results over northern Orinoco – a more extended in</w:t>
      </w:r>
      <w:r>
        <w:rPr>
          <w:rStyle w:val="CharStyle3"/>
          <w:lang w:eastAsia="en-US"/>
        </w:rPr>
        <w:softHyphen/>
        <w:t xml:space="preserve">crease </w:t>
      </w:r>
      <w:r>
        <w:rPr>
          <w:rStyle w:val="CharStyle3"/>
          <w:lang w:eastAsia="en-US"/>
        </w:rPr>
        <w:t>in ET – but over northeast Brazil, the area with in</w:t>
      </w:r>
      <w:r>
        <w:rPr>
          <w:rStyle w:val="CharStyle3"/>
          <w:lang w:eastAsia="en-US"/>
        </w:rPr>
        <w:softHyphen/>
        <w:t>creased ET is smaller than in ERA5-Land and is surrounded by negative anomalies (Fig. S3). We will examine the box</w:t>
      </w:r>
      <w:r>
        <w:rPr>
          <w:rStyle w:val="CharStyle3"/>
          <w:lang w:eastAsia="en-US"/>
        </w:rPr>
        <w:softHyphen/>
        <w:t>area-averaged time series in Fig. 6.</w:t>
      </w:r>
    </w:p>
    <w:p w14:paraId="629BFFF6"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In the negative phase, the AMM redirects the VIMF south</w:t>
      </w:r>
      <w:r>
        <w:rPr>
          <w:rStyle w:val="CharStyle3"/>
          <w:lang w:eastAsia="en-US"/>
        </w:rPr>
        <w:softHyphen/>
        <w:t xml:space="preserve">ward </w:t>
      </w:r>
      <w:r>
        <w:rPr>
          <w:rStyle w:val="CharStyle3"/>
          <w:lang w:eastAsia="en-US"/>
        </w:rPr>
        <w:lastRenderedPageBreak/>
        <w:t>towards northeast Brazil (Fig. 2b). The anomalous winds generate greater moisture convergence, which reduces radiation and then ET over that region (Fig. 2b, d, and h). Over the northern Orinoco, the southward moisture advec</w:t>
      </w:r>
      <w:r>
        <w:rPr>
          <w:rStyle w:val="CharStyle3"/>
          <w:lang w:eastAsia="en-US"/>
        </w:rPr>
        <w:softHyphen/>
        <w:t>tion causes a reduction in rainfall and below-average SM, further limiting ET. The eastern Amazon evapotranspiration is not affected in the same way as in the positive phase (asym</w:t>
      </w:r>
      <w:r>
        <w:rPr>
          <w:rStyle w:val="CharStyle3"/>
          <w:lang w:eastAsia="en-US"/>
        </w:rPr>
        <w:softHyphen/>
        <w:t>metry). However, GLEAM estimates show that in northeast Brazil, the impacted area is not as big as in</w:t>
      </w:r>
      <w:r>
        <w:rPr>
          <w:rStyle w:val="CharStyle3"/>
          <w:lang w:eastAsia="en-US"/>
        </w:rPr>
        <w:t xml:space="preserve"> ERA5-Land and does not show ET anomalies where the ESA-CCI-SM was unable to detect values (Figs. S2 and S3).</w:t>
      </w:r>
    </w:p>
    <w:p w14:paraId="15B76E5D" w14:textId="77777777" w:rsidR="007857F3" w:rsidRDefault="007857F3">
      <w:pPr>
        <w:pStyle w:val="Style2"/>
        <w:spacing w:after="200"/>
        <w:ind w:firstLine="220"/>
        <w:jc w:val="both"/>
        <w:rPr>
          <w:rFonts w:ascii="Times New Roman" w:hAnsi="Times New Roman" w:cs="Times New Roman"/>
          <w:sz w:val="24"/>
          <w:szCs w:val="24"/>
        </w:rPr>
      </w:pPr>
      <w:r>
        <w:rPr>
          <w:rStyle w:val="CharStyle3"/>
          <w:lang w:eastAsia="en-US"/>
        </w:rPr>
        <w:t>Comparing positive and negative phases, the mode shows asymmetric atmospheric circulation, with the negative phase being stronger in magnitude for the VIMF (Fig. S7). The lat</w:t>
      </w:r>
      <w:r>
        <w:rPr>
          <w:rStyle w:val="CharStyle3"/>
          <w:lang w:eastAsia="en-US"/>
        </w:rPr>
        <w:softHyphen/>
        <w:t>ter causes a decrease in SM over the northeast Amazon that is higher than the increase in the positive phase, consider</w:t>
      </w:r>
      <w:r>
        <w:rPr>
          <w:rStyle w:val="CharStyle3"/>
          <w:lang w:eastAsia="en-US"/>
        </w:rPr>
        <w:softHyphen/>
        <w:t>ing absolute values. Regarding ET, some regions are affected only in one phase of the mode, such as the eastern Amazon and its river delta.</w:t>
      </w:r>
    </w:p>
    <w:p w14:paraId="3911B223" w14:textId="77777777" w:rsidR="007857F3" w:rsidRDefault="007857F3">
      <w:pPr>
        <w:pStyle w:val="Style26"/>
        <w:keepNext/>
        <w:keepLines/>
        <w:numPr>
          <w:ilvl w:val="2"/>
          <w:numId w:val="2"/>
        </w:numPr>
        <w:tabs>
          <w:tab w:val="left" w:pos="600"/>
        </w:tabs>
        <w:spacing w:after="200"/>
        <w:jc w:val="both"/>
        <w:rPr>
          <w:sz w:val="24"/>
          <w:szCs w:val="24"/>
        </w:rPr>
      </w:pPr>
      <w:bookmarkStart w:id="18" w:name="bookmark30"/>
      <w:r>
        <w:rPr>
          <w:rStyle w:val="CharStyle27"/>
          <w:lang w:eastAsia="en-US"/>
        </w:rPr>
        <w:t>June - August (JJA): austral winter</w:t>
      </w:r>
      <w:bookmarkEnd w:id="18"/>
    </w:p>
    <w:p w14:paraId="76EBC613" w14:textId="77777777" w:rsidR="007857F3" w:rsidRDefault="007857F3">
      <w:pPr>
        <w:pStyle w:val="Style2"/>
        <w:jc w:val="both"/>
        <w:rPr>
          <w:rFonts w:ascii="Times New Roman" w:hAnsi="Times New Roman" w:cs="Times New Roman"/>
          <w:sz w:val="24"/>
          <w:szCs w:val="24"/>
        </w:rPr>
      </w:pPr>
      <w:r>
        <w:rPr>
          <w:rStyle w:val="CharStyle3"/>
          <w:lang w:eastAsia="en-US"/>
        </w:rPr>
        <w:t>The Atlantic Niño (Atl3) is characterised by a decrease in SLP and an increase in SST over the equatorial east Atlantic that usually peaks in JJA (Fig. S1). It weakens the trade winds through the Bjerknes feedback, with effects on VIMF and precipitation over the continent (Fig. 3a). SM and evapotran</w:t>
      </w:r>
      <w:r>
        <w:rPr>
          <w:rStyle w:val="CharStyle3"/>
          <w:lang w:eastAsia="en-US"/>
        </w:rPr>
        <w:softHyphen/>
        <w:t>spiration are not extensively impacted by the Atl3 positive phase, as changes in radiation are barely visible (Fig. 3c, e, and g). The Atl3 impacts are not clear in other seasons (SON and DJF), when the AMM and ENSO exert a more discernible influence (not shown).</w:t>
      </w:r>
    </w:p>
    <w:p w14:paraId="4E1AAD2E"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Conversely, stronger JJA trade winds increase Ekman pumping and mixing over the Atlantic and manifest as colder SST (known as the Atlantic Niña – Atl3 negative phase). The strengthened easterly winds – and VIMF – create neg</w:t>
      </w:r>
      <w:r>
        <w:rPr>
          <w:rStyle w:val="CharStyle3"/>
          <w:lang w:eastAsia="en-US"/>
        </w:rPr>
        <w:softHyphen/>
        <w:t>ative anomalies of convergence and precipitation in an ex</w:t>
      </w:r>
      <w:r>
        <w:rPr>
          <w:rStyle w:val="CharStyle3"/>
          <w:lang w:eastAsia="en-US"/>
        </w:rPr>
        <w:softHyphen/>
        <w:t>tended region over the east of the continent (Fig. 3b). How</w:t>
      </w:r>
      <w:r>
        <w:rPr>
          <w:rStyle w:val="CharStyle3"/>
          <w:lang w:eastAsia="en-US"/>
        </w:rPr>
        <w:softHyphen/>
        <w:t>ever, greater MDiv and radiation increase ET over the eastern Orinoco and the Guianas due to the energy-limited environ</w:t>
      </w:r>
      <w:r>
        <w:rPr>
          <w:rStyle w:val="CharStyle3"/>
          <w:lang w:eastAsia="en-US"/>
        </w:rPr>
        <w:softHyphen/>
        <w:t>ment, whereas over northeast Brazil and the eastern Amazon, the anomalies are negative, as they behave in a water-limited way, and the SM is also lower than average (Figs. 1j and 3d, f, and h). ESA-CCI-SM is not available over the Guianas and is partially available over no</w:t>
      </w:r>
      <w:r>
        <w:rPr>
          <w:rStyle w:val="CharStyle3"/>
          <w:lang w:eastAsia="en-US"/>
        </w:rPr>
        <w:t>rtheast Brazil (Fig. S2), and GLEAM shows a similar pattern to that of ERA5-Land, but the signal is weaker over the eastern Orinoco, Amazon delta, and northeast Brazil (Fig. S3). The negative phase is more pronounced due to stronger anomalies in all three variables (Fig. S7 for asymmetric conditions). The ET between the two phases is very asymmetric, as the eastern Orinoco and north</w:t>
      </w:r>
      <w:r>
        <w:rPr>
          <w:rStyle w:val="CharStyle3"/>
          <w:lang w:eastAsia="en-US"/>
        </w:rPr>
        <w:softHyphen/>
        <w:t>east Brazil are not affected in the positive phase, but they are in the negative (Figs. 3g and h and S7).</w:t>
      </w:r>
    </w:p>
    <w:p w14:paraId="7072954D"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Regarding the Atlant</w:t>
      </w:r>
      <w:r>
        <w:rPr>
          <w:rStyle w:val="CharStyle3"/>
          <w:lang w:eastAsia="en-US"/>
        </w:rPr>
        <w:t>ic Meridional Mode (AMM) (Fig. 4), the impacted place migrates depending on the season. In JJA, the positive phase redirects the VIMF anomalies northward (Fig. S4). This enhances convergence over the Caribbean and the divergence over the central Amazon and south</w:t>
      </w:r>
      <w:r>
        <w:rPr>
          <w:rStyle w:val="CharStyle3"/>
          <w:lang w:eastAsia="en-US"/>
        </w:rPr>
        <w:softHyphen/>
        <w:t xml:space="preserve">ern Orinoco (the latter having enhanced convergence in the previous season); hence, it reduces clouds and rainfall over the continent (Fig. S4a </w:t>
      </w:r>
      <w:r>
        <w:rPr>
          <w:rStyle w:val="CharStyle3"/>
          <w:lang w:eastAsia="en-US"/>
        </w:rPr>
        <w:t>and c). The SM levels guar</w:t>
      </w:r>
      <w:r>
        <w:rPr>
          <w:rStyle w:val="CharStyle3"/>
          <w:lang w:eastAsia="en-US"/>
        </w:rPr>
        <w:softHyphen/>
        <w:t>antee an energy-limited environment in the northern Ama</w:t>
      </w:r>
      <w:r>
        <w:rPr>
          <w:rStyle w:val="CharStyle3"/>
          <w:lang w:eastAsia="en-US"/>
        </w:rPr>
        <w:softHyphen/>
        <w:t>zon (Fig. 1j), and the</w:t>
      </w:r>
      <w:r>
        <w:rPr>
          <w:rStyle w:val="CharStyle3"/>
          <w:lang w:eastAsia="en-US"/>
        </w:rPr>
        <w:t xml:space="preserve"> AMM-related divergence generates above-average radiation, causing higher-than-average ET in the tropical forest (Fig. 4c) but below-average ET over north</w:t>
      </w:r>
      <w:r>
        <w:rPr>
          <w:rStyle w:val="CharStyle3"/>
          <w:lang w:eastAsia="en-US"/>
        </w:rPr>
        <w:softHyphen/>
        <w:t>east Brazil. The places impacted migrate westward compared to the previous season – MAM (Fig. 4a). In the southern area, the combination of the dry season and below-average SM causes trees to take up water probably just through their deep roots, generating water stress and reduced ET (see Sect.</w:t>
      </w:r>
      <w:hyperlink w:anchor="bookmark36" w:tooltip="Current Document" w:history="1">
        <w:r>
          <w:rPr>
            <w:rStyle w:val="CharStyle3"/>
            <w:lang w:eastAsia="en-US"/>
          </w:rPr>
          <w:t xml:space="preserve"> 5,</w:t>
        </w:r>
      </w:hyperlink>
      <w:r>
        <w:rPr>
          <w:rStyle w:val="CharStyle3"/>
          <w:lang w:eastAsia="en-US"/>
        </w:rPr>
        <w:t xml:space="preserve"> Discussion). However, GLEAM estimates do not show any significant anomaly in the Amazon, where the availability of ESA-CCI-SM estimates are scarce (Figs. S2 and S3). Both ET datasets show similar anomalies over the continen</w:t>
      </w:r>
      <w:r>
        <w:rPr>
          <w:rStyle w:val="CharStyle3"/>
          <w:lang w:eastAsia="en-US"/>
        </w:rPr>
        <w:softHyphen/>
        <w:t>tal north coast.</w:t>
      </w:r>
    </w:p>
    <w:p w14:paraId="76D691C5" w14:textId="77777777" w:rsidR="007857F3" w:rsidRDefault="007857F3">
      <w:pPr>
        <w:pStyle w:val="Style2"/>
        <w:spacing w:after="320"/>
        <w:ind w:firstLine="220"/>
        <w:jc w:val="both"/>
        <w:rPr>
          <w:rFonts w:ascii="Times New Roman" w:hAnsi="Times New Roman" w:cs="Times New Roman"/>
          <w:sz w:val="24"/>
          <w:szCs w:val="24"/>
        </w:rPr>
      </w:pPr>
      <w:r>
        <w:rPr>
          <w:rStyle w:val="CharStyle3"/>
          <w:lang w:eastAsia="en-US"/>
        </w:rPr>
        <w:t>In the JJA negative phase, southward moisture flux brings more rainfall to the Orinoco, but it is not clear over the Ama</w:t>
      </w:r>
      <w:r>
        <w:rPr>
          <w:rStyle w:val="CharStyle3"/>
          <w:lang w:eastAsia="en-US"/>
        </w:rPr>
        <w:softHyphen/>
        <w:t>zon, an asymmetric condition compared to the positive phase (Fig. S4). Then, the AMM negative phase produces positive but not significant SM and ET anomalies in the southeast (Fig. 4d), although ERA5 suggests enhanced convergence (Fig. S4b). An important difference when comparing JJA to MAM is the westward migration of the divergence anomalies from northeast Brazil to the central Amazon and the effects on SM and ET (Fig. 4a and c).</w:t>
      </w:r>
    </w:p>
    <w:p w14:paraId="20A33ADD" w14:textId="77777777" w:rsidR="007857F3" w:rsidRDefault="007857F3">
      <w:pPr>
        <w:pStyle w:val="Style26"/>
        <w:keepNext/>
        <w:keepLines/>
        <w:numPr>
          <w:ilvl w:val="2"/>
          <w:numId w:val="2"/>
        </w:numPr>
        <w:tabs>
          <w:tab w:val="left" w:pos="600"/>
        </w:tabs>
        <w:spacing w:after="320"/>
        <w:jc w:val="both"/>
        <w:rPr>
          <w:sz w:val="24"/>
          <w:szCs w:val="24"/>
        </w:rPr>
      </w:pPr>
      <w:bookmarkStart w:id="19" w:name="bookmark32"/>
      <w:r>
        <w:rPr>
          <w:rStyle w:val="CharStyle27"/>
          <w:lang w:eastAsia="en-US"/>
        </w:rPr>
        <w:t>September–November (SON): austral spring</w:t>
      </w:r>
      <w:bookmarkEnd w:id="19"/>
    </w:p>
    <w:p w14:paraId="3115F359" w14:textId="77777777" w:rsidR="007857F3" w:rsidRDefault="007857F3">
      <w:pPr>
        <w:pStyle w:val="Style2"/>
        <w:spacing w:after="320"/>
        <w:jc w:val="both"/>
        <w:rPr>
          <w:rFonts w:ascii="Times New Roman" w:hAnsi="Times New Roman" w:cs="Times New Roman"/>
          <w:sz w:val="24"/>
          <w:szCs w:val="24"/>
        </w:rPr>
        <w:sectPr w:rsidR="00000000">
          <w:type w:val="continuous"/>
          <w:pgSz w:w="11909" w:h="16834"/>
          <w:pgMar w:top="1308" w:right="905" w:bottom="1222" w:left="900" w:header="0" w:footer="3" w:gutter="0"/>
          <w:cols w:num="2" w:space="323"/>
          <w:noEndnote/>
          <w:docGrid w:linePitch="360"/>
        </w:sectPr>
      </w:pPr>
      <w:r>
        <w:rPr>
          <w:rStyle w:val="CharStyle3"/>
          <w:lang w:eastAsia="en-US"/>
        </w:rPr>
        <w:t>For this season, the AMM-related</w:t>
      </w:r>
      <w:r>
        <w:rPr>
          <w:rStyle w:val="CharStyle3"/>
          <w:lang w:eastAsia="en-US"/>
        </w:rPr>
        <w:t xml:space="preserve"> anomalies migrate to the western Orinoco and western Amazon since the rainfall is concentrated on the Andes’ eastern slope. The reduction in VIMF and convergence in the positive phase lead to high ra</w:t>
      </w:r>
      <w:r>
        <w:rPr>
          <w:rStyle w:val="CharStyle3"/>
          <w:lang w:eastAsia="en-US"/>
        </w:rPr>
        <w:softHyphen/>
        <w:t>diation anomalies that interact with the SM, causing above</w:t>
      </w:r>
      <w:r>
        <w:rPr>
          <w:rStyle w:val="CharStyle3"/>
          <w:lang w:eastAsia="en-US"/>
        </w:rPr>
        <w:softHyphen/>
        <w:t>average ET over the Orinoco (Figs. 4e and S5a, c, e). This is generated by SM remaining high in the region, creating an energy-limited environment, although it is not the core of the rainy season, and the SM anomalies are less than 2 % (Figs. 1k and S5</w:t>
      </w:r>
      <w:r>
        <w:rPr>
          <w:rStyle w:val="CharStyle3"/>
          <w:lang w:eastAsia="en-US"/>
        </w:rPr>
        <w:t>e). Moreover, the positive phase causes a de</w:t>
      </w:r>
      <w:r>
        <w:rPr>
          <w:rStyle w:val="CharStyle3"/>
          <w:lang w:eastAsia="en-US"/>
        </w:rPr>
        <w:softHyphen/>
        <w:t>cline in SM and ET over the water-limited southeast due to</w:t>
      </w:r>
    </w:p>
    <w:p w14:paraId="3225669D" w14:textId="5949D904" w:rsidR="007857F3" w:rsidRDefault="007857F3">
      <w:pPr>
        <w:jc w:val="center"/>
        <w:rPr>
          <w:color w:val="auto"/>
          <w:lang w:eastAsia="en-GB"/>
        </w:rPr>
      </w:pPr>
      <w:r>
        <w:rPr>
          <w:noProof/>
          <w:color w:val="auto"/>
          <w:lang w:eastAsia="en-GB"/>
        </w:rPr>
        <w:lastRenderedPageBreak/>
        <w:drawing>
          <wp:inline distT="0" distB="0" distL="0" distR="0" wp14:anchorId="5C1E8BB1" wp14:editId="0DB7A537">
            <wp:extent cx="4686300" cy="63055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6305550"/>
                    </a:xfrm>
                    <a:prstGeom prst="rect">
                      <a:avLst/>
                    </a:prstGeom>
                    <a:noFill/>
                    <a:ln>
                      <a:noFill/>
                    </a:ln>
                  </pic:spPr>
                </pic:pic>
              </a:graphicData>
            </a:graphic>
          </wp:inline>
        </w:drawing>
      </w:r>
    </w:p>
    <w:p w14:paraId="5FDE613C" w14:textId="77777777" w:rsidR="007857F3" w:rsidRDefault="007857F3">
      <w:pPr>
        <w:pStyle w:val="Style13"/>
        <w:jc w:val="both"/>
        <w:rPr>
          <w:rFonts w:ascii="Times New Roman" w:hAnsi="Times New Roman" w:cs="Times New Roman"/>
          <w:sz w:val="24"/>
          <w:szCs w:val="24"/>
        </w:rPr>
        <w:sectPr w:rsidR="00000000">
          <w:pgSz w:w="11909" w:h="16834"/>
          <w:pgMar w:top="2154" w:right="915" w:bottom="2115" w:left="908" w:header="0" w:footer="3" w:gutter="0"/>
          <w:cols w:space="720"/>
          <w:noEndnote/>
          <w:docGrid w:linePitch="360"/>
        </w:sectPr>
      </w:pPr>
      <w:r>
        <w:rPr>
          <w:rStyle w:val="CharStyle14"/>
          <w:lang w:eastAsia="en-US"/>
        </w:rPr>
        <w:t>Figure 2. Anomaly composites of AMM in MAM for (a) VIMF (arrows), MDiv (contours), and MSWEP precipitation (shading) anomalies in the positive phase; positive MDiv anomalies are in red and negative in blue every 3 kgm</w:t>
      </w:r>
      <w:r>
        <w:rPr>
          <w:rStyle w:val="CharStyle14"/>
          <w:sz w:val="13"/>
          <w:szCs w:val="13"/>
          <w:vertAlign w:val="superscript"/>
          <w:lang w:eastAsia="en-US"/>
        </w:rPr>
        <w:t>-</w:t>
      </w:r>
      <w:r>
        <w:rPr>
          <w:rStyle w:val="CharStyle14"/>
          <w:sz w:val="17"/>
          <w:szCs w:val="17"/>
          <w:vertAlign w:val="superscript"/>
          <w:lang w:eastAsia="en-US"/>
        </w:rPr>
        <w:t>2</w:t>
      </w:r>
      <w:r>
        <w:rPr>
          <w:rStyle w:val="CharStyle14"/>
          <w:lang w:eastAsia="en-US"/>
        </w:rPr>
        <w:t>. VIMF is in kg m</w:t>
      </w:r>
      <w:r>
        <w:rPr>
          <w:rStyle w:val="CharStyle14"/>
          <w:sz w:val="13"/>
          <w:szCs w:val="13"/>
          <w:vertAlign w:val="superscript"/>
          <w:lang w:eastAsia="en-US"/>
        </w:rPr>
        <w:t>-</w:t>
      </w:r>
      <w:r>
        <w:rPr>
          <w:rStyle w:val="CharStyle14"/>
          <w:sz w:val="17"/>
          <w:szCs w:val="17"/>
          <w:vertAlign w:val="superscript"/>
          <w:lang w:eastAsia="en-US"/>
        </w:rPr>
        <w:t>1</w:t>
      </w:r>
      <w:r>
        <w:rPr>
          <w:rStyle w:val="CharStyle14"/>
          <w:sz w:val="17"/>
          <w:szCs w:val="17"/>
          <w:lang w:eastAsia="en-US"/>
        </w:rPr>
        <w:t xml:space="preserve"> </w:t>
      </w:r>
      <w:r>
        <w:rPr>
          <w:rStyle w:val="CharStyle14"/>
          <w:lang w:eastAsia="en-US"/>
        </w:rPr>
        <w:t>s</w:t>
      </w:r>
      <w:r>
        <w:rPr>
          <w:rStyle w:val="CharStyle14"/>
          <w:sz w:val="13"/>
          <w:szCs w:val="13"/>
          <w:vertAlign w:val="superscript"/>
          <w:lang w:eastAsia="en-US"/>
        </w:rPr>
        <w:t>-</w:t>
      </w:r>
      <w:r>
        <w:rPr>
          <w:rStyle w:val="CharStyle14"/>
          <w:sz w:val="17"/>
          <w:szCs w:val="17"/>
          <w:vertAlign w:val="superscript"/>
          <w:lang w:eastAsia="en-US"/>
        </w:rPr>
        <w:t>1</w:t>
      </w:r>
      <w:r>
        <w:rPr>
          <w:rStyle w:val="CharStyle14"/>
          <w:lang w:eastAsia="en-US"/>
        </w:rPr>
        <w:t>; it is depicted in purple when it is statistically significant at a 90 % confidence level and in grey otherwise. The right panels (b, d, f, and h) are the same as the left panels (a, c, e, and g) but for the negative phase. (c, d) ERA5-Land surface net radiation (shading) and satellite CLARA cloud cover anomalies (contours): positive cloud cover anomalies are in blue and negative in red, repeated every 4 %. (e, f) Composites of ERA5-Land soil moisture anomalies in saturation percen</w:t>
      </w:r>
      <w:r>
        <w:rPr>
          <w:rStyle w:val="CharStyle14"/>
          <w:lang w:eastAsia="en-US"/>
        </w:rPr>
        <w:t>tage (shading), and MSWEP precipitation anomalies (contours): positive precipitation anomalies are drawn in aquamarine and negative in gold, repeated every 100 mm. (g, h) Composites of ERA5-Land evapotranspiration (shading), Rn anomalies (contours: gold for positive and aquamarine for negative), and SM anomalies (contours: blue for positive and red for negative): Rn anomalies are repeated every 3 Wm</w:t>
      </w:r>
      <w:r>
        <w:rPr>
          <w:rStyle w:val="CharStyle14"/>
          <w:sz w:val="13"/>
          <w:szCs w:val="13"/>
          <w:vertAlign w:val="superscript"/>
          <w:lang w:eastAsia="en-US"/>
        </w:rPr>
        <w:t>-</w:t>
      </w:r>
      <w:r>
        <w:rPr>
          <w:rStyle w:val="CharStyle14"/>
          <w:sz w:val="17"/>
          <w:szCs w:val="17"/>
          <w:vertAlign w:val="superscript"/>
          <w:lang w:eastAsia="en-US"/>
        </w:rPr>
        <w:t>2</w:t>
      </w:r>
      <w:r>
        <w:rPr>
          <w:rStyle w:val="CharStyle14"/>
          <w:lang w:eastAsia="en-US"/>
        </w:rPr>
        <w:t xml:space="preserve">, and SM anomalies are repeated every 5 %. In every panel, black stippling depicts regions where the shaded </w:t>
      </w:r>
      <w:r>
        <w:rPr>
          <w:rStyle w:val="CharStyle14"/>
          <w:lang w:eastAsia="en-US"/>
        </w:rPr>
        <w:t>variable is significantly different from the neutral phase at a 95 % confidence level. Boxed region: northern Orinoco, also applies for the negative phase.</w:t>
      </w:r>
    </w:p>
    <w:p w14:paraId="71453095" w14:textId="77777777" w:rsidR="007857F3" w:rsidRDefault="007857F3">
      <w:pPr>
        <w:spacing w:line="179" w:lineRule="exact"/>
        <w:rPr>
          <w:color w:val="auto"/>
          <w:lang w:eastAsia="en-GB"/>
        </w:rPr>
      </w:pPr>
    </w:p>
    <w:p w14:paraId="0665B2A7" w14:textId="77777777" w:rsidR="007857F3" w:rsidRDefault="007857F3">
      <w:pPr>
        <w:spacing w:line="1" w:lineRule="exact"/>
        <w:rPr>
          <w:color w:val="auto"/>
          <w:lang w:eastAsia="en-GB"/>
        </w:rPr>
        <w:sectPr w:rsidR="00000000">
          <w:pgSz w:w="11909" w:h="16834"/>
          <w:pgMar w:top="1634" w:right="915" w:bottom="1545" w:left="908" w:header="0" w:footer="3" w:gutter="0"/>
          <w:cols w:space="720"/>
          <w:noEndnote/>
          <w:docGrid w:linePitch="360"/>
        </w:sectPr>
      </w:pPr>
    </w:p>
    <w:p w14:paraId="06836127" w14:textId="77777777" w:rsidR="007857F3" w:rsidRDefault="007857F3">
      <w:pPr>
        <w:framePr w:w="2773" w:h="221" w:wrap="none" w:vAnchor="text" w:hAnchor="margin" w:x="1605" w:y="21"/>
        <w:rPr>
          <w:color w:val="auto"/>
          <w:lang w:eastAsia="en-GB"/>
        </w:rPr>
      </w:pPr>
    </w:p>
    <w:p w14:paraId="7932B648" w14:textId="77777777" w:rsidR="007857F3" w:rsidRDefault="007857F3">
      <w:pPr>
        <w:pStyle w:val="Style13"/>
        <w:framePr w:w="10087" w:h="488" w:wrap="none" w:vAnchor="text" w:hAnchor="margin" w:x="2" w:y="10128"/>
        <w:spacing w:line="302" w:lineRule="auto"/>
        <w:rPr>
          <w:rFonts w:ascii="Times New Roman" w:hAnsi="Times New Roman" w:cs="Times New Roman"/>
          <w:sz w:val="24"/>
          <w:szCs w:val="24"/>
        </w:rPr>
      </w:pPr>
      <w:r>
        <w:rPr>
          <w:rStyle w:val="CharStyle14"/>
          <w:lang w:eastAsia="en-US"/>
        </w:rPr>
        <w:t>Figure 3. As in Fig. 2 but for the Atlantic Niño Equatorial Mode (Atl3) in June to August (JJA). Boxed region: the Guianas, also applies for the negative phase.</w:t>
      </w:r>
    </w:p>
    <w:p w14:paraId="2987F34D" w14:textId="1FE8D230" w:rsidR="007857F3" w:rsidRDefault="007857F3">
      <w:pPr>
        <w:spacing w:line="360" w:lineRule="exact"/>
        <w:rPr>
          <w:color w:val="auto"/>
          <w:lang w:eastAsia="en-GB"/>
        </w:rPr>
      </w:pPr>
      <w:r>
        <w:rPr>
          <w:noProof/>
        </w:rPr>
        <w:drawing>
          <wp:anchor distT="0" distB="502285" distL="859790" distR="864870" simplePos="0" relativeHeight="251663360" behindDoc="1" locked="0" layoutInCell="1" allowOverlap="1" wp14:anchorId="1AE1F8B1" wp14:editId="76B88590">
            <wp:simplePos x="0" y="0"/>
            <wp:positionH relativeFrom="margin">
              <wp:posOffset>860425</wp:posOffset>
            </wp:positionH>
            <wp:positionV relativeFrom="paragraph">
              <wp:posOffset>122555</wp:posOffset>
            </wp:positionV>
            <wp:extent cx="4680585" cy="611568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585" cy="6115685"/>
                    </a:xfrm>
                    <a:prstGeom prst="rect">
                      <a:avLst/>
                    </a:prstGeom>
                    <a:noFill/>
                  </pic:spPr>
                </pic:pic>
              </a:graphicData>
            </a:graphic>
            <wp14:sizeRelH relativeFrom="page">
              <wp14:pctWidth>0</wp14:pctWidth>
            </wp14:sizeRelH>
            <wp14:sizeRelV relativeFrom="page">
              <wp14:pctHeight>0</wp14:pctHeight>
            </wp14:sizeRelV>
          </wp:anchor>
        </w:drawing>
      </w:r>
    </w:p>
    <w:p w14:paraId="5F8D9049" w14:textId="77777777" w:rsidR="007857F3" w:rsidRDefault="007857F3">
      <w:pPr>
        <w:spacing w:line="360" w:lineRule="exact"/>
        <w:rPr>
          <w:color w:val="auto"/>
          <w:lang w:eastAsia="en-GB"/>
        </w:rPr>
      </w:pPr>
    </w:p>
    <w:p w14:paraId="54E52D04" w14:textId="77777777" w:rsidR="007857F3" w:rsidRDefault="007857F3">
      <w:pPr>
        <w:spacing w:line="360" w:lineRule="exact"/>
        <w:rPr>
          <w:color w:val="auto"/>
          <w:lang w:eastAsia="en-GB"/>
        </w:rPr>
      </w:pPr>
    </w:p>
    <w:p w14:paraId="76FCCCE3" w14:textId="77777777" w:rsidR="007857F3" w:rsidRDefault="007857F3">
      <w:pPr>
        <w:spacing w:line="360" w:lineRule="exact"/>
        <w:rPr>
          <w:color w:val="auto"/>
          <w:lang w:eastAsia="en-GB"/>
        </w:rPr>
      </w:pPr>
    </w:p>
    <w:p w14:paraId="5B4D29E2" w14:textId="77777777" w:rsidR="007857F3" w:rsidRDefault="007857F3">
      <w:pPr>
        <w:spacing w:line="360" w:lineRule="exact"/>
        <w:rPr>
          <w:color w:val="auto"/>
          <w:lang w:eastAsia="en-GB"/>
        </w:rPr>
      </w:pPr>
    </w:p>
    <w:p w14:paraId="3A4CA209" w14:textId="77777777" w:rsidR="007857F3" w:rsidRDefault="007857F3">
      <w:pPr>
        <w:spacing w:line="360" w:lineRule="exact"/>
        <w:rPr>
          <w:color w:val="auto"/>
          <w:lang w:eastAsia="en-GB"/>
        </w:rPr>
      </w:pPr>
    </w:p>
    <w:p w14:paraId="28F1126E" w14:textId="77777777" w:rsidR="007857F3" w:rsidRDefault="007857F3">
      <w:pPr>
        <w:spacing w:line="360" w:lineRule="exact"/>
        <w:rPr>
          <w:color w:val="auto"/>
          <w:lang w:eastAsia="en-GB"/>
        </w:rPr>
      </w:pPr>
    </w:p>
    <w:p w14:paraId="435CD3A9" w14:textId="77777777" w:rsidR="007857F3" w:rsidRDefault="007857F3">
      <w:pPr>
        <w:spacing w:line="360" w:lineRule="exact"/>
        <w:rPr>
          <w:color w:val="auto"/>
          <w:lang w:eastAsia="en-GB"/>
        </w:rPr>
      </w:pPr>
    </w:p>
    <w:p w14:paraId="5B30E218" w14:textId="77777777" w:rsidR="007857F3" w:rsidRDefault="007857F3">
      <w:pPr>
        <w:spacing w:line="360" w:lineRule="exact"/>
        <w:rPr>
          <w:color w:val="auto"/>
          <w:lang w:eastAsia="en-GB"/>
        </w:rPr>
      </w:pPr>
    </w:p>
    <w:p w14:paraId="7D5E9B8A" w14:textId="77777777" w:rsidR="007857F3" w:rsidRDefault="007857F3">
      <w:pPr>
        <w:spacing w:line="360" w:lineRule="exact"/>
        <w:rPr>
          <w:color w:val="auto"/>
          <w:lang w:eastAsia="en-GB"/>
        </w:rPr>
      </w:pPr>
    </w:p>
    <w:p w14:paraId="318201C2" w14:textId="77777777" w:rsidR="007857F3" w:rsidRDefault="007857F3">
      <w:pPr>
        <w:spacing w:line="360" w:lineRule="exact"/>
        <w:rPr>
          <w:color w:val="auto"/>
          <w:lang w:eastAsia="en-GB"/>
        </w:rPr>
      </w:pPr>
    </w:p>
    <w:p w14:paraId="638A366F" w14:textId="77777777" w:rsidR="007857F3" w:rsidRDefault="007857F3">
      <w:pPr>
        <w:spacing w:line="360" w:lineRule="exact"/>
        <w:rPr>
          <w:color w:val="auto"/>
          <w:lang w:eastAsia="en-GB"/>
        </w:rPr>
      </w:pPr>
    </w:p>
    <w:p w14:paraId="48571AB0" w14:textId="77777777" w:rsidR="007857F3" w:rsidRDefault="007857F3">
      <w:pPr>
        <w:spacing w:line="360" w:lineRule="exact"/>
        <w:rPr>
          <w:color w:val="auto"/>
          <w:lang w:eastAsia="en-GB"/>
        </w:rPr>
      </w:pPr>
    </w:p>
    <w:p w14:paraId="50A7AE06" w14:textId="77777777" w:rsidR="007857F3" w:rsidRDefault="007857F3">
      <w:pPr>
        <w:spacing w:line="360" w:lineRule="exact"/>
        <w:rPr>
          <w:color w:val="auto"/>
          <w:lang w:eastAsia="en-GB"/>
        </w:rPr>
      </w:pPr>
    </w:p>
    <w:p w14:paraId="4BCBFF16" w14:textId="77777777" w:rsidR="007857F3" w:rsidRDefault="007857F3">
      <w:pPr>
        <w:spacing w:line="360" w:lineRule="exact"/>
        <w:rPr>
          <w:color w:val="auto"/>
          <w:lang w:eastAsia="en-GB"/>
        </w:rPr>
      </w:pPr>
    </w:p>
    <w:p w14:paraId="6C05BFD6" w14:textId="77777777" w:rsidR="007857F3" w:rsidRDefault="007857F3">
      <w:pPr>
        <w:spacing w:line="360" w:lineRule="exact"/>
        <w:rPr>
          <w:color w:val="auto"/>
          <w:lang w:eastAsia="en-GB"/>
        </w:rPr>
      </w:pPr>
    </w:p>
    <w:p w14:paraId="339D7492" w14:textId="77777777" w:rsidR="007857F3" w:rsidRDefault="007857F3">
      <w:pPr>
        <w:spacing w:line="360" w:lineRule="exact"/>
        <w:rPr>
          <w:color w:val="auto"/>
          <w:lang w:eastAsia="en-GB"/>
        </w:rPr>
      </w:pPr>
    </w:p>
    <w:p w14:paraId="3A8DDA62" w14:textId="77777777" w:rsidR="007857F3" w:rsidRDefault="007857F3">
      <w:pPr>
        <w:spacing w:line="360" w:lineRule="exact"/>
        <w:rPr>
          <w:color w:val="auto"/>
          <w:lang w:eastAsia="en-GB"/>
        </w:rPr>
      </w:pPr>
    </w:p>
    <w:p w14:paraId="6EFFB72B" w14:textId="77777777" w:rsidR="007857F3" w:rsidRDefault="007857F3">
      <w:pPr>
        <w:spacing w:line="360" w:lineRule="exact"/>
        <w:rPr>
          <w:color w:val="auto"/>
          <w:lang w:eastAsia="en-GB"/>
        </w:rPr>
      </w:pPr>
    </w:p>
    <w:p w14:paraId="6322D718" w14:textId="77777777" w:rsidR="007857F3" w:rsidRDefault="007857F3">
      <w:pPr>
        <w:spacing w:line="360" w:lineRule="exact"/>
        <w:rPr>
          <w:color w:val="auto"/>
          <w:lang w:eastAsia="en-GB"/>
        </w:rPr>
      </w:pPr>
    </w:p>
    <w:p w14:paraId="4AA291E7" w14:textId="77777777" w:rsidR="007857F3" w:rsidRDefault="007857F3">
      <w:pPr>
        <w:spacing w:line="360" w:lineRule="exact"/>
        <w:rPr>
          <w:color w:val="auto"/>
          <w:lang w:eastAsia="en-GB"/>
        </w:rPr>
      </w:pPr>
    </w:p>
    <w:p w14:paraId="59C4311E" w14:textId="77777777" w:rsidR="007857F3" w:rsidRDefault="007857F3">
      <w:pPr>
        <w:spacing w:line="360" w:lineRule="exact"/>
        <w:rPr>
          <w:color w:val="auto"/>
          <w:lang w:eastAsia="en-GB"/>
        </w:rPr>
      </w:pPr>
    </w:p>
    <w:p w14:paraId="569D42CF" w14:textId="77777777" w:rsidR="007857F3" w:rsidRDefault="007857F3">
      <w:pPr>
        <w:spacing w:line="360" w:lineRule="exact"/>
        <w:rPr>
          <w:color w:val="auto"/>
          <w:lang w:eastAsia="en-GB"/>
        </w:rPr>
      </w:pPr>
    </w:p>
    <w:p w14:paraId="6A18E327" w14:textId="77777777" w:rsidR="007857F3" w:rsidRDefault="007857F3">
      <w:pPr>
        <w:spacing w:line="360" w:lineRule="exact"/>
        <w:rPr>
          <w:color w:val="auto"/>
          <w:lang w:eastAsia="en-GB"/>
        </w:rPr>
      </w:pPr>
    </w:p>
    <w:p w14:paraId="57CF34D8" w14:textId="77777777" w:rsidR="007857F3" w:rsidRDefault="007857F3">
      <w:pPr>
        <w:spacing w:line="360" w:lineRule="exact"/>
        <w:rPr>
          <w:color w:val="auto"/>
          <w:lang w:eastAsia="en-GB"/>
        </w:rPr>
      </w:pPr>
    </w:p>
    <w:p w14:paraId="432B2EF7" w14:textId="77777777" w:rsidR="007857F3" w:rsidRDefault="007857F3">
      <w:pPr>
        <w:spacing w:line="360" w:lineRule="exact"/>
        <w:rPr>
          <w:color w:val="auto"/>
          <w:lang w:eastAsia="en-GB"/>
        </w:rPr>
      </w:pPr>
    </w:p>
    <w:p w14:paraId="6AB5942B" w14:textId="77777777" w:rsidR="007857F3" w:rsidRDefault="007857F3">
      <w:pPr>
        <w:spacing w:line="360" w:lineRule="exact"/>
        <w:rPr>
          <w:color w:val="auto"/>
          <w:lang w:eastAsia="en-GB"/>
        </w:rPr>
      </w:pPr>
    </w:p>
    <w:p w14:paraId="530218AD" w14:textId="77777777" w:rsidR="007857F3" w:rsidRDefault="007857F3">
      <w:pPr>
        <w:spacing w:line="360" w:lineRule="exact"/>
        <w:rPr>
          <w:color w:val="auto"/>
          <w:lang w:eastAsia="en-GB"/>
        </w:rPr>
      </w:pPr>
    </w:p>
    <w:p w14:paraId="127983A3" w14:textId="77777777" w:rsidR="007857F3" w:rsidRDefault="007857F3">
      <w:pPr>
        <w:spacing w:after="534" w:line="1" w:lineRule="exact"/>
        <w:rPr>
          <w:color w:val="auto"/>
          <w:lang w:eastAsia="en-GB"/>
        </w:rPr>
      </w:pPr>
    </w:p>
    <w:p w14:paraId="5ABBAF13" w14:textId="77777777" w:rsidR="007857F3" w:rsidRDefault="007857F3">
      <w:pPr>
        <w:spacing w:line="1" w:lineRule="exact"/>
        <w:rPr>
          <w:color w:val="auto"/>
          <w:lang w:eastAsia="en-GB"/>
        </w:rPr>
        <w:sectPr w:rsidR="00000000">
          <w:type w:val="continuous"/>
          <w:pgSz w:w="11909" w:h="16834"/>
          <w:pgMar w:top="1634" w:right="915" w:bottom="1545" w:left="908" w:header="0" w:footer="3" w:gutter="0"/>
          <w:cols w:space="720"/>
          <w:noEndnote/>
          <w:docGrid w:linePitch="360"/>
        </w:sectPr>
      </w:pPr>
    </w:p>
    <w:p w14:paraId="6D3841D8" w14:textId="77777777" w:rsidR="007857F3" w:rsidRDefault="007857F3">
      <w:pPr>
        <w:spacing w:line="83" w:lineRule="exact"/>
        <w:rPr>
          <w:color w:val="auto"/>
          <w:lang w:eastAsia="en-GB"/>
        </w:rPr>
      </w:pPr>
    </w:p>
    <w:p w14:paraId="2242E26C" w14:textId="77777777" w:rsidR="007857F3" w:rsidRDefault="007857F3">
      <w:pPr>
        <w:spacing w:line="1" w:lineRule="exact"/>
        <w:rPr>
          <w:color w:val="auto"/>
          <w:lang w:eastAsia="en-GB"/>
        </w:rPr>
        <w:sectPr w:rsidR="00000000">
          <w:type w:val="continuous"/>
          <w:pgSz w:w="11909" w:h="16834"/>
          <w:pgMar w:top="1832" w:right="0" w:bottom="1809" w:left="0" w:header="0" w:footer="3" w:gutter="0"/>
          <w:cols w:space="720"/>
          <w:noEndnote/>
          <w:docGrid w:linePitch="360"/>
        </w:sectPr>
      </w:pPr>
    </w:p>
    <w:p w14:paraId="7AF512E3" w14:textId="77777777" w:rsidR="007857F3" w:rsidRDefault="007857F3">
      <w:pPr>
        <w:pStyle w:val="Style2"/>
        <w:spacing w:line="295" w:lineRule="auto"/>
        <w:jc w:val="both"/>
        <w:rPr>
          <w:rFonts w:ascii="Times New Roman" w:hAnsi="Times New Roman" w:cs="Times New Roman"/>
          <w:sz w:val="24"/>
          <w:szCs w:val="24"/>
        </w:rPr>
      </w:pPr>
      <w:r>
        <w:rPr>
          <w:rStyle w:val="CharStyle3"/>
          <w:lang w:eastAsia="en-US"/>
        </w:rPr>
        <w:t>the reduction in rainfall. There is no significant change in the central northern Amazon, just in the west or in the east.</w:t>
      </w:r>
    </w:p>
    <w:p w14:paraId="26E27D83" w14:textId="77777777" w:rsidR="007857F3" w:rsidRDefault="007857F3">
      <w:pPr>
        <w:pStyle w:val="Style2"/>
        <w:spacing w:line="295" w:lineRule="auto"/>
        <w:ind w:firstLine="220"/>
        <w:jc w:val="both"/>
        <w:rPr>
          <w:rFonts w:ascii="Times New Roman" w:hAnsi="Times New Roman" w:cs="Times New Roman"/>
          <w:sz w:val="24"/>
          <w:szCs w:val="24"/>
        </w:rPr>
      </w:pPr>
      <w:r>
        <w:rPr>
          <w:rStyle w:val="CharStyle3"/>
          <w:lang w:eastAsia="en-US"/>
        </w:rPr>
        <w:t>In the negative phase, the</w:t>
      </w:r>
      <w:r>
        <w:rPr>
          <w:rStyle w:val="CharStyle3"/>
          <w:lang w:eastAsia="en-US"/>
        </w:rPr>
        <w:t xml:space="preserve"> AMM brings extra moisture more strongly than in the positive phase, although in both phases, the southeastern Amazon is impacted (Figs. S5a, b and S7). In the latter region, the SM shows higher-than</w:t>
      </w:r>
      <w:r>
        <w:rPr>
          <w:rStyle w:val="CharStyle3"/>
          <w:lang w:eastAsia="en-US"/>
        </w:rPr>
        <w:softHyphen/>
        <w:t>average values (Fig. S5e), which grant the land surface the extra moisture to increase ET in the water-limited zone</w:t>
      </w:r>
    </w:p>
    <w:p w14:paraId="59F5C58F" w14:textId="77777777" w:rsidR="007857F3" w:rsidRDefault="007857F3">
      <w:pPr>
        <w:pStyle w:val="Style2"/>
        <w:jc w:val="both"/>
        <w:rPr>
          <w:rFonts w:ascii="Times New Roman" w:hAnsi="Times New Roman" w:cs="Times New Roman"/>
          <w:sz w:val="24"/>
          <w:szCs w:val="24"/>
        </w:rPr>
      </w:pPr>
      <w:r>
        <w:rPr>
          <w:rStyle w:val="CharStyle3"/>
          <w:lang w:eastAsia="en-US"/>
        </w:rPr>
        <w:t>(Fig. 4f). Over the Orinoco, the reduced radiation causes less ET, as well as over the western and northern Amazon (the latter region is not affected in the positive phase, asymme</w:t>
      </w:r>
      <w:r>
        <w:rPr>
          <w:rStyle w:val="CharStyle3"/>
          <w:lang w:eastAsia="en-US"/>
        </w:rPr>
        <w:softHyphen/>
        <w:t xml:space="preserve">try in Fig. </w:t>
      </w:r>
      <w:r>
        <w:rPr>
          <w:rStyle w:val="CharStyle3"/>
          <w:lang w:eastAsia="en-US"/>
        </w:rPr>
        <w:t>S7). GLEAM shows similar results except for the central Amazon, again a region where the satellite SM is not assimilated in the model (Figs. S2 and S3).</w:t>
      </w:r>
    </w:p>
    <w:p w14:paraId="44A8D6EA"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The interactions between SM availability, plant water uptake, and radiation lead – in some cases – to above-</w:t>
      </w:r>
      <w:r>
        <w:rPr>
          <w:rFonts w:ascii="Times New Roman" w:hAnsi="Times New Roman" w:cs="Times New Roman"/>
          <w:sz w:val="24"/>
          <w:szCs w:val="24"/>
        </w:rPr>
        <w:br w:type="page"/>
      </w:r>
    </w:p>
    <w:p w14:paraId="1C49B24A" w14:textId="507FC56A" w:rsidR="007857F3" w:rsidRDefault="007857F3">
      <w:pPr>
        <w:pStyle w:val="Style2"/>
        <w:jc w:val="both"/>
        <w:rPr>
          <w:rFonts w:ascii="Times New Roman" w:hAnsi="Times New Roman" w:cs="Times New Roman"/>
          <w:sz w:val="24"/>
          <w:szCs w:val="24"/>
        </w:rPr>
      </w:pPr>
      <w:r>
        <w:rPr>
          <w:noProof/>
        </w:rPr>
        <w:lastRenderedPageBreak/>
        <w:drawing>
          <wp:anchor distT="0" distB="1301115" distL="615950" distR="615950" simplePos="0" relativeHeight="251664384" behindDoc="1" locked="0" layoutInCell="1" allowOverlap="1" wp14:anchorId="6A0E6DA6" wp14:editId="31A2E033">
            <wp:simplePos x="0" y="0"/>
            <wp:positionH relativeFrom="margin">
              <wp:posOffset>502285</wp:posOffset>
            </wp:positionH>
            <wp:positionV relativeFrom="margin">
              <wp:posOffset>33020</wp:posOffset>
            </wp:positionV>
            <wp:extent cx="5405120" cy="5259070"/>
            <wp:effectExtent l="0" t="0" r="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5120" cy="52590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5408" behindDoc="0" locked="0" layoutInCell="1" allowOverlap="1" wp14:anchorId="469160DB" wp14:editId="0814FDD3">
                <wp:simplePos x="0" y="0"/>
                <wp:positionH relativeFrom="margin">
                  <wp:posOffset>635</wp:posOffset>
                </wp:positionH>
                <wp:positionV relativeFrom="margin">
                  <wp:posOffset>5409565</wp:posOffset>
                </wp:positionV>
                <wp:extent cx="6408420" cy="1005840"/>
                <wp:effectExtent l="3175" t="635" r="0" b="3175"/>
                <wp:wrapNone/>
                <wp:docPr id="834295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5007" w14:textId="77777777" w:rsidR="007857F3" w:rsidRDefault="007857F3">
                            <w:pPr>
                              <w:pStyle w:val="Style13"/>
                              <w:jc w:val="both"/>
                              <w:rPr>
                                <w:rFonts w:ascii="Times New Roman" w:hAnsi="Times New Roman" w:cs="Times New Roman"/>
                                <w:sz w:val="24"/>
                                <w:szCs w:val="24"/>
                              </w:rPr>
                            </w:pPr>
                            <w:r>
                              <w:rPr>
                                <w:rStyle w:val="CharStyle14"/>
                                <w:lang w:eastAsia="en-US"/>
                              </w:rPr>
                              <w:t>Figure 4. Anomalies of ERA5-Land ET (shading) in the positive and negative Atlantic Meridional Mode (AMM) phases for (a, b) March– May, (c, d) June–August, and (e, f) September–November. The positive ph</w:t>
                            </w:r>
                            <w:r>
                              <w:rPr>
                                <w:rStyle w:val="CharStyle14"/>
                                <w:lang w:eastAsia="en-US"/>
                              </w:rPr>
                              <w:t>ase is in panels (a, c, e) and the negative phase in panels (b, d, f). Net surface radiation anomalies are shown in contours (gold for positive and aquamarine for negative), as well as soil moisture anomalies (contours: blue for positive and red for negative): radiation anomalies are repeated every 3 Wm</w:t>
                            </w:r>
                            <w:r>
                              <w:rPr>
                                <w:rStyle w:val="CharStyle14"/>
                                <w:sz w:val="13"/>
                                <w:szCs w:val="13"/>
                                <w:vertAlign w:val="superscript"/>
                                <w:lang w:eastAsia="en-US"/>
                              </w:rPr>
                              <w:t>-</w:t>
                            </w:r>
                            <w:r>
                              <w:rPr>
                                <w:rStyle w:val="CharStyle14"/>
                                <w:sz w:val="17"/>
                                <w:szCs w:val="17"/>
                                <w:vertAlign w:val="superscript"/>
                                <w:lang w:eastAsia="en-US"/>
                              </w:rPr>
                              <w:t>2</w:t>
                            </w:r>
                            <w:r>
                              <w:rPr>
                                <w:rStyle w:val="CharStyle14"/>
                                <w:lang w:eastAsia="en-US"/>
                              </w:rPr>
                              <w:t>, and SM anomalies are repeated every 5 %. Black stippling depicts regions where the difference from the neutral phase is statistically significant at a 95 % confidence level. Boxed regions: (a, b) northern</w:t>
                            </w:r>
                            <w:r>
                              <w:rPr>
                                <w:rStyle w:val="CharStyle14"/>
                                <w:lang w:eastAsia="en-US"/>
                              </w:rPr>
                              <w:t xml:space="preserve"> Orinoco, (c, d) central Amazon, and (e, f) western Orinoco, also applies for the negative phase. The box-averaged time series for JJA and SON is in Fig. S6.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160DB" id="Text Box 13" o:spid="_x0000_s1030" type="#_x0000_t202" style="position:absolute;left:0;text-align:left;margin-left:.05pt;margin-top:425.95pt;width:504.6pt;height:79.2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" filled="f" stroked="f">
                <v:textbox inset="0,0,0,0">
                  <w:txbxContent>
                    <w:p w14:paraId="3D835007" w14:textId="77777777" w:rsidR="007857F3" w:rsidRDefault="007857F3">
                      <w:pPr>
                        <w:pStyle w:val="Style13"/>
                        <w:jc w:val="both"/>
                        <w:rPr>
                          <w:rFonts w:ascii="Times New Roman" w:hAnsi="Times New Roman" w:cs="Times New Roman"/>
                          <w:sz w:val="24"/>
                          <w:szCs w:val="24"/>
                        </w:rPr>
                      </w:pPr>
                      <w:r>
                        <w:rPr>
                          <w:rStyle w:val="CharStyle14"/>
                          <w:lang w:eastAsia="en-US"/>
                        </w:rPr>
                        <w:t>Figure 4. Anomalies of ERA5-Land ET (shading) in the positive and negative Atlantic Meridional Mode (AMM) phases for (a, b) March– May, (c, d) June–August, and (e, f) September–November. The positive ph</w:t>
                      </w:r>
                      <w:r>
                        <w:rPr>
                          <w:rStyle w:val="CharStyle14"/>
                          <w:lang w:eastAsia="en-US"/>
                        </w:rPr>
                        <w:t>ase is in panels (a, c, e) and the negative phase in panels (b, d, f). Net surface radiation anomalies are shown in contours (gold for positive and aquamarine for negative), as well as soil moisture anomalies (contours: blue for positive and red for negative): radiation anomalies are repeated every 3 Wm</w:t>
                      </w:r>
                      <w:r>
                        <w:rPr>
                          <w:rStyle w:val="CharStyle14"/>
                          <w:sz w:val="13"/>
                          <w:szCs w:val="13"/>
                          <w:vertAlign w:val="superscript"/>
                          <w:lang w:eastAsia="en-US"/>
                        </w:rPr>
                        <w:t>-</w:t>
                      </w:r>
                      <w:r>
                        <w:rPr>
                          <w:rStyle w:val="CharStyle14"/>
                          <w:sz w:val="17"/>
                          <w:szCs w:val="17"/>
                          <w:vertAlign w:val="superscript"/>
                          <w:lang w:eastAsia="en-US"/>
                        </w:rPr>
                        <w:t>2</w:t>
                      </w:r>
                      <w:r>
                        <w:rPr>
                          <w:rStyle w:val="CharStyle14"/>
                          <w:lang w:eastAsia="en-US"/>
                        </w:rPr>
                        <w:t>, and SM anomalies are repeated every 5 %. Black stippling depicts regions where the difference from the neutral phase is statistically significant at a 95 % confidence level. Boxed regions: (a, b) northern</w:t>
                      </w:r>
                      <w:r>
                        <w:rPr>
                          <w:rStyle w:val="CharStyle14"/>
                          <w:lang w:eastAsia="en-US"/>
                        </w:rPr>
                        <w:t xml:space="preserve"> Orinoco, (c, d) central Amazon, and (e, f) western Orinoco, also applies for the negative phase. The box-averaged time series for JJA and SON is in Fig. S6.</w:t>
                      </w:r>
                    </w:p>
                  </w:txbxContent>
                </v:textbox>
                <w10:wrap anchorx="margin" anchory="margin"/>
              </v:shape>
            </w:pict>
          </mc:Fallback>
        </mc:AlternateContent>
      </w:r>
      <w:r>
        <w:rPr>
          <w:rStyle w:val="CharStyle3"/>
          <w:lang w:eastAsia="en-US"/>
        </w:rPr>
        <w:t>average evapotranspiration during negative precipitation anomalies (reduced moisture convergence and clouds). This behaviour is present in energy-limited regimes, whereas in water-limited environments, negative moisture convergence anomalies bring less rainfall and cause below-average evap</w:t>
      </w:r>
      <w:r>
        <w:rPr>
          <w:rStyle w:val="CharStyle3"/>
          <w:lang w:eastAsia="en-US"/>
        </w:rPr>
        <w:softHyphen/>
        <w:t>otranspiration.</w:t>
      </w:r>
    </w:p>
    <w:p w14:paraId="52498E35" w14:textId="77777777" w:rsidR="007857F3" w:rsidRDefault="007857F3">
      <w:pPr>
        <w:pStyle w:val="Style21"/>
        <w:keepNext/>
        <w:keepLines/>
        <w:numPr>
          <w:ilvl w:val="1"/>
          <w:numId w:val="2"/>
        </w:numPr>
        <w:tabs>
          <w:tab w:val="left" w:pos="451"/>
        </w:tabs>
        <w:spacing w:after="220"/>
        <w:jc w:val="both"/>
        <w:rPr>
          <w:sz w:val="24"/>
          <w:szCs w:val="24"/>
        </w:rPr>
      </w:pPr>
      <w:bookmarkStart w:id="20" w:name="bookmark34"/>
      <w:r>
        <w:rPr>
          <w:rStyle w:val="CharStyle22"/>
          <w:lang w:eastAsia="en-US"/>
        </w:rPr>
        <w:t>Connection of the Atlantic modes with ENSO and impacts on evapotranspiration</w:t>
      </w:r>
      <w:bookmarkEnd w:id="20"/>
    </w:p>
    <w:p w14:paraId="6AE17279" w14:textId="77777777" w:rsidR="007857F3" w:rsidRDefault="007857F3">
      <w:pPr>
        <w:pStyle w:val="Style2"/>
        <w:jc w:val="both"/>
        <w:rPr>
          <w:rFonts w:ascii="Times New Roman" w:hAnsi="Times New Roman" w:cs="Times New Roman"/>
          <w:sz w:val="24"/>
          <w:szCs w:val="24"/>
        </w:rPr>
      </w:pPr>
      <w:r>
        <w:rPr>
          <w:rStyle w:val="CharStyle3"/>
          <w:lang w:eastAsia="en-US"/>
        </w:rPr>
        <w:t>Both ENSO and the Atlantic modes are connected through tropical and extra-tropical mechanisms, but each of them has effects on the South American hydroclimate. Figures 5 and 6 separate the effects of each mode in the spatial and temporal dimensions, respectively.</w:t>
      </w:r>
    </w:p>
    <w:p w14:paraId="65F18963"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ENSO and AMM have impacts on ET at similar locations but also over different locations, depending on the season analysed. Fig. 5a, b, e, and f show the influence of both modes on ET in northeast Brazil in MAM and in JJA, yet ENSO mainly impacts the eastern Amazon, and the AMM impacts the Orinoco (see Sect.</w:t>
      </w:r>
      <w:hyperlink w:anchor="bookmark36" w:tooltip="Current Document" w:history="1">
        <w:r>
          <w:rPr>
            <w:rStyle w:val="CharStyle3"/>
            <w:lang w:eastAsia="en-US"/>
          </w:rPr>
          <w:t xml:space="preserve"> 5,</w:t>
        </w:r>
      </w:hyperlink>
      <w:r>
        <w:rPr>
          <w:rStyle w:val="CharStyle3"/>
          <w:lang w:eastAsia="en-US"/>
        </w:rPr>
        <w:t xml:space="preserve"> Discussion). ENSO usu</w:t>
      </w:r>
      <w:r>
        <w:rPr>
          <w:rStyle w:val="CharStyle3"/>
          <w:lang w:eastAsia="en-US"/>
        </w:rPr>
        <w:softHyphen/>
      </w:r>
      <w:r>
        <w:rPr>
          <w:rStyle w:val="CharStyle3"/>
          <w:lang w:eastAsia="en-US"/>
        </w:rPr>
        <w:t xml:space="preserve">ally also induces droughts in the Amazon during El Niño events – mostly during its peak season, DJF – and causes heavy rainfall and floods during La Niña events. Figure 5c, d show the spatial impact of the increased </w:t>
      </w:r>
      <w:r>
        <w:rPr>
          <w:rStyle w:val="CharStyle3"/>
          <w:lang w:eastAsia="en-US"/>
        </w:rPr>
        <w:lastRenderedPageBreak/>
        <w:t>evapotranspiration during ENSO-driven droughts, and Fig. 6c, d display the im</w:t>
      </w:r>
      <w:r>
        <w:rPr>
          <w:rStyle w:val="CharStyle3"/>
          <w:lang w:eastAsia="en-US"/>
        </w:rPr>
        <w:softHyphen/>
        <w:t>pacts on rainfall and ET of specific events (e.g. 1983, 1992, 1997, and 2015). However, Figs. 5a, e and 6a, b show that in the northern Orinoco, the ENSO forcing might be super</w:t>
      </w:r>
      <w:r>
        <w:rPr>
          <w:rStyle w:val="CharStyle3"/>
          <w:lang w:eastAsia="en-US"/>
        </w:rPr>
        <w:softHyphen/>
        <w:t>seded by the meridional moisture advectio</w:t>
      </w:r>
      <w:r>
        <w:rPr>
          <w:rStyle w:val="CharStyle3"/>
          <w:lang w:eastAsia="en-US"/>
        </w:rPr>
        <w:t>n induced by the AMM (e.g. 1983 – an El Niño year but with higher rainfall and ET; 1985 and 1989 – La Niña years but with drought). The correlation of the AMM with rainfall is up to 0.64 and with SM and ET are up to 0.5, all of which are significant. Another period when the AMM superseded ENSO impacts was in 2010 during La Niña, when the central Amazon ex</w:t>
      </w:r>
      <w:r>
        <w:rPr>
          <w:rStyle w:val="CharStyle3"/>
          <w:lang w:eastAsia="en-US"/>
        </w:rPr>
        <w:softHyphen/>
        <w:t>perienced a prolonged drought (Figs. 5f and S6); the cause was the positive AMM event (see Sect.</w:t>
      </w:r>
      <w:hyperlink w:anchor="bookmark36" w:tooltip="Current Document" w:history="1">
        <w:r>
          <w:rPr>
            <w:rStyle w:val="CharStyle3"/>
            <w:lang w:eastAsia="en-US"/>
          </w:rPr>
          <w:t xml:space="preserve"> 5,</w:t>
        </w:r>
      </w:hyperlink>
      <w:r>
        <w:rPr>
          <w:rStyle w:val="CharStyle3"/>
          <w:lang w:eastAsia="en-US"/>
        </w:rPr>
        <w:t xml:space="preserve"> Discussion). Note also the reduction or increment in ET when SM changes (water-limited regime). For season SON (Fig. 5c and g), the AMM and ENSO tend to impact different regions: ENSO be</w:t>
      </w:r>
      <w:r>
        <w:rPr>
          <w:rStyle w:val="CharStyle3"/>
          <w:lang w:eastAsia="en-US"/>
        </w:rPr>
        <w:softHyphen/>
        <w:t>ing strong over the Guianas and the AMM over the west and southeast.</w:t>
      </w:r>
    </w:p>
    <w:p w14:paraId="7E30777F" w14:textId="77777777" w:rsidR="007857F3" w:rsidRDefault="007857F3">
      <w:pPr>
        <w:pStyle w:val="Style2"/>
        <w:spacing w:after="460"/>
        <w:ind w:firstLine="220"/>
        <w:jc w:val="both"/>
        <w:rPr>
          <w:rFonts w:ascii="Times New Roman" w:hAnsi="Times New Roman" w:cs="Times New Roman"/>
          <w:sz w:val="24"/>
          <w:szCs w:val="24"/>
        </w:rPr>
      </w:pPr>
      <w:r>
        <w:rPr>
          <w:rStyle w:val="CharStyle3"/>
          <w:lang w:eastAsia="en-US"/>
        </w:rPr>
        <w:t>The Atl3 does not seem to strongly correlate with ET over the Guianas, and the ENSO pattern for JJA is very similar to the Atl3 negative-phase composites (Figs. 5b and h and 3h). This indicates some overlapping dynamics between the two modes, which are pr</w:t>
      </w:r>
      <w:r>
        <w:rPr>
          <w:rStyle w:val="CharStyle3"/>
          <w:lang w:eastAsia="en-US"/>
        </w:rPr>
        <w:t>obably more associated with the atmo</w:t>
      </w:r>
      <w:r>
        <w:rPr>
          <w:rStyle w:val="CharStyle3"/>
          <w:lang w:eastAsia="en-US"/>
        </w:rPr>
        <w:softHyphen/>
        <w:t>spheric dynamics of the El Niño phase that has simultane</w:t>
      </w:r>
      <w:r>
        <w:rPr>
          <w:rStyle w:val="CharStyle3"/>
          <w:lang w:eastAsia="en-US"/>
        </w:rPr>
        <w:softHyphen/>
        <w:t>ously unfolded with the Atl3 negative phase (Figs. 6c and d and S8). We discuss the latter in Sect.</w:t>
      </w:r>
      <w:hyperlink w:anchor="bookmark36" w:tooltip="Current Document" w:history="1">
        <w:r>
          <w:rPr>
            <w:rStyle w:val="CharStyle3"/>
            <w:lang w:eastAsia="en-US"/>
          </w:rPr>
          <w:t xml:space="preserve"> 5.</w:t>
        </w:r>
      </w:hyperlink>
      <w:r>
        <w:rPr>
          <w:rStyle w:val="CharStyle3"/>
          <w:lang w:eastAsia="en-US"/>
        </w:rPr>
        <w:t xml:space="preserve"> Figure 6c andd show the droughts over the northeast Amazon and Guianas during Atl3 negative events with the corresponding increase in ET, which are also expected effects of the El Niño phase. The cor</w:t>
      </w:r>
      <w:r>
        <w:rPr>
          <w:rStyle w:val="CharStyle3"/>
          <w:lang w:eastAsia="en-US"/>
        </w:rPr>
        <w:softHyphen/>
        <w:t>relation of the Atl3 with the area-average ERA5-Land ET is -0.46 but 0.14 with GLEAM; the index correlates well with SM and also with rainfall. However, only some Atl3 positive events significantly reduced radiation and ET in the region (e.g. 1988, 1999, and 2008); other events kept ET close to the average (19</w:t>
      </w:r>
      <w:r>
        <w:rPr>
          <w:rStyle w:val="CharStyle3"/>
          <w:lang w:eastAsia="en-US"/>
        </w:rPr>
        <w:t>87, 1998, and 2016).</w:t>
      </w:r>
    </w:p>
    <w:p w14:paraId="24654FDB" w14:textId="77777777" w:rsidR="007857F3" w:rsidRDefault="007857F3">
      <w:pPr>
        <w:pStyle w:val="Style16"/>
        <w:keepNext/>
        <w:keepLines/>
        <w:numPr>
          <w:ilvl w:val="0"/>
          <w:numId w:val="2"/>
        </w:numPr>
        <w:tabs>
          <w:tab w:val="left" w:pos="288"/>
        </w:tabs>
        <w:spacing w:after="180"/>
        <w:jc w:val="both"/>
        <w:rPr>
          <w:sz w:val="24"/>
          <w:szCs w:val="24"/>
        </w:rPr>
      </w:pPr>
      <w:bookmarkStart w:id="21" w:name="bookmark37"/>
      <w:bookmarkStart w:id="22" w:name="bookmark36"/>
      <w:r>
        <w:rPr>
          <w:rStyle w:val="CharStyle17"/>
          <w:lang w:eastAsia="en-US"/>
        </w:rPr>
        <w:t>Discussion</w:t>
      </w:r>
      <w:bookmarkEnd w:id="21"/>
      <w:bookmarkEnd w:id="22"/>
    </w:p>
    <w:p w14:paraId="5DB53CD4" w14:textId="77777777" w:rsidR="007857F3" w:rsidRDefault="007857F3">
      <w:pPr>
        <w:pStyle w:val="Style2"/>
        <w:jc w:val="both"/>
        <w:rPr>
          <w:rFonts w:ascii="Times New Roman" w:hAnsi="Times New Roman" w:cs="Times New Roman"/>
          <w:sz w:val="24"/>
          <w:szCs w:val="24"/>
        </w:rPr>
      </w:pPr>
      <w:r>
        <w:rPr>
          <w:rStyle w:val="CharStyle3"/>
          <w:lang w:eastAsia="en-US"/>
        </w:rPr>
        <w:t>Much of the research has focused on precipitation variabil</w:t>
      </w:r>
      <w:r>
        <w:rPr>
          <w:rStyle w:val="CharStyle3"/>
          <w:lang w:eastAsia="en-US"/>
        </w:rPr>
        <w:softHyphen/>
        <w:t xml:space="preserve">ity rather than on evapotranspiration </w:t>
      </w:r>
      <w:hyperlink w:anchor="bookmark49" w:tooltip="Current Document" w:history="1">
        <w:r>
          <w:rPr>
            <w:rStyle w:val="CharStyle3"/>
            <w:lang w:eastAsia="en-US"/>
          </w:rPr>
          <w:t>(Arias et al., 2021;</w:t>
        </w:r>
      </w:hyperlink>
      <w:r>
        <w:rPr>
          <w:rStyle w:val="CharStyle3"/>
          <w:lang w:eastAsia="en-US"/>
        </w:rPr>
        <w:t xml:space="preserve"> </w:t>
      </w:r>
      <w:hyperlink w:anchor="bookmark106" w:tooltip="Current Document" w:history="1">
        <w:r>
          <w:rPr>
            <w:rStyle w:val="CharStyle3"/>
            <w:lang w:eastAsia="en-US"/>
          </w:rPr>
          <w:t>Marengo and Espinoza, 2016</w:t>
        </w:r>
      </w:hyperlink>
      <w:r>
        <w:rPr>
          <w:rStyle w:val="CharStyle3"/>
          <w:lang w:eastAsia="en-US"/>
        </w:rPr>
        <w:t>;</w:t>
      </w:r>
      <w:hyperlink w:anchor="bookmark117" w:tooltip="Current Document" w:history="1">
        <w:r>
          <w:rPr>
            <w:rStyle w:val="CharStyle3"/>
            <w:lang w:eastAsia="en-US"/>
          </w:rPr>
          <w:t xml:space="preserve"> Poveda et al., 2006;</w:t>
        </w:r>
      </w:hyperlink>
      <w:hyperlink w:anchor="bookmark67" w:tooltip="Current Document" w:history="1">
        <w:r>
          <w:rPr>
            <w:rStyle w:val="CharStyle3"/>
            <w:lang w:eastAsia="en-US"/>
          </w:rPr>
          <w:t xml:space="preserve"> Espinoza</w:t>
        </w:r>
      </w:hyperlink>
      <w:r>
        <w:rPr>
          <w:rStyle w:val="CharStyle3"/>
          <w:lang w:eastAsia="en-US"/>
        </w:rPr>
        <w:t xml:space="preserve"> </w:t>
      </w:r>
      <w:hyperlink w:anchor="bookmark67" w:tooltip="Current Document" w:history="1">
        <w:r>
          <w:rPr>
            <w:rStyle w:val="CharStyle3"/>
            <w:lang w:eastAsia="en-US"/>
          </w:rPr>
          <w:t>et al., 2011)</w:t>
        </w:r>
      </w:hyperlink>
      <w:r>
        <w:rPr>
          <w:rStyle w:val="CharStyle3"/>
          <w:lang w:eastAsia="en-US"/>
        </w:rPr>
        <w:t>. Regarding ET,</w:t>
      </w:r>
      <w:hyperlink w:anchor="bookmark113" w:tooltip="Current Document" w:history="1">
        <w:r>
          <w:rPr>
            <w:rStyle w:val="CharStyle3"/>
            <w:lang w:eastAsia="en-US"/>
          </w:rPr>
          <w:t xml:space="preserve"> Martens et al. (2018)</w:t>
        </w:r>
      </w:hyperlink>
      <w:r>
        <w:rPr>
          <w:rStyle w:val="CharStyle3"/>
          <w:lang w:eastAsia="en-US"/>
        </w:rPr>
        <w:t xml:space="preserve"> used ma</w:t>
      </w:r>
      <w:r>
        <w:rPr>
          <w:rStyle w:val="CharStyle3"/>
          <w:lang w:eastAsia="en-US"/>
        </w:rPr>
        <w:softHyphen/>
        <w:t>chine learning to globally estimate the impacts of the AMM – and other modes – finding increased evapotranspiration over northeast Brazil in MAM and in some cells in the central Amazon in JJA. However, our research focused on the modes that alter the atmospheric circulation close to the continent and constitute the physical mechanism causing the telecon</w:t>
      </w:r>
      <w:r>
        <w:rPr>
          <w:rStyle w:val="CharStyle3"/>
          <w:lang w:eastAsia="en-US"/>
        </w:rPr>
        <w:softHyphen/>
        <w:t xml:space="preserve">nection. Other investigations focused specifically on ENSO’s impact on Amazon evapotranspiration and SM </w:t>
      </w:r>
      <w:hyperlink w:anchor="bookmark124" w:tooltip="Current Document" w:history="1">
        <w:r>
          <w:rPr>
            <w:rStyle w:val="CharStyle3"/>
            <w:lang w:eastAsia="en-US"/>
          </w:rPr>
          <w:t>(Moura et al.,</w:t>
        </w:r>
      </w:hyperlink>
      <w:r>
        <w:rPr>
          <w:rStyle w:val="CharStyle3"/>
          <w:lang w:eastAsia="en-US"/>
        </w:rPr>
        <w:t xml:space="preserve"> </w:t>
      </w:r>
      <w:hyperlink w:anchor="bookmark124" w:tooltip="Current Document" w:history="1">
        <w:r>
          <w:rPr>
            <w:rStyle w:val="CharStyle3"/>
            <w:lang w:eastAsia="en-US"/>
          </w:rPr>
          <w:t>2019</w:t>
        </w:r>
      </w:hyperlink>
      <w:r>
        <w:rPr>
          <w:rStyle w:val="CharStyle3"/>
          <w:lang w:eastAsia="en-US"/>
        </w:rPr>
        <w:t>;</w:t>
      </w:r>
      <w:hyperlink w:anchor="bookmark115" w:tooltip="Current Document" w:history="1">
        <w:r>
          <w:rPr>
            <w:rStyle w:val="CharStyle3"/>
            <w:lang w:eastAsia="en-US"/>
          </w:rPr>
          <w:t xml:space="preserve"> Poveda et al., 2001)</w:t>
        </w:r>
      </w:hyperlink>
      <w:r>
        <w:rPr>
          <w:rStyle w:val="CharStyle3"/>
          <w:lang w:eastAsia="en-US"/>
        </w:rPr>
        <w:t>. Specifically,</w:t>
      </w:r>
      <w:hyperlink w:anchor="bookmark124" w:tooltip="Current Document" w:history="1">
        <w:r>
          <w:rPr>
            <w:rStyle w:val="CharStyle3"/>
            <w:lang w:eastAsia="en-US"/>
          </w:rPr>
          <w:t xml:space="preserve"> Moura et al. (2019)</w:t>
        </w:r>
      </w:hyperlink>
      <w:r>
        <w:rPr>
          <w:rStyle w:val="CharStyle3"/>
          <w:lang w:eastAsia="en-US"/>
        </w:rPr>
        <w:t xml:space="preserve"> showed the anomalies of evapotranspiration for the south</w:t>
      </w:r>
      <w:r>
        <w:rPr>
          <w:rStyle w:val="CharStyle3"/>
          <w:lang w:eastAsia="en-US"/>
        </w:rPr>
        <w:softHyphen/>
        <w:t>ern Amazon’s rainy – DJF – and dry seasons during ENSO events, finding the increase in the ET also shown in our cor</w:t>
      </w:r>
      <w:r>
        <w:rPr>
          <w:rStyle w:val="CharStyle3"/>
          <w:lang w:eastAsia="en-US"/>
        </w:rPr>
        <w:softHyphen/>
        <w:t>relation analysis in DJF. Our research focuses on the inter</w:t>
      </w:r>
      <w:r>
        <w:rPr>
          <w:rStyle w:val="CharStyle3"/>
          <w:lang w:eastAsia="en-US"/>
        </w:rPr>
        <w:softHyphen/>
        <w:t>action between the atmosphere and the land surface, find</w:t>
      </w:r>
      <w:r>
        <w:rPr>
          <w:rStyle w:val="CharStyle3"/>
          <w:lang w:eastAsia="en-US"/>
        </w:rPr>
        <w:softHyphen/>
        <w:t xml:space="preserve">ing that the impacts migrate from the eastern </w:t>
      </w:r>
      <w:r>
        <w:rPr>
          <w:rStyle w:val="CharStyle3"/>
          <w:lang w:eastAsia="en-US"/>
        </w:rPr>
        <w:t>Amazon to the western Orinoco and that important asymmetries exist be</w:t>
      </w:r>
      <w:r>
        <w:rPr>
          <w:rStyle w:val="CharStyle3"/>
          <w:lang w:eastAsia="en-US"/>
        </w:rPr>
        <w:softHyphen/>
        <w:t>tween phases.</w:t>
      </w:r>
      <w:hyperlink w:anchor="bookmark85" w:tooltip="Current Document" w:history="1">
        <w:r>
          <w:rPr>
            <w:rStyle w:val="CharStyle3"/>
            <w:lang w:eastAsia="en-US"/>
          </w:rPr>
          <w:t xml:space="preserve"> Hasler and Avissar (2007)</w:t>
        </w:r>
      </w:hyperlink>
      <w:r>
        <w:rPr>
          <w:rStyle w:val="CharStyle3"/>
          <w:lang w:eastAsia="en-US"/>
        </w:rPr>
        <w:t xml:space="preserve"> found an increase in ET in the equatorial Amazon during the dry season related to radiation anomalies, as was found in our ERA5-Land com</w:t>
      </w:r>
      <w:r>
        <w:rPr>
          <w:rStyle w:val="CharStyle3"/>
          <w:lang w:eastAsia="en-US"/>
        </w:rPr>
        <w:softHyphen/>
        <w:t>posites. The SM retained above critical values (soil’s field capacity) up to the next season might cause positive evap</w:t>
      </w:r>
      <w:r>
        <w:rPr>
          <w:rStyle w:val="CharStyle3"/>
          <w:lang w:eastAsia="en-US"/>
        </w:rPr>
        <w:softHyphen/>
        <w:t xml:space="preserve">otranspiration anomalies during below-average precipitation and above-average radiation periods </w:t>
      </w:r>
      <w:hyperlink w:anchor="bookmark139" w:tooltip="Current Document" w:history="1">
        <w:r>
          <w:rPr>
            <w:rStyle w:val="CharStyle3"/>
            <w:lang w:eastAsia="en-US"/>
          </w:rPr>
          <w:t>(Zanin et al., 2024)</w:t>
        </w:r>
      </w:hyperlink>
      <w:r>
        <w:rPr>
          <w:rStyle w:val="CharStyle3"/>
          <w:lang w:eastAsia="en-US"/>
        </w:rPr>
        <w:t>; this is evident in our results in the transition from the wet to the dry season.</w:t>
      </w:r>
    </w:p>
    <w:p w14:paraId="0CEB7AAB"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Differences between GLEAM and ERA5-Land stem from their formulation structures and assimilated data, which are then propagated to the composite analysis. In forested areas, roots deeper than 1.5 m allow water uptake from deep lay</w:t>
      </w:r>
      <w:r>
        <w:rPr>
          <w:rStyle w:val="CharStyle3"/>
          <w:lang w:eastAsia="en-US"/>
        </w:rPr>
        <w:softHyphen/>
        <w:t xml:space="preserve">ers as a survival mechanism </w:t>
      </w:r>
      <w:hyperlink w:anchor="bookmark121" w:tooltip="Current Document" w:history="1">
        <w:r>
          <w:rPr>
            <w:rStyle w:val="CharStyle3"/>
            <w:lang w:eastAsia="en-US"/>
          </w:rPr>
          <w:t>(Roberts et al., 2005;</w:t>
        </w:r>
      </w:hyperlink>
      <w:hyperlink w:anchor="bookmark107" w:tooltip="Current Document" w:history="1">
        <w:r>
          <w:rPr>
            <w:rStyle w:val="CharStyle3"/>
            <w:lang w:eastAsia="en-US"/>
          </w:rPr>
          <w:t xml:space="preserve"> O’Connor</w:t>
        </w:r>
      </w:hyperlink>
      <w:r>
        <w:rPr>
          <w:rStyle w:val="CharStyle3"/>
          <w:lang w:eastAsia="en-US"/>
        </w:rPr>
        <w:t xml:space="preserve"> </w:t>
      </w:r>
      <w:hyperlink w:anchor="bookmark107" w:tooltip="Current Document" w:history="1">
        <w:r>
          <w:rPr>
            <w:rStyle w:val="CharStyle3"/>
            <w:lang w:eastAsia="en-US"/>
          </w:rPr>
          <w:t>et al., 2019;</w:t>
        </w:r>
      </w:hyperlink>
      <w:hyperlink w:anchor="bookmark82" w:tooltip="Current Document" w:history="1">
        <w:r>
          <w:rPr>
            <w:rStyle w:val="CharStyle3"/>
            <w:lang w:eastAsia="en-US"/>
          </w:rPr>
          <w:t xml:space="preserve"> Jarvis, 1976)</w:t>
        </w:r>
      </w:hyperlink>
      <w:r>
        <w:rPr>
          <w:rStyle w:val="CharStyle3"/>
          <w:lang w:eastAsia="en-US"/>
        </w:rPr>
        <w:t>; the main local controller</w:t>
      </w:r>
      <w:r>
        <w:rPr>
          <w:rStyle w:val="CharStyle3"/>
          <w:lang w:eastAsia="en-US"/>
        </w:rPr>
        <w:t xml:space="preserve"> of ET is most likely the incoming radiation, but trees might still feel water stress </w:t>
      </w:r>
      <w:hyperlink w:anchor="bookmark96" w:tooltip="Current Document" w:history="1">
        <w:r>
          <w:rPr>
            <w:rStyle w:val="CharStyle3"/>
            <w:lang w:eastAsia="en-US"/>
          </w:rPr>
          <w:t>(Lian et al., 2024)</w:t>
        </w:r>
      </w:hyperlink>
      <w:r>
        <w:rPr>
          <w:rStyle w:val="CharStyle3"/>
          <w:lang w:eastAsia="en-US"/>
        </w:rPr>
        <w:t xml:space="preserve">. The latter is partially considered in ERA5-Land, as the depth of the last layer is deeper than 1.5 m, and plants withdraw soil moisture root percentage-wise </w:t>
      </w:r>
      <w:hyperlink w:anchor="bookmark63" w:tooltip="Current Document" w:history="1">
        <w:r>
          <w:rPr>
            <w:rStyle w:val="CharStyle3"/>
            <w:lang w:eastAsia="en-US"/>
          </w:rPr>
          <w:t>(ECMWF, 2023)</w:t>
        </w:r>
      </w:hyperlink>
      <w:r>
        <w:rPr>
          <w:rStyle w:val="CharStyle3"/>
          <w:lang w:eastAsia="en-US"/>
        </w:rPr>
        <w:t>, whereas in GLEAM, the depth of the three soil layers is not specified, and plants with</w:t>
      </w:r>
      <w:r>
        <w:rPr>
          <w:rStyle w:val="CharStyle3"/>
          <w:lang w:eastAsia="en-US"/>
        </w:rPr>
        <w:softHyphen/>
        <w:t xml:space="preserve">draw water from the wettest layers </w:t>
      </w:r>
      <w:hyperlink w:anchor="bookmark110" w:tooltip="Current Document" w:history="1">
        <w:r>
          <w:rPr>
            <w:rStyle w:val="CharStyle3"/>
            <w:lang w:eastAsia="en-US"/>
          </w:rPr>
          <w:t>(Martens et al., 2017)</w:t>
        </w:r>
      </w:hyperlink>
      <w:r>
        <w:rPr>
          <w:rStyle w:val="CharStyle3"/>
          <w:lang w:eastAsia="en-US"/>
        </w:rPr>
        <w:t xml:space="preserve">. </w:t>
      </w:r>
      <w:hyperlink w:anchor="bookmark79" w:tooltip="Current Document" w:history="1">
        <w:r>
          <w:rPr>
            <w:rStyle w:val="CharStyle3"/>
            <w:lang w:eastAsia="en-US"/>
          </w:rPr>
          <w:t>D’Acunha et al. (2024)</w:t>
        </w:r>
      </w:hyperlink>
      <w:r>
        <w:rPr>
          <w:rStyle w:val="CharStyle3"/>
          <w:lang w:eastAsia="en-US"/>
        </w:rPr>
        <w:t xml:space="preserve"> found low ET rates in cropland and pasture sites inside the southeast Amazon rainforest com</w:t>
      </w:r>
      <w:r>
        <w:rPr>
          <w:rStyle w:val="CharStyle3"/>
          <w:lang w:eastAsia="en-US"/>
        </w:rPr>
        <w:softHyphen/>
        <w:t xml:space="preserve">pared to natural land use; the structure of both datasets in our study considers the grasslands and the other kinds of land cover, with some limitations. The influence of wind speed on evapotranspiration is not considered in GLEAM v3.8, and the soil module and plant physiology are more accurate in ERA5-Land. The problem of assimilating SM due to the scarcity of ESA-CCI-SM data in dense-forest areas might compromise </w:t>
      </w:r>
      <w:r>
        <w:rPr>
          <w:rStyle w:val="CharStyle3"/>
          <w:lang w:eastAsia="en-US"/>
        </w:rPr>
        <w:t xml:space="preserve">the uncertainty in GLEAM estimates </w:t>
      </w:r>
      <w:hyperlink w:anchor="bookmark51" w:tooltip="Current Document" w:history="1">
        <w:r>
          <w:rPr>
            <w:rStyle w:val="CharStyle3"/>
            <w:lang w:eastAsia="en-US"/>
          </w:rPr>
          <w:t>(Baker</w:t>
        </w:r>
      </w:hyperlink>
      <w:r>
        <w:rPr>
          <w:rStyle w:val="CharStyle3"/>
          <w:lang w:eastAsia="en-US"/>
        </w:rPr>
        <w:t xml:space="preserve"> </w:t>
      </w:r>
      <w:hyperlink w:anchor="bookmark51" w:tooltip="Current Document" w:history="1">
        <w:r>
          <w:rPr>
            <w:rStyle w:val="CharStyle3"/>
            <w:lang w:eastAsia="en-US"/>
          </w:rPr>
          <w:t>et al., 2021)</w:t>
        </w:r>
      </w:hyperlink>
      <w:r>
        <w:rPr>
          <w:rStyle w:val="CharStyle3"/>
          <w:lang w:eastAsia="en-US"/>
        </w:rPr>
        <w:t xml:space="preserve">, e.g. over the northern Amazon and delta, and over the Guianas (Figs. 4d, e and 5d, e). Some studies have compared both datasets against eddy-covariance towers and water-balance approaches and concluded that ERA5-Land estimates are more realistic than those of GLEAM </w:t>
      </w:r>
      <w:hyperlink w:anchor="bookmark103" w:tooltip="Current Document" w:history="1">
        <w:r>
          <w:rPr>
            <w:rStyle w:val="CharStyle3"/>
            <w:lang w:eastAsia="en-US"/>
          </w:rPr>
          <w:t>(Muñoz-</w:t>
        </w:r>
      </w:hyperlink>
      <w:r>
        <w:rPr>
          <w:rStyle w:val="CharStyle3"/>
          <w:lang w:eastAsia="en-US"/>
        </w:rPr>
        <w:t xml:space="preserve"> </w:t>
      </w:r>
      <w:hyperlink w:anchor="bookmark103" w:tooltip="Current Document" w:history="1">
        <w:r>
          <w:rPr>
            <w:rStyle w:val="CharStyle3"/>
            <w:lang w:eastAsia="en-US"/>
          </w:rPr>
          <w:t>Sabater et al., 2021;</w:t>
        </w:r>
      </w:hyperlink>
      <w:hyperlink w:anchor="bookmark135" w:tooltip="Current Document" w:history="1">
        <w:r>
          <w:rPr>
            <w:rStyle w:val="CharStyle3"/>
            <w:lang w:eastAsia="en-US"/>
          </w:rPr>
          <w:t xml:space="preserve"> Xie et al., 2024)</w:t>
        </w:r>
      </w:hyperlink>
      <w:r>
        <w:rPr>
          <w:rStyle w:val="CharStyle3"/>
          <w:lang w:eastAsia="en-US"/>
        </w:rPr>
        <w:t xml:space="preserve">. The bias in ERA5’s rainfall might be diverted towards the streamflow </w:t>
      </w:r>
      <w:hyperlink w:anchor="bookmark141" w:tooltip="Current Document" w:history="1">
        <w:r>
          <w:rPr>
            <w:rStyle w:val="CharStyle3"/>
            <w:lang w:eastAsia="en-US"/>
          </w:rPr>
          <w:t>(Towner</w:t>
        </w:r>
      </w:hyperlink>
      <w:r>
        <w:rPr>
          <w:rStyle w:val="CharStyle3"/>
          <w:lang w:eastAsia="en-US"/>
        </w:rPr>
        <w:t xml:space="preserve"> </w:t>
      </w:r>
      <w:hyperlink w:anchor="bookmark141" w:tooltip="Current Document" w:history="1">
        <w:r>
          <w:rPr>
            <w:rStyle w:val="CharStyle3"/>
            <w:lang w:eastAsia="en-US"/>
          </w:rPr>
          <w:t>et al., 2021)</w:t>
        </w:r>
      </w:hyperlink>
      <w:r>
        <w:rPr>
          <w:rStyle w:val="CharStyle3"/>
          <w:lang w:eastAsia="en-US"/>
        </w:rPr>
        <w:t xml:space="preserve"> rather than generating a bias in the SM and the ET. These limitations are probably the main cause of the dif</w:t>
      </w:r>
      <w:r>
        <w:rPr>
          <w:rStyle w:val="CharStyle3"/>
          <w:lang w:eastAsia="en-US"/>
        </w:rPr>
        <w:softHyphen/>
        <w:t>ferences between the composites when using each dataset.</w:t>
      </w:r>
    </w:p>
    <w:p w14:paraId="40CDA9F1"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The variability in ET has implications for moisture recy</w:t>
      </w:r>
      <w:r>
        <w:rPr>
          <w:rStyle w:val="CharStyle3"/>
          <w:lang w:eastAsia="en-US"/>
        </w:rPr>
        <w:softHyphen/>
        <w:t>cling, mainly for southeastern South America, as pointed out</w:t>
      </w:r>
      <w:r>
        <w:rPr>
          <w:rFonts w:ascii="Times New Roman" w:hAnsi="Times New Roman" w:cs="Times New Roman"/>
          <w:sz w:val="24"/>
          <w:szCs w:val="24"/>
        </w:rPr>
        <w:br w:type="page"/>
      </w:r>
    </w:p>
    <w:p w14:paraId="2CFD68C1" w14:textId="02D89373" w:rsidR="007857F3" w:rsidRDefault="007857F3">
      <w:pPr>
        <w:pStyle w:val="Style2"/>
        <w:jc w:val="both"/>
        <w:rPr>
          <w:rFonts w:ascii="Times New Roman" w:hAnsi="Times New Roman" w:cs="Times New Roman"/>
          <w:sz w:val="24"/>
          <w:szCs w:val="24"/>
        </w:rPr>
      </w:pPr>
      <w:r>
        <w:rPr>
          <w:noProof/>
        </w:rPr>
        <w:lastRenderedPageBreak/>
        <w:drawing>
          <wp:anchor distT="0" distB="882015" distL="163195" distR="166370" simplePos="0" relativeHeight="251666432" behindDoc="1" locked="0" layoutInCell="1" allowOverlap="1" wp14:anchorId="523D8C72" wp14:editId="335C9BFA">
            <wp:simplePos x="0" y="0"/>
            <wp:positionH relativeFrom="margin">
              <wp:posOffset>52705</wp:posOffset>
            </wp:positionH>
            <wp:positionV relativeFrom="margin">
              <wp:posOffset>33655</wp:posOffset>
            </wp:positionV>
            <wp:extent cx="6303010" cy="3947160"/>
            <wp:effectExtent l="0" t="0" r="0"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3010" cy="3947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7456" behindDoc="0" locked="0" layoutInCell="1" allowOverlap="1" wp14:anchorId="1E41D7EB" wp14:editId="7DB94E42">
                <wp:simplePos x="0" y="0"/>
                <wp:positionH relativeFrom="margin">
                  <wp:posOffset>3810</wp:posOffset>
                </wp:positionH>
                <wp:positionV relativeFrom="margin">
                  <wp:posOffset>4096385</wp:posOffset>
                </wp:positionV>
                <wp:extent cx="6403975" cy="588010"/>
                <wp:effectExtent l="0" t="1905" r="0" b="635"/>
                <wp:wrapNone/>
                <wp:docPr id="11542281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95B3" w14:textId="77777777" w:rsidR="007857F3" w:rsidRDefault="007857F3">
                            <w:pPr>
                              <w:pStyle w:val="Style13"/>
                              <w:jc w:val="both"/>
                              <w:rPr>
                                <w:rFonts w:ascii="Times New Roman" w:hAnsi="Times New Roman" w:cs="Times New Roman"/>
                                <w:sz w:val="24"/>
                                <w:szCs w:val="24"/>
                              </w:rPr>
                            </w:pPr>
                            <w:r>
                              <w:rPr>
                                <w:rStyle w:val="CharStyle14"/>
                                <w:lang w:eastAsia="en-US"/>
                              </w:rPr>
                              <w:t>Figure 5. Partial correlation of ET from ERA5-Land and the main tropical ocean modes in the Atlantic and Pacific. Panels (a)–(d) are the correlations with ELI for each season, controlled by the two Atlantic indices; panels (e)–(g) are the correlations with the AMM except for DJF, which is controlled by ELI and Atl3; and panel (h) is the correlation with the Atl3, controlled by ELI and the AMM. Only the 95 % confidence level values are shown in colours. Boxed regions: northern Orinoco and the Guianas, the sa</w:t>
                            </w:r>
                            <w:r>
                              <w:rPr>
                                <w:rStyle w:val="CharStyle14"/>
                                <w:lang w:eastAsia="en-US"/>
                              </w:rPr>
                              <w:t>me as in Figs. 2 and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D7EB" id="Text Box 15" o:spid="_x0000_s1031" type="#_x0000_t202" style="position:absolute;left:0;text-align:left;margin-left:.3pt;margin-top:322.55pt;width:504.25pt;height:46.3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" filled="f" stroked="f">
                <v:textbox inset="0,0,0,0">
                  <w:txbxContent>
                    <w:p w14:paraId="6E4A95B3" w14:textId="77777777" w:rsidR="007857F3" w:rsidRDefault="007857F3">
                      <w:pPr>
                        <w:pStyle w:val="Style13"/>
                        <w:jc w:val="both"/>
                        <w:rPr>
                          <w:rFonts w:ascii="Times New Roman" w:hAnsi="Times New Roman" w:cs="Times New Roman"/>
                          <w:sz w:val="24"/>
                          <w:szCs w:val="24"/>
                        </w:rPr>
                      </w:pPr>
                      <w:r>
                        <w:rPr>
                          <w:rStyle w:val="CharStyle14"/>
                          <w:lang w:eastAsia="en-US"/>
                        </w:rPr>
                        <w:t>Figure 5. Partial correlation of ET from ERA5-Land and the main tropical ocean modes in the Atlantic and Pacific. Panels (a)–(d) are the correlations with ELI for each season, controlled by the two Atlantic indices; panels (e)–(g) are the correlations with the AMM except for DJF, which is controlled by ELI and Atl3; and panel (h) is the correlation with the Atl3, controlled by ELI and the AMM. Only the 95 % confidence level values are shown in colours. Boxed regions: northern Orinoco and the Guianas, the sa</w:t>
                      </w:r>
                      <w:r>
                        <w:rPr>
                          <w:rStyle w:val="CharStyle14"/>
                          <w:lang w:eastAsia="en-US"/>
                        </w:rPr>
                        <w:t>me as in Figs. 2 and 3.</w:t>
                      </w:r>
                    </w:p>
                  </w:txbxContent>
                </v:textbox>
                <w10:wrap anchorx="margin" anchory="margin"/>
              </v:shape>
            </w:pict>
          </mc:Fallback>
        </mc:AlternateContent>
      </w:r>
      <w:r>
        <w:rPr>
          <w:rStyle w:val="CharStyle3"/>
          <w:lang w:eastAsia="en-US"/>
        </w:rPr>
        <w:t>by</w:t>
      </w:r>
      <w:hyperlink w:anchor="bookmark57" w:tooltip="Current Document" w:history="1">
        <w:r>
          <w:rPr>
            <w:rStyle w:val="CharStyle3"/>
            <w:lang w:eastAsia="en-US"/>
          </w:rPr>
          <w:t xml:space="preserve"> Drumond et al. (2014)</w:t>
        </w:r>
      </w:hyperlink>
      <w:r>
        <w:rPr>
          <w:rStyle w:val="CharStyle3"/>
          <w:lang w:eastAsia="en-US"/>
        </w:rPr>
        <w:t>. Although moisture recycling in</w:t>
      </w:r>
      <w:r>
        <w:rPr>
          <w:rStyle w:val="CharStyle3"/>
          <w:lang w:eastAsia="en-US"/>
        </w:rPr>
        <w:softHyphen/>
        <w:t>side the Amazon comprises between 25 % and 35 % of rain</w:t>
      </w:r>
      <w:r>
        <w:rPr>
          <w:rStyle w:val="CharStyle3"/>
          <w:lang w:eastAsia="en-US"/>
        </w:rPr>
        <w:softHyphen/>
        <w:t>fall,</w:t>
      </w:r>
      <w:hyperlink w:anchor="bookmark59" w:tooltip="Current Document" w:history="1">
        <w:r>
          <w:rPr>
            <w:rStyle w:val="CharStyle3"/>
            <w:lang w:eastAsia="en-US"/>
          </w:rPr>
          <w:t xml:space="preserve"> Dominguez et al. (2022)</w:t>
        </w:r>
      </w:hyperlink>
      <w:r>
        <w:rPr>
          <w:rStyle w:val="CharStyle3"/>
          <w:lang w:eastAsia="en-US"/>
        </w:rPr>
        <w:t xml:space="preserve"> discovered that it is a short</w:t>
      </w:r>
      <w:r>
        <w:rPr>
          <w:rStyle w:val="CharStyle3"/>
          <w:lang w:eastAsia="en-US"/>
        </w:rPr>
        <w:softHyphen/>
        <w:t>lifetime phenomenon strongly linked to the diurnal cycle of advected moisture and convection; recycled moisture precip</w:t>
      </w:r>
      <w:r>
        <w:rPr>
          <w:rStyle w:val="CharStyle3"/>
          <w:lang w:eastAsia="en-US"/>
        </w:rPr>
        <w:softHyphen/>
        <w:t>itates quickly.</w:t>
      </w:r>
      <w:hyperlink w:anchor="bookmark134" w:tooltip="Current Document" w:history="1">
        <w:r>
          <w:rPr>
            <w:rStyle w:val="CharStyle3"/>
            <w:lang w:eastAsia="en-US"/>
          </w:rPr>
          <w:t xml:space="preserve"> Staal et al. (2018)</w:t>
        </w:r>
      </w:hyperlink>
      <w:r>
        <w:rPr>
          <w:rStyle w:val="CharStyle3"/>
          <w:lang w:eastAsia="en-US"/>
        </w:rPr>
        <w:t xml:space="preserve"> measured the distance of transpired water before precipitating again over land, finding that for the particles transpired in the Amazon, the distance is below or around 500 km (which is short compared to the size of the Amazon basin). Our results show the places that affect the sources of that moisture recycling due to the sea</w:t>
      </w:r>
      <w:r>
        <w:rPr>
          <w:rStyle w:val="CharStyle3"/>
          <w:lang w:eastAsia="en-US"/>
        </w:rPr>
        <w:softHyphen/>
        <w:t>sonal aggregated increments or reductions in ET.</w:t>
      </w:r>
      <w:hyperlink w:anchor="bookmark105" w:tooltip="Current Document" w:history="1">
        <w:r>
          <w:rPr>
            <w:rStyle w:val="CharStyle3"/>
            <w:lang w:eastAsia="en-US"/>
          </w:rPr>
          <w:t xml:space="preserve"> Makarieva</w:t>
        </w:r>
      </w:hyperlink>
      <w:r>
        <w:rPr>
          <w:rStyle w:val="CharStyle3"/>
          <w:lang w:eastAsia="en-US"/>
        </w:rPr>
        <w:t xml:space="preserve"> </w:t>
      </w:r>
      <w:hyperlink w:anchor="bookmark105" w:tooltip="Current Document" w:history="1">
        <w:r>
          <w:rPr>
            <w:rStyle w:val="CharStyle3"/>
            <w:lang w:eastAsia="en-US"/>
          </w:rPr>
          <w:t>et al. (2023)</w:t>
        </w:r>
      </w:hyperlink>
      <w:r>
        <w:rPr>
          <w:rStyle w:val="CharStyle3"/>
          <w:lang w:eastAsia="en-US"/>
        </w:rPr>
        <w:t xml:space="preserve"> determined the influence of ET on moisture con</w:t>
      </w:r>
      <w:r>
        <w:rPr>
          <w:rStyle w:val="CharStyle3"/>
          <w:lang w:eastAsia="en-US"/>
        </w:rPr>
        <w:softHyphen/>
        <w:t>vergence, which might potentially influence radiation. It re</w:t>
      </w:r>
      <w:r>
        <w:rPr>
          <w:rStyle w:val="CharStyle3"/>
          <w:lang w:eastAsia="en-US"/>
        </w:rPr>
        <w:softHyphen/>
        <w:t>mains to be clarified to what extent moisture recycling in</w:t>
      </w:r>
      <w:r>
        <w:rPr>
          <w:rStyle w:val="CharStyle3"/>
          <w:lang w:eastAsia="en-US"/>
        </w:rPr>
        <w:softHyphen/>
        <w:t>fluences radiation availability and soil moisture at other lo</w:t>
      </w:r>
      <w:r>
        <w:rPr>
          <w:rStyle w:val="CharStyle3"/>
          <w:lang w:eastAsia="en-US"/>
        </w:rPr>
        <w:softHyphen/>
        <w:t>cations in South America; this is out of the scope of our re</w:t>
      </w:r>
      <w:r>
        <w:rPr>
          <w:rStyle w:val="CharStyle3"/>
          <w:lang w:eastAsia="en-US"/>
        </w:rPr>
        <w:softHyphen/>
        <w:t>search.</w:t>
      </w:r>
    </w:p>
    <w:p w14:paraId="10A884AA"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 xml:space="preserve">The AMM and the Atl3 are influenced by and also have feedback with ENSO </w:t>
      </w:r>
      <w:hyperlink w:anchor="bookmark72" w:tooltip="Current Document" w:history="1">
        <w:r>
          <w:rPr>
            <w:rStyle w:val="CharStyle3"/>
            <w:lang w:eastAsia="en-US"/>
          </w:rPr>
          <w:t>(García-Serrano et al., 2017;</w:t>
        </w:r>
      </w:hyperlink>
      <w:hyperlink w:anchor="bookmark114" w:tooltip="Current Document" w:history="1">
        <w:r>
          <w:rPr>
            <w:rStyle w:val="CharStyle3"/>
            <w:lang w:eastAsia="en-US"/>
          </w:rPr>
          <w:t xml:space="preserve"> Martín-</w:t>
        </w:r>
      </w:hyperlink>
      <w:r>
        <w:rPr>
          <w:rStyle w:val="CharStyle3"/>
          <w:lang w:eastAsia="en-US"/>
        </w:rPr>
        <w:t xml:space="preserve"> </w:t>
      </w:r>
      <w:hyperlink w:anchor="bookmark114" w:tooltip="Current Document" w:history="1">
        <w:r>
          <w:rPr>
            <w:rStyle w:val="CharStyle3"/>
            <w:lang w:eastAsia="en-US"/>
          </w:rPr>
          <w:t>Rey et al., 2014;</w:t>
        </w:r>
      </w:hyperlink>
      <w:hyperlink w:anchor="bookmark65" w:tooltip="Current Document" w:history="1">
        <w:r>
          <w:rPr>
            <w:rStyle w:val="CharStyle3"/>
            <w:lang w:eastAsia="en-US"/>
          </w:rPr>
          <w:t xml:space="preserve"> Cai et al., 2019)</w:t>
        </w:r>
      </w:hyperlink>
      <w:r>
        <w:rPr>
          <w:rStyle w:val="CharStyle3"/>
          <w:lang w:eastAsia="en-US"/>
        </w:rPr>
        <w:t>. Our results show that each mode impacts different regions, except for northeast Brazil</w:t>
      </w:r>
    </w:p>
    <w:p w14:paraId="2BF62B5A" w14:textId="77777777" w:rsidR="007857F3" w:rsidRDefault="007857F3">
      <w:pPr>
        <w:pStyle w:val="Style2"/>
        <w:jc w:val="both"/>
        <w:rPr>
          <w:rFonts w:ascii="Times New Roman" w:hAnsi="Times New Roman" w:cs="Times New Roman"/>
          <w:sz w:val="24"/>
          <w:szCs w:val="24"/>
        </w:rPr>
        <w:sectPr w:rsidR="00000000">
          <w:type w:val="continuous"/>
          <w:pgSz w:w="11909" w:h="16834"/>
          <w:pgMar w:top="1832" w:right="914" w:bottom="1809" w:left="904" w:header="0" w:footer="3" w:gutter="0"/>
          <w:cols w:num="2" w:space="327"/>
          <w:noEndnote/>
          <w:docGrid w:linePitch="360"/>
        </w:sectPr>
      </w:pPr>
      <w:r>
        <w:rPr>
          <w:rStyle w:val="CharStyle3"/>
          <w:lang w:eastAsia="en-US"/>
        </w:rPr>
        <w:t>and the northern Amazon, where they overlap through El Niño enforcing convection inhibition and the AMM produc</w:t>
      </w:r>
      <w:r>
        <w:rPr>
          <w:rStyle w:val="CharStyle3"/>
          <w:lang w:eastAsia="en-US"/>
        </w:rPr>
        <w:softHyphen/>
        <w:t xml:space="preserve">ing meridional anomalous moisture advection (for instance, in 2010) </w:t>
      </w:r>
      <w:hyperlink w:anchor="bookmark75" w:tooltip="Current Document" w:history="1">
        <w:r>
          <w:rPr>
            <w:rStyle w:val="CharStyle3"/>
            <w:lang w:eastAsia="en-US"/>
          </w:rPr>
          <w:t>(Chiang et al., 2002;</w:t>
        </w:r>
      </w:hyperlink>
      <w:hyperlink w:anchor="bookmark48" w:tooltip="Current Document" w:history="1">
        <w:r>
          <w:rPr>
            <w:rStyle w:val="CharStyle3"/>
            <w:lang w:eastAsia="en-US"/>
          </w:rPr>
          <w:t xml:space="preserve"> Arias et al., 2020)</w:t>
        </w:r>
      </w:hyperlink>
      <w:r>
        <w:rPr>
          <w:rStyle w:val="CharStyle3"/>
          <w:lang w:eastAsia="en-US"/>
        </w:rPr>
        <w:t>; these mech</w:t>
      </w:r>
      <w:r>
        <w:rPr>
          <w:rStyle w:val="CharStyle3"/>
          <w:lang w:eastAsia="en-US"/>
        </w:rPr>
        <w:softHyphen/>
        <w:t>anisms then modify convergence, rainfall, radiation availabil</w:t>
      </w:r>
      <w:r>
        <w:rPr>
          <w:rStyle w:val="CharStyle3"/>
          <w:lang w:eastAsia="en-US"/>
        </w:rPr>
        <w:softHyphen/>
        <w:t>ity, and thus evapotranspiration. The AMM negative phase has been less recurrent in SON in the last decades, associated with a positive phase of the Atlantic Multidecadal Oscilla</w:t>
      </w:r>
      <w:r>
        <w:rPr>
          <w:rStyle w:val="CharStyle3"/>
          <w:lang w:eastAsia="en-US"/>
        </w:rPr>
        <w:softHyphen/>
        <w:t xml:space="preserve">tion (AMO) (general interhemispheric temperature gradient) </w:t>
      </w:r>
      <w:hyperlink w:anchor="bookmark64" w:tooltip="Current Document" w:history="1">
        <w:r>
          <w:rPr>
            <w:rStyle w:val="CharStyle3"/>
            <w:lang w:eastAsia="en-US"/>
          </w:rPr>
          <w:t>(Brönnimann et al., 2015</w:t>
        </w:r>
      </w:hyperlink>
      <w:r>
        <w:rPr>
          <w:rStyle w:val="CharStyle3"/>
          <w:lang w:eastAsia="en-US"/>
        </w:rPr>
        <w:t>;</w:t>
      </w:r>
      <w:hyperlink w:anchor="bookmark70" w:tooltip="Current Document" w:history="1">
        <w:r>
          <w:rPr>
            <w:rStyle w:val="CharStyle3"/>
            <w:lang w:eastAsia="en-US"/>
          </w:rPr>
          <w:t xml:space="preserve"> Friedman et al., 2020)</w:t>
        </w:r>
      </w:hyperlink>
      <w:r>
        <w:rPr>
          <w:rStyle w:val="CharStyle3"/>
          <w:lang w:eastAsia="en-US"/>
        </w:rPr>
        <w:t>. The lat</w:t>
      </w:r>
      <w:r>
        <w:rPr>
          <w:rStyle w:val="CharStyle3"/>
          <w:lang w:eastAsia="en-US"/>
        </w:rPr>
        <w:softHyphen/>
        <w:t>ter is apparently related to the reduced aerosol forcing over the Northern Hemisphere and its associated radiation scat</w:t>
      </w:r>
      <w:r>
        <w:rPr>
          <w:rStyle w:val="CharStyle3"/>
          <w:lang w:eastAsia="en-US"/>
        </w:rPr>
        <w:softHyphen/>
        <w:t xml:space="preserve">tering </w:t>
      </w:r>
      <w:hyperlink w:anchor="bookmark97" w:tooltip="Current Document" w:history="1">
        <w:r>
          <w:rPr>
            <w:rStyle w:val="CharStyle3"/>
            <w:lang w:eastAsia="en-US"/>
          </w:rPr>
          <w:t>(Hua et al., 2019</w:t>
        </w:r>
      </w:hyperlink>
      <w:r>
        <w:rPr>
          <w:rStyle w:val="CharStyle3"/>
          <w:lang w:eastAsia="en-US"/>
        </w:rPr>
        <w:t>;</w:t>
      </w:r>
      <w:hyperlink w:anchor="bookmark87" w:tooltip="Current Document" w:history="1">
        <w:r>
          <w:rPr>
            <w:rStyle w:val="CharStyle3"/>
            <w:lang w:eastAsia="en-US"/>
          </w:rPr>
          <w:t xml:space="preserve"> He et al., 2023)</w:t>
        </w:r>
      </w:hyperlink>
      <w:r>
        <w:rPr>
          <w:rStyle w:val="CharStyle3"/>
          <w:lang w:eastAsia="en-US"/>
        </w:rPr>
        <w:t>. The Atl3 nega</w:t>
      </w:r>
      <w:r>
        <w:rPr>
          <w:rStyle w:val="CharStyle3"/>
          <w:lang w:eastAsia="en-US"/>
        </w:rPr>
        <w:softHyphen/>
        <w:t xml:space="preserve">tive phase has co-occurred with the ENSO positive phase (El Niño) </w:t>
      </w:r>
      <w:hyperlink w:anchor="bookmark125" w:tooltip="Current Document" w:history="1">
        <w:r>
          <w:rPr>
            <w:rStyle w:val="CharStyle3"/>
            <w:lang w:eastAsia="en-US"/>
          </w:rPr>
          <w:t>(Münnich and Neelin, 2005)</w:t>
        </w:r>
      </w:hyperlink>
      <w:r>
        <w:rPr>
          <w:rStyle w:val="CharStyle3"/>
          <w:lang w:eastAsia="en-US"/>
        </w:rPr>
        <w:t>, whose impacts are evident in our composites and in the partial-correlation anal</w:t>
      </w:r>
      <w:r>
        <w:rPr>
          <w:rStyle w:val="CharStyle3"/>
          <w:lang w:eastAsia="en-US"/>
        </w:rPr>
        <w:softHyphen/>
        <w:t>ysis. ENSO causes downward atmospheric movement over the east of the Amazon that hampers convection and precip</w:t>
      </w:r>
      <w:r>
        <w:rPr>
          <w:rStyle w:val="CharStyle3"/>
          <w:lang w:eastAsia="en-US"/>
        </w:rPr>
        <w:softHyphen/>
        <w:t xml:space="preserve">itation </w:t>
      </w:r>
      <w:hyperlink w:anchor="bookmark68" w:tooltip="Current Document" w:history="1">
        <w:r>
          <w:rPr>
            <w:rStyle w:val="CharStyle3"/>
            <w:lang w:eastAsia="en-US"/>
          </w:rPr>
          <w:t>(Cai et al., 2020)</w:t>
        </w:r>
      </w:hyperlink>
      <w:r>
        <w:rPr>
          <w:rStyle w:val="CharStyle3"/>
          <w:lang w:eastAsia="en-US"/>
        </w:rPr>
        <w:t>; simultaneously, the strengthened easterlies – typical of the negative Atl3 – add to the mois</w:t>
      </w:r>
      <w:r>
        <w:rPr>
          <w:rStyle w:val="CharStyle3"/>
          <w:lang w:eastAsia="en-US"/>
        </w:rPr>
        <w:softHyphen/>
        <w:t>ture divergence over the Guianas, undermining precipitation. However, the relationship between ENSO and the Atl3 is</w:t>
      </w:r>
    </w:p>
    <w:p w14:paraId="1DE9DB03" w14:textId="77777777" w:rsidR="007857F3" w:rsidRDefault="007857F3">
      <w:pPr>
        <w:pStyle w:val="Style2"/>
        <w:jc w:val="both"/>
        <w:rPr>
          <w:rFonts w:ascii="Times New Roman" w:hAnsi="Times New Roman" w:cs="Times New Roman"/>
          <w:sz w:val="2"/>
          <w:szCs w:val="2"/>
        </w:rPr>
        <w:sectPr w:rsidR="00000000">
          <w:type w:val="continuous"/>
          <w:pgSz w:w="11909" w:h="16834"/>
          <w:pgMar w:top="1832" w:right="914" w:bottom="1809" w:left="904" w:header="0" w:footer="3" w:gutter="0"/>
          <w:cols w:num="2" w:space="327"/>
          <w:noEndnote/>
          <w:docGrid w:linePitch="360"/>
        </w:sectPr>
      </w:pPr>
    </w:p>
    <w:p w14:paraId="2F83C839" w14:textId="6689E3ED" w:rsidR="007857F3" w:rsidRDefault="007857F3">
      <w:pPr>
        <w:jc w:val="center"/>
        <w:rPr>
          <w:color w:val="auto"/>
          <w:lang w:eastAsia="en-GB"/>
        </w:rPr>
      </w:pPr>
      <w:r>
        <w:rPr>
          <w:noProof/>
          <w:color w:val="auto"/>
          <w:lang w:eastAsia="en-GB"/>
        </w:rPr>
        <w:lastRenderedPageBreak/>
        <w:drawing>
          <wp:inline distT="0" distB="0" distL="0" distR="0" wp14:anchorId="5F05186D" wp14:editId="50E11906">
            <wp:extent cx="6124575"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14:paraId="6DA50D25" w14:textId="77777777" w:rsidR="007857F3" w:rsidRDefault="007857F3">
      <w:pPr>
        <w:pStyle w:val="Style13"/>
        <w:jc w:val="both"/>
        <w:rPr>
          <w:rFonts w:ascii="Times New Roman" w:hAnsi="Times New Roman" w:cs="Times New Roman"/>
          <w:sz w:val="24"/>
          <w:szCs w:val="24"/>
        </w:rPr>
      </w:pPr>
      <w:bookmarkStart w:id="23" w:name="bookmark39"/>
      <w:r>
        <w:rPr>
          <w:rStyle w:val="CharStyle14"/>
          <w:lang w:eastAsia="en-US"/>
        </w:rPr>
        <w:t>Figure 6. (a, c) Area-average precipitation (bars) and SM standardised anomaly time series (lines) for the same boxes in Figs. 2 and 3, respectively; the Atlantic index time series is shown in black dashed lines in standard deviation (right axis), and the top points show ENSO active periods (positive phase in red and negative in blue). (b, d) Area-average evapotranspiration time series (greens), ERA5-Land net surface radiation (orange), standardised Atlantic index (black dashed lines), and ERA5-Land absolut</w:t>
      </w:r>
      <w:r>
        <w:rPr>
          <w:rStyle w:val="CharStyle14"/>
          <w:lang w:eastAsia="en-US"/>
        </w:rPr>
        <w:t>e SM in saturation percentage at the bottom of the panel with coloured rectangles. For all panels, Pearson correlations are calculated between the variable – precipitation, SM, Rn, or ET – and the respective Atlantic index; the 95 % confidence level is indicated with **. Boxed regions: northern Orinoco (a and b) and northeast Amazon and the Guianas (c and d).</w:t>
      </w:r>
      <w:bookmarkEnd w:id="23"/>
    </w:p>
    <w:p w14:paraId="6FF6277E" w14:textId="77777777" w:rsidR="007857F3" w:rsidRDefault="007857F3">
      <w:pPr>
        <w:spacing w:after="239" w:line="1" w:lineRule="exact"/>
        <w:rPr>
          <w:color w:val="auto"/>
          <w:lang w:eastAsia="en-GB"/>
        </w:rPr>
      </w:pPr>
    </w:p>
    <w:p w14:paraId="51561212" w14:textId="49B279C7" w:rsidR="007857F3" w:rsidRDefault="007857F3">
      <w:pPr>
        <w:jc w:val="center"/>
        <w:rPr>
          <w:color w:val="auto"/>
          <w:lang w:eastAsia="en-GB"/>
        </w:rPr>
      </w:pPr>
      <w:r>
        <w:rPr>
          <w:noProof/>
          <w:color w:val="auto"/>
          <w:lang w:eastAsia="en-GB"/>
        </w:rPr>
        <w:drawing>
          <wp:inline distT="0" distB="0" distL="0" distR="0" wp14:anchorId="6187076E" wp14:editId="406DA728">
            <wp:extent cx="6305550" cy="32480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3248025"/>
                    </a:xfrm>
                    <a:prstGeom prst="rect">
                      <a:avLst/>
                    </a:prstGeom>
                    <a:noFill/>
                    <a:ln>
                      <a:noFill/>
                    </a:ln>
                  </pic:spPr>
                </pic:pic>
              </a:graphicData>
            </a:graphic>
          </wp:inline>
        </w:drawing>
      </w:r>
    </w:p>
    <w:p w14:paraId="6E001BC5" w14:textId="77777777" w:rsidR="007857F3" w:rsidRDefault="007857F3">
      <w:pPr>
        <w:pStyle w:val="Style13"/>
        <w:jc w:val="both"/>
        <w:rPr>
          <w:rFonts w:ascii="Times New Roman" w:hAnsi="Times New Roman" w:cs="Times New Roman"/>
          <w:sz w:val="24"/>
          <w:szCs w:val="24"/>
        </w:rPr>
        <w:sectPr w:rsidR="00000000">
          <w:pgSz w:w="11909" w:h="16834"/>
          <w:pgMar w:top="1888" w:right="915" w:bottom="1888" w:left="906" w:header="0" w:footer="3" w:gutter="0"/>
          <w:cols w:space="720"/>
          <w:noEndnote/>
          <w:docGrid w:linePitch="360"/>
        </w:sectPr>
      </w:pPr>
      <w:r>
        <w:rPr>
          <w:rStyle w:val="CharStyle14"/>
          <w:lang w:eastAsia="en-US"/>
        </w:rPr>
        <w:t>Figure 7. Schematic figure of (a) the variables involved in the chain of physical processes in the teleconnection between a climate mode and the evapotranspiration. (b) The geographical location of the processes involved in the connection between the continental evapotranspiration and the Atlantic Meridional Mode (AMM) and the Atlantic Niño Equatorial mode (Atl3).</w:t>
      </w:r>
    </w:p>
    <w:p w14:paraId="15364F9A" w14:textId="77777777" w:rsidR="007857F3" w:rsidRDefault="007857F3">
      <w:pPr>
        <w:pStyle w:val="Style2"/>
        <w:jc w:val="both"/>
        <w:rPr>
          <w:rFonts w:ascii="Times New Roman" w:hAnsi="Times New Roman" w:cs="Times New Roman"/>
          <w:sz w:val="24"/>
          <w:szCs w:val="24"/>
        </w:rPr>
      </w:pPr>
      <w:r>
        <w:rPr>
          <w:rStyle w:val="CharStyle3"/>
          <w:lang w:eastAsia="en-US"/>
        </w:rPr>
        <w:lastRenderedPageBreak/>
        <w:t xml:space="preserve">inconsistent </w:t>
      </w:r>
      <w:hyperlink w:anchor="bookmark73" w:tooltip="Current Document" w:history="1">
        <w:r>
          <w:rPr>
            <w:rStyle w:val="CharStyle3"/>
            <w:lang w:eastAsia="en-US"/>
          </w:rPr>
          <w:t>(Chang et al., 2006;</w:t>
        </w:r>
      </w:hyperlink>
      <w:hyperlink w:anchor="bookmark100" w:tooltip="Current Document" w:history="1">
        <w:r>
          <w:rPr>
            <w:rStyle w:val="CharStyle3"/>
            <w:lang w:eastAsia="en-US"/>
          </w:rPr>
          <w:t xml:space="preserve"> Lübbecke and McPhaden,</w:t>
        </w:r>
      </w:hyperlink>
      <w:r>
        <w:rPr>
          <w:rStyle w:val="CharStyle3"/>
          <w:lang w:eastAsia="en-US"/>
        </w:rPr>
        <w:t xml:space="preserve"> </w:t>
      </w:r>
      <w:hyperlink w:anchor="bookmark100" w:tooltip="Current Document" w:history="1">
        <w:r>
          <w:rPr>
            <w:rStyle w:val="CharStyle3"/>
            <w:lang w:eastAsia="en-US"/>
          </w:rPr>
          <w:t>2012)</w:t>
        </w:r>
      </w:hyperlink>
      <w:r>
        <w:rPr>
          <w:rStyle w:val="CharStyle3"/>
          <w:lang w:eastAsia="en-US"/>
        </w:rPr>
        <w:t>. The interactions between climate modes have impli</w:t>
      </w:r>
      <w:r>
        <w:rPr>
          <w:rStyle w:val="CharStyle3"/>
          <w:lang w:eastAsia="en-US"/>
        </w:rPr>
        <w:softHyphen/>
        <w:t>cations for their continental impacts (i.e. over the hydrologi</w:t>
      </w:r>
      <w:r>
        <w:rPr>
          <w:rStyle w:val="CharStyle3"/>
          <w:lang w:eastAsia="en-US"/>
        </w:rPr>
        <w:softHyphen/>
        <w:t>cal cycle).</w:t>
      </w:r>
    </w:p>
    <w:p w14:paraId="5F98844F"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Several ocean–atmospheric drivers have been identified as influences on the hydrometeorology of South America.</w:t>
      </w:r>
      <w:hyperlink w:anchor="bookmark123" w:tooltip="Current Document" w:history="1">
        <w:r>
          <w:rPr>
            <w:rStyle w:val="CharStyle3"/>
            <w:lang w:eastAsia="en-US"/>
          </w:rPr>
          <w:t xml:space="preserve"> Ro</w:t>
        </w:r>
        <w:r>
          <w:rPr>
            <w:rStyle w:val="CharStyle3"/>
            <w:lang w:eastAsia="en-US"/>
          </w:rPr>
          <w:softHyphen/>
        </w:r>
      </w:hyperlink>
      <w:hyperlink w:anchor="bookmark123" w:tooltip="Current Document" w:history="1">
        <w:r>
          <w:rPr>
            <w:rStyle w:val="CharStyle3"/>
            <w:lang w:eastAsia="en-US"/>
          </w:rPr>
          <w:t>d</w:t>
        </w:r>
        <w:r>
          <w:rPr>
            <w:rStyle w:val="CharStyle3"/>
            <w:lang w:eastAsia="en-US"/>
          </w:rPr>
          <w:t>rigues and McPhaden (2014)</w:t>
        </w:r>
      </w:hyperlink>
      <w:r>
        <w:rPr>
          <w:rStyle w:val="CharStyle3"/>
          <w:lang w:eastAsia="en-US"/>
        </w:rPr>
        <w:t xml:space="preserve"> analysed the AMM effects on precipitation in northeast Brazil and the Amazon, while others focused on the decadal variations in precipitation and streamflow or the low-atmospheric dynamics </w:t>
      </w:r>
      <w:hyperlink w:anchor="bookmark69" w:tooltip="Current Document" w:history="1">
        <w:r>
          <w:rPr>
            <w:rStyle w:val="CharStyle3"/>
            <w:lang w:eastAsia="en-US"/>
          </w:rPr>
          <w:t>(Fernan</w:t>
        </w:r>
        <w:r>
          <w:rPr>
            <w:rStyle w:val="CharStyle3"/>
            <w:lang w:eastAsia="en-US"/>
          </w:rPr>
          <w:softHyphen/>
        </w:r>
      </w:hyperlink>
      <w:hyperlink w:anchor="bookmark69" w:tooltip="Current Document" w:history="1">
        <w:r>
          <w:rPr>
            <w:rStyle w:val="CharStyle3"/>
            <w:lang w:eastAsia="en-US"/>
          </w:rPr>
          <w:t>des et al., 2015;</w:t>
        </w:r>
      </w:hyperlink>
      <w:hyperlink w:anchor="bookmark98" w:tooltip="Current Document" w:history="1">
        <w:r>
          <w:rPr>
            <w:rStyle w:val="CharStyle3"/>
            <w:lang w:eastAsia="en-US"/>
          </w:rPr>
          <w:t xml:space="preserve"> Lopes et al., 2016;</w:t>
        </w:r>
      </w:hyperlink>
      <w:hyperlink w:anchor="bookmark111" w:tooltip="Current Document" w:history="1">
        <w:r>
          <w:rPr>
            <w:rStyle w:val="CharStyle3"/>
            <w:lang w:eastAsia="en-US"/>
          </w:rPr>
          <w:t xml:space="preserve"> Olmo et al., 2022)</w:t>
        </w:r>
      </w:hyperlink>
      <w:r>
        <w:rPr>
          <w:rStyle w:val="CharStyle3"/>
          <w:lang w:eastAsia="en-US"/>
        </w:rPr>
        <w:t xml:space="preserve">. Our research shows that the chain of events starts with the SSTAs and SLP and transfers to VIMF, MDiv, and precipitation, whose anomalies are linked to the variability in ET. However, we also show that the AMM also affects the Orinoco basin in MAM and JJA and might even extend into SON </w:t>
      </w:r>
      <w:hyperlink w:anchor="bookmark137" w:tooltip="Current Document" w:history="1">
        <w:r>
          <w:rPr>
            <w:rStyle w:val="CharStyle3"/>
            <w:lang w:eastAsia="en-US"/>
          </w:rPr>
          <w:t>(Yoon and</w:t>
        </w:r>
      </w:hyperlink>
      <w:r>
        <w:rPr>
          <w:rStyle w:val="CharStyle3"/>
          <w:lang w:eastAsia="en-US"/>
        </w:rPr>
        <w:t xml:space="preserve"> </w:t>
      </w:r>
      <w:hyperlink w:anchor="bookmark137" w:tooltip="Current Document" w:history="1">
        <w:r>
          <w:rPr>
            <w:rStyle w:val="CharStyle3"/>
            <w:lang w:eastAsia="en-US"/>
          </w:rPr>
          <w:t>Zeng, 2010)</w:t>
        </w:r>
      </w:hyperlink>
      <w:r>
        <w:rPr>
          <w:rStyle w:val="CharStyle3"/>
          <w:lang w:eastAsia="en-US"/>
        </w:rPr>
        <w:t xml:space="preserve"> over not just the Amazon and precipitation but also the SM and the evapotranspiration. There is agreement in the comparison of the location of reanalysed convergence and satellite precipitation; the rainfall anomalies influence the peak river flow, and our results agree with the location of peak river flow reduction during TNA anomalies reported by</w:t>
      </w:r>
      <w:hyperlink w:anchor="bookmark141" w:tooltip="Current Document" w:history="1">
        <w:r>
          <w:rPr>
            <w:rStyle w:val="CharStyle3"/>
            <w:lang w:eastAsia="en-US"/>
          </w:rPr>
          <w:t xml:space="preserve"> Towner et al. (2021)</w:t>
        </w:r>
      </w:hyperlink>
      <w:r>
        <w:rPr>
          <w:rStyle w:val="CharStyle3"/>
          <w:lang w:eastAsia="en-US"/>
        </w:rPr>
        <w:t xml:space="preserve"> – a decrease in the central Amazon in the positive phase. Regarding the Atl3, most of the studies have focused on its statistical relationship with continental precipitation anomalies </w:t>
      </w:r>
      <w:hyperlink w:anchor="bookmark83" w:tooltip="Current Document" w:history="1">
        <w:r>
          <w:rPr>
            <w:rStyle w:val="CharStyle3"/>
            <w:lang w:eastAsia="en-US"/>
          </w:rPr>
          <w:t>(Gu and Adler, 2009</w:t>
        </w:r>
      </w:hyperlink>
      <w:r>
        <w:rPr>
          <w:rStyle w:val="CharStyle3"/>
          <w:lang w:eastAsia="en-US"/>
        </w:rPr>
        <w:t>;</w:t>
      </w:r>
      <w:hyperlink w:anchor="bookmark138" w:tooltip="Current Document" w:history="1">
        <w:r>
          <w:rPr>
            <w:rStyle w:val="CharStyle3"/>
            <w:lang w:eastAsia="en-US"/>
          </w:rPr>
          <w:t xml:space="preserve"> Torralba et al.,</w:t>
        </w:r>
      </w:hyperlink>
      <w:r>
        <w:rPr>
          <w:rStyle w:val="CharStyle3"/>
          <w:lang w:eastAsia="en-US"/>
        </w:rPr>
        <w:t xml:space="preserve"> </w:t>
      </w:r>
      <w:hyperlink w:anchor="bookmark138" w:tooltip="Current Document" w:history="1">
        <w:r>
          <w:rPr>
            <w:rStyle w:val="CharStyle3"/>
            <w:lang w:eastAsia="en-US"/>
          </w:rPr>
          <w:t>2015)</w:t>
        </w:r>
      </w:hyperlink>
      <w:r>
        <w:rPr>
          <w:rStyle w:val="CharStyle3"/>
          <w:lang w:eastAsia="en-US"/>
        </w:rPr>
        <w:t xml:space="preserve"> and the atmospheric dynamics of its development </w:t>
      </w:r>
      <w:hyperlink w:anchor="bookmark146" w:tooltip="Current Document" w:history="1">
        <w:r>
          <w:rPr>
            <w:rStyle w:val="CharStyle3"/>
            <w:lang w:eastAsia="en-US"/>
          </w:rPr>
          <w:t>(Val-</w:t>
        </w:r>
      </w:hyperlink>
      <w:r>
        <w:rPr>
          <w:rStyle w:val="CharStyle3"/>
          <w:lang w:eastAsia="en-US"/>
        </w:rPr>
        <w:t xml:space="preserve"> </w:t>
      </w:r>
      <w:hyperlink w:anchor="bookmark146" w:tooltip="Current Document" w:history="1">
        <w:r>
          <w:rPr>
            <w:rStyle w:val="CharStyle3"/>
            <w:lang w:val="it-IT" w:eastAsia="it-IT"/>
          </w:rPr>
          <w:t xml:space="preserve">lès-Casanova </w:t>
        </w:r>
        <w:r>
          <w:rPr>
            <w:rStyle w:val="CharStyle3"/>
            <w:lang w:eastAsia="en-US"/>
          </w:rPr>
          <w:t>et al., 2020)</w:t>
        </w:r>
      </w:hyperlink>
      <w:r>
        <w:rPr>
          <w:rStyle w:val="CharStyle3"/>
          <w:lang w:eastAsia="en-US"/>
        </w:rPr>
        <w:t>.</w:t>
      </w:r>
    </w:p>
    <w:p w14:paraId="7918C1D5"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Although coupled ocean–atmospheric modes are impor</w:t>
      </w:r>
      <w:r>
        <w:rPr>
          <w:rStyle w:val="CharStyle3"/>
          <w:lang w:eastAsia="en-US"/>
        </w:rPr>
        <w:softHyphen/>
        <w:t>tant drivers at the seasonal timescale, as shown here, other sources of variability at other scales – such as those men</w:t>
      </w:r>
      <w:r>
        <w:rPr>
          <w:rStyle w:val="CharStyle3"/>
          <w:lang w:eastAsia="en-US"/>
        </w:rPr>
        <w:softHyphen/>
        <w:t>tioned in Sect.</w:t>
      </w:r>
      <w:hyperlink w:anchor="bookmark2" w:tooltip="Current Document" w:history="1">
        <w:r>
          <w:rPr>
            <w:rStyle w:val="CharStyle3"/>
            <w:lang w:eastAsia="en-US"/>
          </w:rPr>
          <w:t xml:space="preserve"> 1 </w:t>
        </w:r>
      </w:hyperlink>
      <w:r>
        <w:rPr>
          <w:rStyle w:val="CharStyle3"/>
          <w:lang w:eastAsia="en-US"/>
        </w:rPr>
        <w:t xml:space="preserve">(Introduction) – influence precipitation and might also influence ET </w:t>
      </w:r>
      <w:hyperlink w:anchor="bookmark108" w:tooltip="Current Document" w:history="1">
        <w:r>
          <w:rPr>
            <w:rStyle w:val="CharStyle3"/>
            <w:lang w:eastAsia="en-US"/>
          </w:rPr>
          <w:t>(Mariotti et al., 2018)</w:t>
        </w:r>
      </w:hyperlink>
      <w:r>
        <w:rPr>
          <w:rStyle w:val="CharStyle3"/>
          <w:lang w:eastAsia="en-US"/>
        </w:rPr>
        <w:t>. They might affect the transition and migration of the anomalies from one season to the following one. Phenomena with longer frequen</w:t>
      </w:r>
      <w:r>
        <w:rPr>
          <w:rStyle w:val="CharStyle3"/>
          <w:lang w:eastAsia="en-US"/>
        </w:rPr>
        <w:softHyphen/>
        <w:t>cies, such as the AMO, have also been discussed here, but the impacts of all those sources on ET deserve further research.</w:t>
      </w:r>
    </w:p>
    <w:p w14:paraId="45D1013D" w14:textId="77777777" w:rsidR="007857F3" w:rsidRDefault="007857F3">
      <w:pPr>
        <w:pStyle w:val="Style2"/>
        <w:ind w:firstLine="220"/>
        <w:jc w:val="both"/>
        <w:rPr>
          <w:rFonts w:ascii="Times New Roman" w:hAnsi="Times New Roman" w:cs="Times New Roman"/>
          <w:sz w:val="24"/>
          <w:szCs w:val="24"/>
        </w:rPr>
      </w:pPr>
      <w:r>
        <w:rPr>
          <w:rStyle w:val="CharStyle3"/>
          <w:lang w:eastAsia="en-US"/>
        </w:rPr>
        <w:t>Our results are underpinned by the consistency between independent observations of land–surface and atmospheric variables whose robustness comes from physically based in</w:t>
      </w:r>
      <w:r>
        <w:rPr>
          <w:rStyle w:val="CharStyle3"/>
          <w:lang w:eastAsia="en-US"/>
        </w:rPr>
        <w:softHyphen/>
        <w:t>terpolations (reanalysis) or satellite-based observations. Lim</w:t>
      </w:r>
      <w:r>
        <w:rPr>
          <w:rStyle w:val="CharStyle3"/>
          <w:lang w:eastAsia="en-US"/>
        </w:rPr>
        <w:softHyphen/>
        <w:t>itations arise from the dataset’s uncertainty and satellite re</w:t>
      </w:r>
      <w:r>
        <w:rPr>
          <w:rStyle w:val="CharStyle3"/>
          <w:lang w:eastAsia="en-US"/>
        </w:rPr>
        <w:softHyphen/>
        <w:t>trievals; deforestation dynamics are also not included in the datasets. Nevertheless, the general circulation is still well represented due to the assimilation of atmospheric pressure, and models and measurements are as accurate as possible. Both sources of information show similar impacts but with local differences mostly in densely forested areas where physically based models like</w:t>
      </w:r>
      <w:r>
        <w:rPr>
          <w:rStyle w:val="CharStyle3"/>
          <w:lang w:eastAsia="en-US"/>
        </w:rPr>
        <w:t xml:space="preserve"> ERA5-Land might be more re</w:t>
      </w:r>
      <w:r>
        <w:rPr>
          <w:rStyle w:val="CharStyle3"/>
          <w:lang w:eastAsia="en-US"/>
        </w:rPr>
        <w:softHyphen/>
        <w:t>liable. Longer time series of eddy-covariance towers could help the community confirm the dynamics discovered in our study. All in all, the datasets are accurate enough to analyse interannual variability.</w:t>
      </w:r>
    </w:p>
    <w:p w14:paraId="7E295A8C" w14:textId="77777777" w:rsidR="007857F3" w:rsidRDefault="007857F3">
      <w:pPr>
        <w:pStyle w:val="Style16"/>
        <w:keepNext/>
        <w:keepLines/>
        <w:numPr>
          <w:ilvl w:val="0"/>
          <w:numId w:val="2"/>
        </w:numPr>
        <w:tabs>
          <w:tab w:val="left" w:pos="288"/>
        </w:tabs>
        <w:spacing w:after="200"/>
        <w:jc w:val="both"/>
        <w:rPr>
          <w:sz w:val="24"/>
          <w:szCs w:val="24"/>
        </w:rPr>
      </w:pPr>
      <w:bookmarkStart w:id="24" w:name="bookmark40"/>
      <w:r>
        <w:rPr>
          <w:rStyle w:val="CharStyle17"/>
          <w:lang w:eastAsia="en-US"/>
        </w:rPr>
        <w:t>Conclusions</w:t>
      </w:r>
      <w:bookmarkEnd w:id="24"/>
    </w:p>
    <w:p w14:paraId="1383A173" w14:textId="77777777" w:rsidR="007857F3" w:rsidRDefault="007857F3">
      <w:pPr>
        <w:pStyle w:val="Style2"/>
        <w:jc w:val="both"/>
        <w:rPr>
          <w:rFonts w:ascii="Times New Roman" w:hAnsi="Times New Roman" w:cs="Times New Roman"/>
          <w:sz w:val="24"/>
          <w:szCs w:val="24"/>
        </w:rPr>
      </w:pPr>
      <w:r>
        <w:rPr>
          <w:rStyle w:val="CharStyle3"/>
          <w:lang w:eastAsia="en-US"/>
        </w:rPr>
        <w:t xml:space="preserve">This research advances the current understanding of the physical mechanisms that cause the interannual climate and </w:t>
      </w:r>
      <w:r>
        <w:rPr>
          <w:rStyle w:val="CharStyle3"/>
          <w:lang w:eastAsia="en-US"/>
        </w:rPr>
        <w:t>land–surface variability in tropical South America, focusing on soil moisture (SM), net radiation (Rn), and evapotranspi</w:t>
      </w:r>
      <w:r>
        <w:rPr>
          <w:rStyle w:val="CharStyle3"/>
          <w:lang w:eastAsia="en-US"/>
        </w:rPr>
        <w:softHyphen/>
        <w:t>ration (ET). It elucidates the influence of the Atlantic SST modes on the upwind conditions that impact the Orinoco basin and not just northeast Brazil or the Amazon. Ocean– atmospheric interactions in the Atlantic drive moisture con</w:t>
      </w:r>
      <w:r>
        <w:rPr>
          <w:rStyle w:val="CharStyle3"/>
          <w:lang w:eastAsia="en-US"/>
        </w:rPr>
        <w:softHyphen/>
        <w:t>vergence anomalies, which in turn modify water and radia</w:t>
      </w:r>
      <w:r>
        <w:rPr>
          <w:rStyle w:val="CharStyle3"/>
          <w:lang w:eastAsia="en-US"/>
        </w:rPr>
        <w:softHyphen/>
        <w:t>tion availability that then control the SM, the net radiation, and the ET anomalies. However, the ch</w:t>
      </w:r>
      <w:r>
        <w:rPr>
          <w:rStyle w:val="CharStyle3"/>
          <w:lang w:eastAsia="en-US"/>
        </w:rPr>
        <w:t>ain of processes is modulated by the annual cycle of the evapotranspiration reg</w:t>
      </w:r>
      <w:r>
        <w:rPr>
          <w:rStyle w:val="CharStyle3"/>
          <w:lang w:eastAsia="en-US"/>
        </w:rPr>
        <w:softHyphen/>
        <w:t>imen, which is not completely energy limited throughout the tropical region and throughout the annual cycle. A summaris</w:t>
      </w:r>
      <w:r>
        <w:rPr>
          <w:rStyle w:val="CharStyle3"/>
          <w:lang w:eastAsia="en-US"/>
        </w:rPr>
        <w:softHyphen/>
        <w:t>ing depiction of the processes can be seen in Fig.</w:t>
      </w:r>
      <w:hyperlink w:anchor="bookmark39" w:tooltip="Current Document" w:history="1">
        <w:r>
          <w:rPr>
            <w:rStyle w:val="CharStyle3"/>
            <w:lang w:eastAsia="en-US"/>
          </w:rPr>
          <w:t xml:space="preserve"> 7.</w:t>
        </w:r>
      </w:hyperlink>
    </w:p>
    <w:p w14:paraId="3BD58488" w14:textId="77777777" w:rsidR="007857F3" w:rsidRDefault="007857F3">
      <w:pPr>
        <w:pStyle w:val="Style2"/>
        <w:ind w:firstLine="240"/>
        <w:jc w:val="both"/>
        <w:rPr>
          <w:rFonts w:ascii="Times New Roman" w:hAnsi="Times New Roman" w:cs="Times New Roman"/>
          <w:sz w:val="24"/>
          <w:szCs w:val="24"/>
        </w:rPr>
      </w:pPr>
      <w:r>
        <w:rPr>
          <w:rStyle w:val="CharStyle3"/>
          <w:lang w:eastAsia="en-US"/>
        </w:rPr>
        <w:t>The Atlantic Niño Equatorial mode (Atl3) weakens the trade winds in JJA, producing convergence over the Guianas and eastern Orinoco. However, its effect on the SM, radi</w:t>
      </w:r>
      <w:r>
        <w:rPr>
          <w:rStyle w:val="CharStyle3"/>
          <w:lang w:eastAsia="en-US"/>
        </w:rPr>
        <w:softHyphen/>
        <w:t>ation, and ET is not strong. The negative phase – in con</w:t>
      </w:r>
      <w:r>
        <w:rPr>
          <w:rStyle w:val="CharStyle3"/>
          <w:lang w:eastAsia="en-US"/>
        </w:rPr>
        <w:softHyphen/>
        <w:t>junction with the ENSO warm phase – strengthens the trade winds and produces divergence over an extended region, which significantly changes the SM, Rn, and ET.</w:t>
      </w:r>
    </w:p>
    <w:p w14:paraId="094A2163" w14:textId="77777777" w:rsidR="007857F3" w:rsidRDefault="007857F3">
      <w:pPr>
        <w:pStyle w:val="Style2"/>
        <w:ind w:firstLine="240"/>
        <w:jc w:val="both"/>
        <w:rPr>
          <w:rFonts w:ascii="Times New Roman" w:hAnsi="Times New Roman" w:cs="Times New Roman"/>
          <w:sz w:val="24"/>
          <w:szCs w:val="24"/>
        </w:rPr>
      </w:pPr>
      <w:r>
        <w:rPr>
          <w:rStyle w:val="CharStyle3"/>
          <w:lang w:eastAsia="en-US"/>
        </w:rPr>
        <w:t>The Atlantic Meridional Mode (AMM) creates cross- equatorial SLP anomalies that deflect climatological winds over not just the ocean but also the continent. It sends mois</w:t>
      </w:r>
      <w:r>
        <w:rPr>
          <w:rStyle w:val="CharStyle3"/>
          <w:lang w:eastAsia="en-US"/>
        </w:rPr>
        <w:softHyphen/>
        <w:t>ture northward in the positive phase, on occasions increasing and on others reducing convergence, precipitation, and radi</w:t>
      </w:r>
      <w:r>
        <w:rPr>
          <w:rStyle w:val="CharStyle3"/>
          <w:lang w:eastAsia="en-US"/>
        </w:rPr>
        <w:softHyphen/>
        <w:t>ation depending on the location and season, thus causing the land–surface anomalies (SM and ET). The negative phase causes the opposite effect but with strong asymmetries. In MAM, the moisture is redirected towards the Orinoco from northeast Brazil, whereas in JJA and SON it is taken from southern Orinoco and northern Amazon (or brought to the same regions in the other phase, with impor</w:t>
      </w:r>
      <w:r>
        <w:rPr>
          <w:rStyle w:val="CharStyle3"/>
          <w:lang w:eastAsia="en-US"/>
        </w:rPr>
        <w:t>tant differences in zonal direction). The changes in moisture transport de</w:t>
      </w:r>
      <w:r>
        <w:rPr>
          <w:rStyle w:val="CharStyle3"/>
          <w:lang w:eastAsia="en-US"/>
        </w:rPr>
        <w:softHyphen/>
        <w:t>pend on the annual wind pattern, producing opposite effects when comparing MAM and JJA over the Orinoco. AMM and ENSO jointly affect the breadbasket region of north</w:t>
      </w:r>
      <w:r>
        <w:rPr>
          <w:rStyle w:val="CharStyle3"/>
          <w:lang w:eastAsia="en-US"/>
        </w:rPr>
        <w:softHyphen/>
        <w:t>east Brazil and the central Amazon, but the AMM affects the western Amazon and Orinoco more.</w:t>
      </w:r>
    </w:p>
    <w:p w14:paraId="7BEF8D7B" w14:textId="77777777" w:rsidR="007857F3" w:rsidRDefault="007857F3">
      <w:pPr>
        <w:pStyle w:val="Style2"/>
        <w:ind w:firstLine="240"/>
        <w:jc w:val="both"/>
        <w:rPr>
          <w:rFonts w:ascii="Times New Roman" w:hAnsi="Times New Roman" w:cs="Times New Roman"/>
          <w:sz w:val="24"/>
          <w:szCs w:val="24"/>
        </w:rPr>
      </w:pPr>
      <w:r>
        <w:rPr>
          <w:rStyle w:val="CharStyle3"/>
          <w:lang w:eastAsia="en-US"/>
        </w:rPr>
        <w:t>The regions impacted in</w:t>
      </w:r>
      <w:r>
        <w:rPr>
          <w:rStyle w:val="CharStyle3"/>
          <w:lang w:eastAsia="en-US"/>
        </w:rPr>
        <w:t xml:space="preserve"> each phase might be different. Analysing just one phase might cause misleading estimations of SM, Rn, and ET.</w:t>
      </w:r>
    </w:p>
    <w:p w14:paraId="3013A291" w14:textId="77777777" w:rsidR="007857F3" w:rsidRDefault="007857F3">
      <w:pPr>
        <w:pStyle w:val="Style2"/>
        <w:ind w:firstLine="240"/>
        <w:jc w:val="both"/>
        <w:rPr>
          <w:rFonts w:ascii="Times New Roman" w:hAnsi="Times New Roman" w:cs="Times New Roman"/>
          <w:sz w:val="24"/>
          <w:szCs w:val="24"/>
        </w:rPr>
      </w:pPr>
      <w:r>
        <w:rPr>
          <w:rStyle w:val="CharStyle3"/>
          <w:lang w:eastAsia="en-US"/>
        </w:rPr>
        <w:t>Evapotranspiration is influenced in its regime by not only the ITCZ position but also the phase of the ocean– atmospheric mode. This is related to the fact that SM is not resilient to the activation of the modes, unless it is the rainy season and the soil is saturated regardless of the phase (thus the SM is above the soil’s water field capacity, the thresh</w:t>
      </w:r>
      <w:r>
        <w:rPr>
          <w:rStyle w:val="CharStyle3"/>
          <w:lang w:eastAsia="en-US"/>
        </w:rPr>
        <w:softHyphen/>
        <w:t>old for energy-limited ET). For instance, evapotranspiration anomalies in the transition season from wet to dry are energy limited, but the sign of the anomaly depends on the phase of the mode that alters radiation and then ET. In the transition season from dry to wet, the ET regime is most likely water limited, and the ET anomaly is influenced by the variabil</w:t>
      </w:r>
      <w:r>
        <w:rPr>
          <w:rStyle w:val="CharStyle3"/>
          <w:lang w:eastAsia="en-US"/>
        </w:rPr>
        <w:softHyphen/>
        <w:t>ity in SM, which depends on the phase of the climate driver through precipitation. The SM saturation percentage closely varies with the ITCZ positio</w:t>
      </w:r>
      <w:r>
        <w:rPr>
          <w:rStyle w:val="CharStyle3"/>
          <w:lang w:eastAsia="en-US"/>
        </w:rPr>
        <w:t>n.</w:t>
      </w:r>
    </w:p>
    <w:p w14:paraId="7C506A51" w14:textId="77777777" w:rsidR="007857F3" w:rsidRDefault="007857F3">
      <w:pPr>
        <w:pStyle w:val="Style2"/>
        <w:spacing w:after="440"/>
        <w:ind w:firstLine="220"/>
        <w:jc w:val="both"/>
        <w:rPr>
          <w:rFonts w:ascii="Times New Roman" w:hAnsi="Times New Roman" w:cs="Times New Roman"/>
          <w:sz w:val="24"/>
          <w:szCs w:val="24"/>
        </w:rPr>
      </w:pPr>
      <w:r>
        <w:rPr>
          <w:rStyle w:val="CharStyle3"/>
          <w:lang w:eastAsia="en-US"/>
        </w:rPr>
        <w:t>The phenomena analysed have implications for the rela</w:t>
      </w:r>
      <w:r>
        <w:rPr>
          <w:rStyle w:val="CharStyle3"/>
          <w:lang w:eastAsia="en-US"/>
        </w:rPr>
        <w:softHyphen/>
      </w:r>
      <w:r>
        <w:rPr>
          <w:rStyle w:val="CharStyle3"/>
          <w:lang w:eastAsia="en-US"/>
        </w:rPr>
        <w:lastRenderedPageBreak/>
        <w:t>tionship between SM and heat extremes, gross primary pro</w:t>
      </w:r>
      <w:r>
        <w:rPr>
          <w:rStyle w:val="CharStyle3"/>
          <w:lang w:eastAsia="en-US"/>
        </w:rPr>
        <w:softHyphen/>
        <w:t>duction, irrigation requirements, and the carbon and energy cycles and can potentially be used to predict the response of ecosystem activity. The chain is mainly – but not exclusively – applicable to other tropical regions worldwide.</w:t>
      </w:r>
    </w:p>
    <w:p w14:paraId="340B96DE" w14:textId="77777777" w:rsidR="007857F3" w:rsidRDefault="007857F3">
      <w:pPr>
        <w:pStyle w:val="Style30"/>
        <w:spacing w:line="310" w:lineRule="auto"/>
        <w:ind w:left="0" w:firstLine="0"/>
        <w:jc w:val="both"/>
        <w:rPr>
          <w:rFonts w:ascii="Times New Roman" w:hAnsi="Times New Roman" w:cs="Times New Roman"/>
          <w:sz w:val="24"/>
          <w:szCs w:val="24"/>
        </w:rPr>
      </w:pPr>
      <w:r>
        <w:rPr>
          <w:rStyle w:val="CharStyle31"/>
          <w:i/>
          <w:iCs/>
          <w:sz w:val="14"/>
          <w:szCs w:val="14"/>
          <w:lang w:eastAsia="en-US"/>
        </w:rPr>
        <w:t>Code availability.</w:t>
      </w:r>
      <w:r>
        <w:rPr>
          <w:rStyle w:val="CharStyle31"/>
          <w:lang w:eastAsia="en-US"/>
        </w:rPr>
        <w:t xml:space="preserve"> We coded scripts in R </w:t>
      </w:r>
      <w:hyperlink r:id="rId22" w:history="1">
        <w:r>
          <w:rPr>
            <w:rStyle w:val="CharStyle31"/>
            <w:lang w:eastAsia="en-US"/>
          </w:rPr>
          <w:t>(https://www.</w:t>
        </w:r>
      </w:hyperlink>
      <w:r>
        <w:rPr>
          <w:rStyle w:val="CharStyle31"/>
          <w:lang w:eastAsia="en-US"/>
        </w:rPr>
        <w:t xml:space="preserve"> </w:t>
      </w:r>
      <w:hyperlink r:id="rId23" w:history="1">
        <w:r>
          <w:rPr>
            <w:rStyle w:val="CharStyle31"/>
            <w:lang w:eastAsia="en-US"/>
          </w:rPr>
          <w:t>R-project.org/,</w:t>
        </w:r>
      </w:hyperlink>
      <w:hyperlink w:anchor="bookmark119" w:tooltip="Current Document" w:history="1">
        <w:r>
          <w:rPr>
            <w:rStyle w:val="CharStyle31"/>
            <w:lang w:eastAsia="en-US"/>
          </w:rPr>
          <w:t xml:space="preserve"> R Core Team, 2020)</w:t>
        </w:r>
      </w:hyperlink>
      <w:r>
        <w:rPr>
          <w:rStyle w:val="CharStyle31"/>
          <w:lang w:eastAsia="en-US"/>
        </w:rPr>
        <w:t xml:space="preserve"> to perform the analy</w:t>
      </w:r>
      <w:r>
        <w:rPr>
          <w:rStyle w:val="CharStyle31"/>
          <w:lang w:eastAsia="en-US"/>
        </w:rPr>
        <w:softHyphen/>
        <w:t xml:space="preserve">sis of the datasets </w:t>
      </w:r>
      <w:hyperlink r:id="rId24" w:history="1">
        <w:r>
          <w:rPr>
            <w:rStyle w:val="CharStyle31"/>
            <w:lang w:eastAsia="en-US"/>
          </w:rPr>
          <w:t>(https://doi.org/10.5281/zenodo.15389246,</w:t>
        </w:r>
      </w:hyperlink>
      <w:r>
        <w:rPr>
          <w:rStyle w:val="CharStyle31"/>
          <w:lang w:eastAsia="en-US"/>
        </w:rPr>
        <w:t xml:space="preserve"> </w:t>
      </w:r>
      <w:hyperlink w:anchor="bookmark61" w:tooltip="Current Document" w:history="1">
        <w:r>
          <w:rPr>
            <w:rStyle w:val="CharStyle31"/>
            <w:lang w:eastAsia="en-US"/>
          </w:rPr>
          <w:t>Duque-Gardeazabal, 2025)</w:t>
        </w:r>
      </w:hyperlink>
      <w:r>
        <w:rPr>
          <w:rStyle w:val="CharStyle31"/>
          <w:lang w:eastAsia="en-US"/>
        </w:rPr>
        <w:t xml:space="preserve">. They can be consulted at </w:t>
      </w:r>
      <w:hyperlink r:id="rId25" w:history="1">
        <w:r>
          <w:rPr>
            <w:rStyle w:val="CharStyle31"/>
            <w:lang w:eastAsia="en-US"/>
          </w:rPr>
          <w:t xml:space="preserve">https://github.com/nduqueg/ET_var_SAme </w:t>
        </w:r>
      </w:hyperlink>
      <w:r>
        <w:rPr>
          <w:rStyle w:val="CharStyle31"/>
          <w:lang w:eastAsia="en-US"/>
        </w:rPr>
        <w:t>(last access: March 2025).</w:t>
      </w:r>
    </w:p>
    <w:p w14:paraId="3BA79CCA" w14:textId="77777777" w:rsidR="007857F3" w:rsidRDefault="007857F3">
      <w:pPr>
        <w:pStyle w:val="Style30"/>
        <w:spacing w:after="440" w:line="300" w:lineRule="auto"/>
        <w:ind w:left="0" w:firstLine="0"/>
        <w:jc w:val="both"/>
        <w:rPr>
          <w:rFonts w:ascii="Times New Roman" w:hAnsi="Times New Roman" w:cs="Times New Roman"/>
          <w:sz w:val="24"/>
          <w:szCs w:val="24"/>
        </w:rPr>
      </w:pPr>
      <w:r>
        <w:rPr>
          <w:rStyle w:val="CharStyle31"/>
          <w:i/>
          <w:iCs/>
          <w:sz w:val="14"/>
          <w:szCs w:val="14"/>
          <w:lang w:eastAsia="en-US"/>
        </w:rPr>
        <w:t>Competing interests.</w:t>
      </w:r>
      <w:r>
        <w:rPr>
          <w:rStyle w:val="CharStyle31"/>
          <w:lang w:eastAsia="en-US"/>
        </w:rPr>
        <w:t xml:space="preserve"> The contact author has declared that none of the authors has any competing interests.</w:t>
      </w:r>
    </w:p>
    <w:p w14:paraId="2836B891" w14:textId="77777777" w:rsidR="007857F3" w:rsidRDefault="007857F3">
      <w:pPr>
        <w:pStyle w:val="Style30"/>
        <w:spacing w:after="440"/>
        <w:ind w:left="0" w:firstLine="0"/>
        <w:jc w:val="both"/>
        <w:rPr>
          <w:rFonts w:ascii="Times New Roman" w:hAnsi="Times New Roman" w:cs="Times New Roman"/>
          <w:sz w:val="24"/>
          <w:szCs w:val="24"/>
        </w:rPr>
      </w:pPr>
      <w:r>
        <w:rPr>
          <w:rStyle w:val="CharStyle31"/>
          <w:i/>
          <w:iCs/>
          <w:sz w:val="14"/>
          <w:szCs w:val="14"/>
          <w:lang w:eastAsia="en-US"/>
        </w:rPr>
        <w:t>Disclaimer.</w:t>
      </w:r>
      <w:r>
        <w:rPr>
          <w:rStyle w:val="CharStyle31"/>
          <w:lang w:eastAsia="en-US"/>
        </w:rPr>
        <w:t xml:space="preserve"> Publisher’s note: Copernicus Publications remains neutral with regard to jurisdictional claims made in the text, pub</w:t>
      </w:r>
      <w:r>
        <w:rPr>
          <w:rStyle w:val="CharStyle31"/>
          <w:lang w:eastAsia="en-US"/>
        </w:rPr>
        <w:softHyphen/>
        <w:t>lished maps, institutional affiliations, or any other geographical rep</w:t>
      </w:r>
      <w:r>
        <w:rPr>
          <w:rStyle w:val="CharStyle31"/>
          <w:lang w:eastAsia="en-US"/>
        </w:rPr>
        <w:softHyphen/>
        <w:t>resentation in this paper. While Copernicus Publications makes ev</w:t>
      </w:r>
      <w:r>
        <w:rPr>
          <w:rStyle w:val="CharStyle31"/>
          <w:lang w:eastAsia="en-US"/>
        </w:rPr>
        <w:softHyphen/>
        <w:t>ery effort to include appropriate place names, the final responsibility lies with the authors.</w:t>
      </w:r>
    </w:p>
    <w:p w14:paraId="56535B94" w14:textId="77777777" w:rsidR="007857F3" w:rsidRDefault="007857F3">
      <w:pPr>
        <w:pStyle w:val="Style30"/>
        <w:ind w:left="0" w:firstLine="0"/>
        <w:jc w:val="both"/>
        <w:rPr>
          <w:rFonts w:ascii="Times New Roman" w:hAnsi="Times New Roman" w:cs="Times New Roman"/>
          <w:sz w:val="24"/>
          <w:szCs w:val="24"/>
        </w:rPr>
        <w:sectPr w:rsidR="00000000">
          <w:pgSz w:w="11909" w:h="16834"/>
          <w:pgMar w:top="1827" w:right="905" w:bottom="1813" w:left="905" w:header="0" w:footer="3" w:gutter="0"/>
          <w:cols w:num="2" w:space="300"/>
          <w:noEndnote/>
          <w:docGrid w:linePitch="360"/>
        </w:sectPr>
      </w:pPr>
      <w:r>
        <w:rPr>
          <w:rStyle w:val="CharStyle31"/>
          <w:i/>
          <w:iCs/>
          <w:sz w:val="14"/>
          <w:szCs w:val="14"/>
          <w:lang w:eastAsia="en-US"/>
        </w:rPr>
        <w:t>Acknowledgements.</w:t>
      </w:r>
      <w:r>
        <w:rPr>
          <w:rStyle w:val="CharStyle31"/>
          <w:lang w:eastAsia="en-US"/>
        </w:rPr>
        <w:t xml:space="preserve"> We thank the anonymous</w:t>
      </w:r>
      <w:r>
        <w:rPr>
          <w:rStyle w:val="CharStyle31"/>
          <w:lang w:eastAsia="en-US"/>
        </w:rPr>
        <w:t xml:space="preserve"> reviewers and the editor for the constructive comments that helped improve the pa</w:t>
      </w:r>
      <w:r>
        <w:rPr>
          <w:rStyle w:val="CharStyle31"/>
          <w:lang w:eastAsia="en-US"/>
        </w:rPr>
        <w:softHyphen/>
        <w:t>per. We are grateful to the institutions that gather and freely dis</w:t>
      </w:r>
      <w:r>
        <w:rPr>
          <w:rStyle w:val="CharStyle31"/>
          <w:lang w:eastAsia="en-US"/>
        </w:rPr>
        <w:softHyphen/>
        <w:t>seminate the data used in this research and to Noemi Imfeld, Sonia Dupuis, and Adrian Huerta for recommending datasets or coding functions. Nicolás Duque-Gardeazabal thanks Helena Gardeazabal, Joaquin Duque, and friends for the emotional support throughout this research.</w:t>
      </w:r>
    </w:p>
    <w:p w14:paraId="56ED32DA" w14:textId="77777777" w:rsidR="007857F3" w:rsidRDefault="007857F3">
      <w:pPr>
        <w:spacing w:line="225" w:lineRule="exact"/>
        <w:rPr>
          <w:color w:val="auto"/>
          <w:lang w:eastAsia="en-GB"/>
        </w:rPr>
      </w:pPr>
    </w:p>
    <w:p w14:paraId="64C4B939" w14:textId="77777777" w:rsidR="007857F3" w:rsidRDefault="007857F3">
      <w:pPr>
        <w:spacing w:line="1" w:lineRule="exact"/>
        <w:rPr>
          <w:color w:val="auto"/>
          <w:lang w:eastAsia="en-GB"/>
        </w:rPr>
        <w:sectPr w:rsidR="00000000">
          <w:type w:val="continuous"/>
          <w:pgSz w:w="11909" w:h="16834"/>
          <w:pgMar w:top="1831" w:right="0" w:bottom="1812" w:left="0" w:header="0" w:footer="3" w:gutter="0"/>
          <w:cols w:space="720"/>
          <w:noEndnote/>
          <w:docGrid w:linePitch="360"/>
        </w:sectPr>
      </w:pPr>
    </w:p>
    <w:p w14:paraId="6A02AC5A" w14:textId="77777777" w:rsidR="007857F3" w:rsidRDefault="007857F3">
      <w:pPr>
        <w:pStyle w:val="Style30"/>
        <w:spacing w:after="440"/>
        <w:ind w:left="0" w:firstLine="0"/>
        <w:jc w:val="both"/>
        <w:rPr>
          <w:rFonts w:ascii="Times New Roman" w:hAnsi="Times New Roman" w:cs="Times New Roman"/>
          <w:sz w:val="24"/>
          <w:szCs w:val="24"/>
        </w:rPr>
      </w:pPr>
      <w:r>
        <w:rPr>
          <w:rStyle w:val="CharStyle31"/>
          <w:i/>
          <w:iCs/>
          <w:sz w:val="14"/>
          <w:szCs w:val="14"/>
          <w:lang w:eastAsia="en-US"/>
        </w:rPr>
        <w:t>Data availability.</w:t>
      </w:r>
      <w:r>
        <w:rPr>
          <w:rStyle w:val="CharStyle31"/>
          <w:lang w:eastAsia="en-US"/>
        </w:rPr>
        <w:t xml:space="preserve"> The Extended Reconstructed SST version 5 </w:t>
      </w:r>
      <w:hyperlink w:anchor="bookmark99" w:tooltip="Current Document" w:history="1">
        <w:r>
          <w:rPr>
            <w:rStyle w:val="CharStyle31"/>
            <w:lang w:eastAsia="en-US"/>
          </w:rPr>
          <w:t>(Huang et al., 2017)</w:t>
        </w:r>
      </w:hyperlink>
      <w:r>
        <w:rPr>
          <w:rStyle w:val="CharStyle31"/>
          <w:lang w:eastAsia="en-US"/>
        </w:rPr>
        <w:t xml:space="preserve"> is available at</w:t>
      </w:r>
      <w:hyperlink r:id="rId26" w:history="1">
        <w:r>
          <w:rPr>
            <w:rStyle w:val="CharStyle31"/>
            <w:lang w:eastAsia="en-US"/>
          </w:rPr>
          <w:t xml:space="preserve"> https:</w:t>
        </w:r>
      </w:hyperlink>
      <w:r>
        <w:rPr>
          <w:rStyle w:val="CharStyle31"/>
          <w:lang w:eastAsia="en-US"/>
        </w:rPr>
        <w:t xml:space="preserve"> </w:t>
      </w:r>
      <w:hyperlink r:id="rId27" w:history="1">
        <w:r>
          <w:rPr>
            <w:rStyle w:val="CharStyle31"/>
            <w:lang w:eastAsia="en-US"/>
          </w:rPr>
          <w:t>//www.ncei.noaa.gov/pub/data/cmb/ersst/v5/netcdf/.</w:t>
        </w:r>
      </w:hyperlink>
      <w:r>
        <w:rPr>
          <w:rStyle w:val="CharStyle31"/>
          <w:lang w:eastAsia="en-US"/>
        </w:rPr>
        <w:t xml:space="preserve"> Hadley Center Sea Ice and SST version 4.0.1 </w:t>
      </w:r>
      <w:hyperlink w:anchor="bookmark90" w:tooltip="Current Document" w:history="1">
        <w:r>
          <w:rPr>
            <w:rStyle w:val="CharStyle31"/>
            <w:lang w:eastAsia="en-US"/>
          </w:rPr>
          <w:t>(Kennedy et al., 2019)</w:t>
        </w:r>
      </w:hyperlink>
      <w:r>
        <w:rPr>
          <w:rStyle w:val="CharStyle31"/>
          <w:lang w:eastAsia="en-US"/>
        </w:rPr>
        <w:t xml:space="preserve"> is available at </w:t>
      </w:r>
      <w:hyperlink r:id="rId28" w:history="1">
        <w:r>
          <w:rPr>
            <w:rStyle w:val="CharStyle31"/>
            <w:lang w:eastAsia="en-US"/>
          </w:rPr>
          <w:t>https://www.metoffice.gov.uk/hadobs/hadsst4/data/download.html.</w:t>
        </w:r>
      </w:hyperlink>
      <w:r>
        <w:rPr>
          <w:rStyle w:val="CharStyle31"/>
          <w:lang w:eastAsia="en-US"/>
        </w:rPr>
        <w:t xml:space="preserve"> Mauna Loa CO</w:t>
      </w:r>
      <w:r>
        <w:rPr>
          <w:rStyle w:val="CharStyle31"/>
          <w:vertAlign w:val="subscript"/>
          <w:lang w:eastAsia="en-US"/>
        </w:rPr>
        <w:t>2</w:t>
      </w:r>
      <w:r>
        <w:rPr>
          <w:rStyle w:val="CharStyle31"/>
          <w:lang w:eastAsia="en-US"/>
        </w:rPr>
        <w:t xml:space="preserve"> concentrations are available at</w:t>
      </w:r>
      <w:hyperlink r:id="rId29" w:history="1">
        <w:r>
          <w:rPr>
            <w:rStyle w:val="CharStyle31"/>
            <w:lang w:eastAsia="en-US"/>
          </w:rPr>
          <w:t xml:space="preserve"> https:</w:t>
        </w:r>
      </w:hyperlink>
      <w:r>
        <w:rPr>
          <w:rStyle w:val="CharStyle31"/>
          <w:lang w:eastAsia="en-US"/>
        </w:rPr>
        <w:t xml:space="preserve"> </w:t>
      </w:r>
      <w:hyperlink r:id="rId30" w:history="1">
        <w:r>
          <w:rPr>
            <w:rStyle w:val="CharStyle31"/>
            <w:lang w:eastAsia="en-US"/>
          </w:rPr>
          <w:t xml:space="preserve">//gml.noaa.gov/ccgg/trends/data.html </w:t>
        </w:r>
      </w:hyperlink>
      <w:hyperlink w:anchor="bookmark136" w:tooltip="Current Document" w:history="1">
        <w:r>
          <w:rPr>
            <w:rStyle w:val="CharStyle31"/>
            <w:lang w:eastAsia="en-US"/>
          </w:rPr>
          <w:t>(Thoning et al., 1989)</w:t>
        </w:r>
      </w:hyperlink>
      <w:r>
        <w:rPr>
          <w:rStyle w:val="CharStyle31"/>
          <w:lang w:eastAsia="en-US"/>
        </w:rPr>
        <w:t xml:space="preserve">. The ECMWF ERA5 reanalysis </w:t>
      </w:r>
      <w:hyperlink r:id="rId31" w:history="1">
        <w:r>
          <w:rPr>
            <w:rStyle w:val="CharStyle31"/>
            <w:lang w:eastAsia="en-US"/>
          </w:rPr>
          <w:t>(https://doi.org/10.24381/cds.6860a573,</w:t>
        </w:r>
      </w:hyperlink>
      <w:r>
        <w:rPr>
          <w:rStyle w:val="CharStyle31"/>
          <w:lang w:eastAsia="en-US"/>
        </w:rPr>
        <w:t xml:space="preserve"> </w:t>
      </w:r>
      <w:hyperlink w:anchor="bookmark89" w:tooltip="Current Document" w:history="1">
        <w:r>
          <w:rPr>
            <w:rStyle w:val="CharStyle31"/>
            <w:lang w:eastAsia="en-US"/>
          </w:rPr>
          <w:t>Hersbach et al., 2020,</w:t>
        </w:r>
      </w:hyperlink>
      <w:hyperlink w:anchor="bookmark91" w:tooltip="Current Document" w:history="1">
        <w:r>
          <w:rPr>
            <w:rStyle w:val="CharStyle31"/>
            <w:lang w:eastAsia="en-US"/>
          </w:rPr>
          <w:t xml:space="preserve"> 2023)</w:t>
        </w:r>
      </w:hyperlink>
      <w:r>
        <w:rPr>
          <w:rStyle w:val="CharStyle31"/>
          <w:lang w:eastAsia="en-US"/>
        </w:rPr>
        <w:t xml:space="preserve"> and the ERA5-Land reanalysis </w:t>
      </w:r>
      <w:hyperlink r:id="rId32" w:history="1">
        <w:r>
          <w:rPr>
            <w:rStyle w:val="CharStyle31"/>
            <w:lang w:eastAsia="en-US"/>
          </w:rPr>
          <w:t>(https://doi.org/10.24381/cds.68d2bb30,</w:t>
        </w:r>
      </w:hyperlink>
      <w:hyperlink w:anchor="bookmark103" w:tooltip="Current Document" w:history="1">
        <w:r>
          <w:rPr>
            <w:rStyle w:val="CharStyle31"/>
            <w:lang w:eastAsia="en-US"/>
          </w:rPr>
          <w:t xml:space="preserve"> Muñoz-Sabater et al.,</w:t>
        </w:r>
      </w:hyperlink>
      <w:r>
        <w:rPr>
          <w:rStyle w:val="CharStyle31"/>
          <w:lang w:eastAsia="en-US"/>
        </w:rPr>
        <w:t xml:space="preserve"> </w:t>
      </w:r>
      <w:hyperlink w:anchor="bookmark103" w:tooltip="Current Document" w:history="1">
        <w:r>
          <w:rPr>
            <w:rStyle w:val="CharStyle31"/>
            <w:lang w:eastAsia="en-US"/>
          </w:rPr>
          <w:t>2021;</w:t>
        </w:r>
      </w:hyperlink>
      <w:hyperlink w:anchor="bookmark126" w:tooltip="Current Document" w:history="1">
        <w:r>
          <w:rPr>
            <w:rStyle w:val="CharStyle31"/>
            <w:lang w:eastAsia="en-US"/>
          </w:rPr>
          <w:t xml:space="preserve"> Muñoz Sabater, 2019)</w:t>
        </w:r>
      </w:hyperlink>
      <w:r>
        <w:rPr>
          <w:rStyle w:val="CharStyle31"/>
          <w:lang w:eastAsia="en-US"/>
        </w:rPr>
        <w:t xml:space="preserve"> data are available from the Copernicus Climate Data Store web portal</w:t>
      </w:r>
      <w:hyperlink r:id="rId33" w:history="1">
        <w:r>
          <w:rPr>
            <w:rStyle w:val="CharStyle31"/>
            <w:lang w:eastAsia="en-US"/>
          </w:rPr>
          <w:t xml:space="preserve"> https://cds.climate.copernicus.eu</w:t>
        </w:r>
      </w:hyperlink>
      <w:r>
        <w:rPr>
          <w:rStyle w:val="CharStyle31"/>
          <w:lang w:eastAsia="en-US"/>
        </w:rPr>
        <w:t xml:space="preserve"> (last access: March 2025). MSWEP </w:t>
      </w:r>
      <w:hyperlink w:anchor="bookmark58" w:tooltip="Current Document" w:history="1">
        <w:r>
          <w:rPr>
            <w:rStyle w:val="CharStyle31"/>
            <w:lang w:eastAsia="en-US"/>
          </w:rPr>
          <w:t>(Beck et al., 2019)</w:t>
        </w:r>
      </w:hyperlink>
      <w:r>
        <w:rPr>
          <w:rStyle w:val="CharStyle31"/>
          <w:lang w:eastAsia="en-US"/>
        </w:rPr>
        <w:t xml:space="preserve"> is avail</w:t>
      </w:r>
      <w:r>
        <w:rPr>
          <w:rStyle w:val="CharStyle31"/>
          <w:lang w:eastAsia="en-US"/>
        </w:rPr>
        <w:softHyphen/>
        <w:t>able at</w:t>
      </w:r>
      <w:hyperlink r:id="rId34" w:history="1">
        <w:r>
          <w:rPr>
            <w:rStyle w:val="CharStyle31"/>
            <w:lang w:eastAsia="en-US"/>
          </w:rPr>
          <w:t xml:space="preserve"> http://www.gloh2o.org/mswep/.</w:t>
        </w:r>
      </w:hyperlink>
      <w:r>
        <w:rPr>
          <w:rStyle w:val="CharStyle31"/>
          <w:lang w:eastAsia="en-US"/>
        </w:rPr>
        <w:t xml:space="preserve"> ESA-CCI-SM </w:t>
      </w:r>
      <w:hyperlink w:anchor="bookmark81" w:tooltip="Current Document" w:history="1">
        <w:r>
          <w:rPr>
            <w:rStyle w:val="CharStyle31"/>
            <w:lang w:eastAsia="en-US"/>
          </w:rPr>
          <w:t>(Gruber</w:t>
        </w:r>
      </w:hyperlink>
      <w:r>
        <w:rPr>
          <w:rStyle w:val="CharStyle31"/>
          <w:lang w:eastAsia="en-US"/>
        </w:rPr>
        <w:t xml:space="preserve"> </w:t>
      </w:r>
      <w:hyperlink w:anchor="bookmark81" w:tooltip="Current Document" w:history="1">
        <w:r>
          <w:rPr>
            <w:rStyle w:val="CharStyle31"/>
            <w:lang w:eastAsia="en-US"/>
          </w:rPr>
          <w:t>et al., 2019)</w:t>
        </w:r>
      </w:hyperlink>
      <w:r>
        <w:rPr>
          <w:rStyle w:val="CharStyle31"/>
          <w:lang w:eastAsia="en-US"/>
        </w:rPr>
        <w:t xml:space="preserve"> is available at</w:t>
      </w:r>
      <w:hyperlink r:id="rId35" w:history="1">
        <w:r>
          <w:rPr>
            <w:rStyle w:val="CharStyle31"/>
            <w:lang w:eastAsia="en-US"/>
          </w:rPr>
          <w:t xml:space="preserve"> https://catalogue.ceda.ac.uk/uuid/</w:t>
        </w:r>
      </w:hyperlink>
      <w:r>
        <w:rPr>
          <w:rStyle w:val="CharStyle31"/>
          <w:lang w:eastAsia="en-US"/>
        </w:rPr>
        <w:t xml:space="preserve"> </w:t>
      </w:r>
      <w:hyperlink r:id="rId36" w:history="1">
        <w:r>
          <w:rPr>
            <w:rStyle w:val="CharStyle31"/>
            <w:lang w:eastAsia="en-US"/>
          </w:rPr>
          <w:t>ff890589c21f4033803aa550f52c980c.</w:t>
        </w:r>
      </w:hyperlink>
      <w:r>
        <w:rPr>
          <w:rStyle w:val="CharStyle31"/>
          <w:lang w:eastAsia="en-US"/>
        </w:rPr>
        <w:t xml:space="preserve"> GLEAM </w:t>
      </w:r>
      <w:hyperlink w:anchor="bookmark110" w:tooltip="Current Document" w:history="1">
        <w:r>
          <w:rPr>
            <w:rStyle w:val="CharStyle31"/>
            <w:lang w:eastAsia="en-US"/>
          </w:rPr>
          <w:t>(Martens et al.,</w:t>
        </w:r>
      </w:hyperlink>
      <w:r>
        <w:rPr>
          <w:rStyle w:val="CharStyle31"/>
          <w:lang w:eastAsia="en-US"/>
        </w:rPr>
        <w:t xml:space="preserve"> </w:t>
      </w:r>
      <w:hyperlink w:anchor="bookmark110" w:tooltip="Current Document" w:history="1">
        <w:r>
          <w:rPr>
            <w:rStyle w:val="CharStyle31"/>
            <w:lang w:eastAsia="en-US"/>
          </w:rPr>
          <w:t>2017)</w:t>
        </w:r>
      </w:hyperlink>
      <w:r>
        <w:rPr>
          <w:rStyle w:val="CharStyle31"/>
          <w:lang w:eastAsia="en-US"/>
        </w:rPr>
        <w:t xml:space="preserve"> is available at</w:t>
      </w:r>
      <w:hyperlink r:id="rId37" w:history="1">
        <w:r>
          <w:rPr>
            <w:rStyle w:val="CharStyle31"/>
            <w:lang w:eastAsia="en-US"/>
          </w:rPr>
          <w:t xml:space="preserve"> https://www.gleam.eu/.</w:t>
        </w:r>
      </w:hyperlink>
      <w:r>
        <w:rPr>
          <w:rStyle w:val="CharStyle31"/>
          <w:lang w:eastAsia="en-US"/>
        </w:rPr>
        <w:t xml:space="preserve"> EUMETSAT CLARA- A3 </w:t>
      </w:r>
      <w:hyperlink w:anchor="bookmark86" w:tooltip="Current Document" w:history="1">
        <w:r>
          <w:rPr>
            <w:rStyle w:val="CharStyle31"/>
            <w:lang w:eastAsia="en-US"/>
          </w:rPr>
          <w:t>(Karlsson et al., 2023)</w:t>
        </w:r>
      </w:hyperlink>
      <w:r>
        <w:rPr>
          <w:rStyle w:val="CharStyle31"/>
          <w:lang w:eastAsia="en-US"/>
        </w:rPr>
        <w:t xml:space="preserve"> is available at</w:t>
      </w:r>
      <w:hyperlink r:id="rId38" w:history="1">
        <w:r>
          <w:rPr>
            <w:rStyle w:val="CharStyle31"/>
            <w:lang w:eastAsia="en-US"/>
          </w:rPr>
          <w:t xml:space="preserve"> https://wui.cmsaf.e</w:t>
        </w:r>
        <w:bookmarkStart w:id="25" w:name="bookmark47"/>
        <w:r>
          <w:rPr>
            <w:rStyle w:val="CharStyle31"/>
            <w:lang w:eastAsia="en-US"/>
          </w:rPr>
          <w:t>u</w:t>
        </w:r>
        <w:bookmarkEnd w:id="25"/>
        <w:r>
          <w:rPr>
            <w:rStyle w:val="CharStyle31"/>
            <w:lang w:eastAsia="en-US"/>
          </w:rPr>
          <w:t>/</w:t>
        </w:r>
      </w:hyperlink>
      <w:r>
        <w:rPr>
          <w:rStyle w:val="CharStyle31"/>
          <w:lang w:eastAsia="en-US"/>
        </w:rPr>
        <w:t xml:space="preserve"> </w:t>
      </w:r>
      <w:hyperlink r:id="rId39" w:history="1">
        <w:r>
          <w:rPr>
            <w:rStyle w:val="CharStyle31"/>
            <w:lang w:eastAsia="en-US"/>
          </w:rPr>
          <w:t xml:space="preserve">safira/action/viewProduktDetails?fid=40&amp;eid=22277_22492 </w:t>
        </w:r>
      </w:hyperlink>
      <w:r>
        <w:rPr>
          <w:rStyle w:val="CharStyle31"/>
          <w:lang w:eastAsia="en-US"/>
        </w:rPr>
        <w:t>(last access: March 2025; DOI:</w:t>
      </w:r>
      <w:hyperlink r:id="rId40" w:history="1">
        <w:r>
          <w:rPr>
            <w:rStyle w:val="CharStyle31"/>
            <w:lang w:eastAsia="en-US"/>
          </w:rPr>
          <w:t xml:space="preserve"> https://doi.org/10.5676/EUM_SAF_</w:t>
        </w:r>
      </w:hyperlink>
      <w:r>
        <w:rPr>
          <w:rStyle w:val="CharStyle31"/>
          <w:lang w:eastAsia="en-US"/>
        </w:rPr>
        <w:t xml:space="preserve"> </w:t>
      </w:r>
      <w:hyperlink r:id="rId41" w:history="1">
        <w:r>
          <w:rPr>
            <w:rStyle w:val="CharStyle31"/>
            <w:lang w:eastAsia="en-US"/>
          </w:rPr>
          <w:t>CM/CLARA_AVHRR/V003)</w:t>
        </w:r>
      </w:hyperlink>
      <w:r>
        <w:rPr>
          <w:rStyle w:val="CharStyle31"/>
          <w:lang w:eastAsia="en-US"/>
        </w:rPr>
        <w:t>. HydroSHEDS basins are available at</w:t>
      </w:r>
      <w:hyperlink r:id="rId42" w:history="1">
        <w:r>
          <w:rPr>
            <w:rStyle w:val="CharStyle31"/>
            <w:lang w:eastAsia="en-US"/>
          </w:rPr>
          <w:t xml:space="preserve"> https://www.hydrosheds.org/products/hydrobasins </w:t>
        </w:r>
      </w:hyperlink>
      <w:hyperlink w:anchor="bookmark95" w:tooltip="Current Document" w:history="1">
        <w:r>
          <w:rPr>
            <w:rStyle w:val="CharStyle31"/>
            <w:lang w:eastAsia="en-US"/>
          </w:rPr>
          <w:t>(Lehner a</w:t>
        </w:r>
        <w:bookmarkStart w:id="26" w:name="bookmark48"/>
        <w:r>
          <w:rPr>
            <w:rStyle w:val="CharStyle31"/>
            <w:lang w:eastAsia="en-US"/>
          </w:rPr>
          <w:t>n</w:t>
        </w:r>
        <w:bookmarkEnd w:id="26"/>
        <w:r>
          <w:rPr>
            <w:rStyle w:val="CharStyle31"/>
            <w:lang w:eastAsia="en-US"/>
          </w:rPr>
          <w:t>d</w:t>
        </w:r>
      </w:hyperlink>
      <w:r>
        <w:rPr>
          <w:rStyle w:val="CharStyle31"/>
          <w:lang w:eastAsia="en-US"/>
        </w:rPr>
        <w:t xml:space="preserve"> </w:t>
      </w:r>
      <w:hyperlink w:anchor="bookmark95" w:tooltip="Current Document" w:history="1">
        <w:r>
          <w:rPr>
            <w:rStyle w:val="CharStyle31"/>
            <w:lang w:eastAsia="en-US"/>
          </w:rPr>
          <w:t>Grill, 2013)</w:t>
        </w:r>
      </w:hyperlink>
      <w:r>
        <w:rPr>
          <w:rStyle w:val="CharStyle31"/>
          <w:lang w:eastAsia="en-US"/>
        </w:rPr>
        <w:t>.</w:t>
      </w:r>
    </w:p>
    <w:p w14:paraId="039AE113" w14:textId="77777777" w:rsidR="007857F3" w:rsidRDefault="007857F3">
      <w:pPr>
        <w:pStyle w:val="Style30"/>
        <w:spacing w:after="440" w:line="307" w:lineRule="auto"/>
        <w:ind w:left="0" w:firstLine="0"/>
        <w:jc w:val="both"/>
        <w:rPr>
          <w:rFonts w:ascii="Times New Roman" w:hAnsi="Times New Roman" w:cs="Times New Roman"/>
          <w:sz w:val="24"/>
          <w:szCs w:val="24"/>
        </w:rPr>
      </w:pPr>
      <w:bookmarkStart w:id="27" w:name="bookmark49"/>
      <w:r>
        <w:rPr>
          <w:rStyle w:val="CharStyle31"/>
          <w:i/>
          <w:iCs/>
          <w:sz w:val="14"/>
          <w:szCs w:val="14"/>
          <w:lang w:eastAsia="en-US"/>
        </w:rPr>
        <w:t>Supplement.</w:t>
      </w:r>
      <w:r>
        <w:rPr>
          <w:rStyle w:val="CharStyle31"/>
          <w:lang w:eastAsia="en-US"/>
        </w:rPr>
        <w:t xml:space="preserve"> The supplement related to this article is available on</w:t>
      </w:r>
      <w:r>
        <w:rPr>
          <w:rStyle w:val="CharStyle31"/>
          <w:lang w:eastAsia="en-US"/>
        </w:rPr>
        <w:softHyphen/>
        <w:t>line at</w:t>
      </w:r>
      <w:hyperlink r:id="rId43" w:history="1">
        <w:r>
          <w:rPr>
            <w:rStyle w:val="CharStyle31"/>
            <w:lang w:eastAsia="en-US"/>
          </w:rPr>
          <w:t xml:space="preserve"> https://doi.org/10.5194/hess-29-3277-2025-supplement.</w:t>
        </w:r>
        <w:bookmarkEnd w:id="27"/>
      </w:hyperlink>
    </w:p>
    <w:p w14:paraId="67B94A5A" w14:textId="77777777" w:rsidR="007857F3" w:rsidRDefault="007857F3">
      <w:pPr>
        <w:pStyle w:val="Style30"/>
        <w:spacing w:after="440"/>
        <w:ind w:left="0" w:firstLine="0"/>
        <w:jc w:val="both"/>
        <w:rPr>
          <w:rFonts w:ascii="Times New Roman" w:hAnsi="Times New Roman" w:cs="Times New Roman"/>
          <w:sz w:val="24"/>
          <w:szCs w:val="24"/>
        </w:rPr>
      </w:pPr>
      <w:bookmarkStart w:id="28" w:name="bookmark51"/>
      <w:r>
        <w:rPr>
          <w:rStyle w:val="CharStyle31"/>
          <w:i/>
          <w:iCs/>
          <w:sz w:val="14"/>
          <w:szCs w:val="14"/>
          <w:lang w:eastAsia="en-US"/>
        </w:rPr>
        <w:t>Author contributions.</w:t>
      </w:r>
      <w:r>
        <w:rPr>
          <w:rStyle w:val="CharStyle31"/>
          <w:lang w:eastAsia="en-US"/>
        </w:rPr>
        <w:t xml:space="preserve"> Conceptualisation: NDG and SB. Data cu</w:t>
      </w:r>
      <w:r>
        <w:rPr>
          <w:rStyle w:val="CharStyle31"/>
          <w:lang w:eastAsia="en-US"/>
        </w:rPr>
        <w:softHyphen/>
        <w:t>ration: NDG, ARF. Formal analysis: NDG. Funding acquisition: NDG, SB. Investigation: NDG, ARF, SB. Methodology: NDG, ARF, SB. Project administration: NDG, SB. Resources: SB. Soft</w:t>
      </w:r>
      <w:r>
        <w:rPr>
          <w:rStyle w:val="CharStyle31"/>
          <w:lang w:eastAsia="en-US"/>
        </w:rPr>
        <w:softHyphen/>
        <w:t>ware: NDG. Supervision: SB. Validation: NDG, ARF, SB. Visuali</w:t>
      </w:r>
      <w:r>
        <w:rPr>
          <w:rStyle w:val="CharStyle31"/>
          <w:lang w:eastAsia="en-US"/>
        </w:rPr>
        <w:softHyphen/>
        <w:t>sation: NDG. Writing – original draft: NDG. Writing – review and editing: NDG, ARF, SB.</w:t>
      </w:r>
      <w:bookmarkEnd w:id="28"/>
    </w:p>
    <w:p w14:paraId="4A663E3B" w14:textId="77777777" w:rsidR="007857F3" w:rsidRDefault="007857F3">
      <w:pPr>
        <w:pStyle w:val="Style30"/>
        <w:spacing w:after="440"/>
        <w:ind w:left="0" w:firstLine="0"/>
        <w:jc w:val="both"/>
        <w:rPr>
          <w:rFonts w:ascii="Times New Roman" w:hAnsi="Times New Roman" w:cs="Times New Roman"/>
          <w:sz w:val="24"/>
          <w:szCs w:val="24"/>
        </w:rPr>
      </w:pPr>
      <w:r>
        <w:rPr>
          <w:rStyle w:val="CharStyle31"/>
          <w:i/>
          <w:iCs/>
          <w:sz w:val="14"/>
          <w:szCs w:val="14"/>
          <w:lang w:eastAsia="en-US"/>
        </w:rPr>
        <w:t>Financial support.</w:t>
      </w:r>
      <w:r>
        <w:rPr>
          <w:rStyle w:val="CharStyle31"/>
          <w:lang w:eastAsia="en-US"/>
        </w:rPr>
        <w:t xml:space="preserve"> Nicolás Duque-Gardeazabal was supported by the Federal Commission for Scholarships for Foreign Students through the Swiss Government Excellence Scholarship (ESKAS no. 2022.0563) for the academic years 2022–2024. Andrew R. Fried</w:t>
      </w:r>
      <w:r>
        <w:rPr>
          <w:rStyle w:val="CharStyle31"/>
          <w:lang w:eastAsia="en-US"/>
        </w:rPr>
        <w:softHyphen/>
        <w:t>man was funded by the European Union’s Horizon 2020 research and innovation programme under Marie Sk</w:t>
      </w:r>
      <w:r>
        <w:rPr>
          <w:rStyle w:val="CharStyle31"/>
          <w:lang w:eastAsia="en-US"/>
        </w:rPr>
        <w:t>ł</w:t>
      </w:r>
      <w:r>
        <w:rPr>
          <w:rStyle w:val="CharStyle31"/>
          <w:lang w:eastAsia="en-US"/>
        </w:rPr>
        <w:t xml:space="preserve">odowska-Curie grant no. 894064 (AQUATIC). Stefan Brönnimann was funded by the Swiss National Science Foundation (grant </w:t>
      </w:r>
      <w:r>
        <w:rPr>
          <w:rStyle w:val="CharStyle31"/>
          <w:lang w:eastAsia="en-US"/>
        </w:rPr>
        <w:t>no. 10001375).</w:t>
      </w:r>
    </w:p>
    <w:p w14:paraId="4F6E279D" w14:textId="77777777" w:rsidR="007857F3" w:rsidRDefault="007857F3">
      <w:pPr>
        <w:pStyle w:val="Style30"/>
        <w:spacing w:after="640" w:line="307" w:lineRule="auto"/>
        <w:ind w:left="0" w:firstLine="0"/>
        <w:jc w:val="both"/>
        <w:rPr>
          <w:rFonts w:ascii="Times New Roman" w:hAnsi="Times New Roman" w:cs="Times New Roman"/>
          <w:sz w:val="24"/>
          <w:szCs w:val="24"/>
        </w:rPr>
      </w:pPr>
      <w:r>
        <w:rPr>
          <w:rStyle w:val="CharStyle31"/>
          <w:i/>
          <w:iCs/>
          <w:sz w:val="14"/>
          <w:szCs w:val="14"/>
          <w:lang w:eastAsia="en-US"/>
        </w:rPr>
        <w:t>Review statement.</w:t>
      </w:r>
      <w:r>
        <w:rPr>
          <w:rStyle w:val="CharStyle31"/>
          <w:lang w:eastAsia="en-US"/>
        </w:rPr>
        <w:t xml:space="preserve"> This paper was edited by Miriam Coenders- Gerrits and reviewed by two anonymous referees.</w:t>
      </w:r>
    </w:p>
    <w:p w14:paraId="4FF28521" w14:textId="77777777" w:rsidR="007857F3" w:rsidRDefault="007857F3">
      <w:pPr>
        <w:pStyle w:val="Style16"/>
        <w:keepNext/>
        <w:keepLines/>
        <w:spacing w:after="220" w:line="240" w:lineRule="auto"/>
        <w:jc w:val="both"/>
        <w:rPr>
          <w:rFonts w:ascii="Times New Roman" w:hAnsi="Times New Roman" w:cs="Times New Roman"/>
          <w:sz w:val="24"/>
          <w:szCs w:val="24"/>
        </w:rPr>
      </w:pPr>
      <w:bookmarkStart w:id="29" w:name="bookmark55"/>
      <w:r>
        <w:rPr>
          <w:rStyle w:val="CharStyle17"/>
          <w:lang w:eastAsia="en-US"/>
        </w:rPr>
        <w:t>References</w:t>
      </w:r>
      <w:bookmarkEnd w:id="29"/>
    </w:p>
    <w:p w14:paraId="25EA2DB0" w14:textId="77777777" w:rsidR="007857F3" w:rsidRDefault="007857F3">
      <w:pPr>
        <w:pStyle w:val="Style30"/>
        <w:jc w:val="both"/>
        <w:rPr>
          <w:rFonts w:ascii="Times New Roman" w:hAnsi="Times New Roman" w:cs="Times New Roman"/>
          <w:sz w:val="24"/>
          <w:szCs w:val="24"/>
        </w:rPr>
      </w:pPr>
      <w:r>
        <w:rPr>
          <w:rStyle w:val="CharStyle31"/>
          <w:lang w:eastAsia="en-US"/>
        </w:rPr>
        <w:t>Arias, P. A., Martínez, J. A., and Vieira, S. C.: Mois</w:t>
      </w:r>
      <w:r>
        <w:rPr>
          <w:rStyle w:val="CharStyle31"/>
          <w:lang w:eastAsia="en-US"/>
        </w:rPr>
        <w:softHyphen/>
        <w:t xml:space="preserve">ture sources to the 2010–2012 anomalous wet season in northern South America, Clim. Dynam., 45, 2861–2884, </w:t>
      </w:r>
      <w:hyperlink r:id="rId44" w:history="1">
        <w:r>
          <w:rPr>
            <w:rStyle w:val="CharStyle31"/>
            <w:lang w:eastAsia="en-US"/>
          </w:rPr>
          <w:t>https://doi.org/10.1007/s00382-015-2511-7,</w:t>
        </w:r>
      </w:hyperlink>
      <w:r>
        <w:rPr>
          <w:rStyle w:val="CharStyle31"/>
          <w:lang w:eastAsia="en-US"/>
        </w:rPr>
        <w:t xml:space="preserve"> 2015.</w:t>
      </w:r>
    </w:p>
    <w:p w14:paraId="23E78597" w14:textId="77777777" w:rsidR="007857F3" w:rsidRDefault="007857F3">
      <w:pPr>
        <w:pStyle w:val="Style30"/>
        <w:jc w:val="both"/>
        <w:rPr>
          <w:rFonts w:ascii="Times New Roman" w:hAnsi="Times New Roman" w:cs="Times New Roman"/>
          <w:sz w:val="24"/>
          <w:szCs w:val="24"/>
        </w:rPr>
      </w:pPr>
      <w:r>
        <w:rPr>
          <w:rStyle w:val="CharStyle31"/>
          <w:lang w:eastAsia="en-US"/>
        </w:rPr>
        <w:t>Arias, P. A., Martínez, J. A., Mejía, J. D., Pazos, M. J., Espinoza, J. C., and Wongchuig-Correa, S.: Changes in Normalized Differ</w:t>
      </w:r>
      <w:r>
        <w:rPr>
          <w:rStyle w:val="CharStyle31"/>
          <w:lang w:eastAsia="en-US"/>
        </w:rPr>
        <w:softHyphen/>
        <w:t xml:space="preserve">ence Vegetation Index in the Orinoco and Amazon River Basins: Links to Tropical Atlantic Surface Temperatures, J. Climate, 33, 8537–8559, </w:t>
      </w:r>
      <w:hyperlink r:id="rId45" w:history="1">
        <w:r>
          <w:rPr>
            <w:rStyle w:val="CharStyle31"/>
            <w:lang w:eastAsia="en-US"/>
          </w:rPr>
          <w:t>https://doi.org/10.1175/JCLI-D-19-0696.1,</w:t>
        </w:r>
      </w:hyperlink>
      <w:r>
        <w:rPr>
          <w:rStyle w:val="CharStyle31"/>
          <w:lang w:eastAsia="en-US"/>
        </w:rPr>
        <w:t xml:space="preserve"> 2020.</w:t>
      </w:r>
    </w:p>
    <w:p w14:paraId="03FCC4BB" w14:textId="77777777" w:rsidR="007857F3" w:rsidRDefault="007857F3">
      <w:pPr>
        <w:pStyle w:val="Style30"/>
        <w:jc w:val="both"/>
        <w:rPr>
          <w:rFonts w:ascii="Times New Roman" w:hAnsi="Times New Roman" w:cs="Times New Roman"/>
          <w:sz w:val="24"/>
          <w:szCs w:val="24"/>
        </w:rPr>
      </w:pPr>
      <w:r>
        <w:rPr>
          <w:rStyle w:val="CharStyle31"/>
          <w:lang w:eastAsia="en-US"/>
        </w:rPr>
        <w:t>Arias, P. A., Garreaud, R., Poveda, G., Espinoza, J. C., Molina- Carpio, J., Masiokas, M., Viale, M., Scaff, L., and van Oeve- len, P. J.: Hydroclimate of the Andes Part II: Hydroclimate Vari</w:t>
      </w:r>
      <w:r>
        <w:rPr>
          <w:rStyle w:val="CharStyle31"/>
          <w:lang w:eastAsia="en-US"/>
        </w:rPr>
        <w:softHyphen/>
        <w:t xml:space="preserve">ability and Sub-Continental Patterns, Front. Earth Sci., 8, 1–25, </w:t>
      </w:r>
      <w:hyperlink r:id="rId46" w:history="1">
        <w:r>
          <w:rPr>
            <w:rStyle w:val="CharStyle31"/>
            <w:lang w:eastAsia="en-US"/>
          </w:rPr>
          <w:t>https://doi.org/10.3389/feart.2020.505467,</w:t>
        </w:r>
      </w:hyperlink>
      <w:r>
        <w:rPr>
          <w:rStyle w:val="CharStyle31"/>
          <w:lang w:eastAsia="en-US"/>
        </w:rPr>
        <w:t xml:space="preserve"> 2021.</w:t>
      </w:r>
    </w:p>
    <w:p w14:paraId="1313E95E" w14:textId="77777777" w:rsidR="007857F3" w:rsidRDefault="007857F3">
      <w:pPr>
        <w:pStyle w:val="Style30"/>
        <w:spacing w:after="440"/>
        <w:jc w:val="both"/>
        <w:rPr>
          <w:rFonts w:ascii="Times New Roman" w:hAnsi="Times New Roman" w:cs="Times New Roman"/>
          <w:sz w:val="24"/>
          <w:szCs w:val="24"/>
        </w:rPr>
      </w:pPr>
      <w:r>
        <w:rPr>
          <w:rStyle w:val="CharStyle31"/>
          <w:lang w:eastAsia="en-US"/>
        </w:rPr>
        <w:t>Baker, J. C. A., Garcia-Carreras, L., Gloor, M., Marsham, J. H., Buermann, W., da Rocha, H. R., Nobre, A. D., de Araujo, A. C., and Spracklen, D. V.: Evapotranspiration in the Amazon: spatial patterns, seasonality, and recent trends in observations, reanaly</w:t>
      </w:r>
      <w:r>
        <w:rPr>
          <w:rStyle w:val="CharStyle31"/>
          <w:lang w:eastAsia="en-US"/>
        </w:rPr>
        <w:softHyphen/>
        <w:t xml:space="preserve">sis, and climate models, Hydrol. Earth Syst. Sci., 25, 2279–2300, </w:t>
      </w:r>
      <w:hyperlink r:id="rId47" w:history="1">
        <w:r>
          <w:rPr>
            <w:rStyle w:val="CharStyle31"/>
            <w:lang w:eastAsia="en-US"/>
          </w:rPr>
          <w:t>https://doi.org/10.5194/hess-25-2279-2021,</w:t>
        </w:r>
      </w:hyperlink>
      <w:r>
        <w:rPr>
          <w:rStyle w:val="CharStyle31"/>
          <w:lang w:eastAsia="en-US"/>
        </w:rPr>
        <w:t xml:space="preserve"> 2021.</w:t>
      </w:r>
    </w:p>
    <w:p w14:paraId="7DEC6DCC" w14:textId="77777777" w:rsidR="007857F3" w:rsidRDefault="007857F3">
      <w:pPr>
        <w:pStyle w:val="Style30"/>
        <w:jc w:val="both"/>
        <w:rPr>
          <w:rFonts w:ascii="Times New Roman" w:hAnsi="Times New Roman" w:cs="Times New Roman"/>
          <w:sz w:val="24"/>
          <w:szCs w:val="24"/>
        </w:rPr>
      </w:pPr>
      <w:bookmarkStart w:id="30" w:name="bookmark57"/>
      <w:bookmarkStart w:id="31" w:name="bookmark58"/>
      <w:bookmarkStart w:id="32" w:name="bookmark59"/>
      <w:r>
        <w:rPr>
          <w:rStyle w:val="CharStyle31"/>
          <w:lang w:eastAsia="en-US"/>
        </w:rPr>
        <w:t>Beck, H. E., Wood, E. F., Pan, M., Fisher, C. K., Mi- ralles, D. G., van Dijk, A. I. J. M., McVicar, T. R., and Adler, R. F.: MSWEP V2 Global 3-Hourly 0.1° Precipita</w:t>
      </w:r>
      <w:r>
        <w:rPr>
          <w:rStyle w:val="CharStyle31"/>
          <w:lang w:eastAsia="en-US"/>
        </w:rPr>
        <w:softHyphen/>
        <w:t xml:space="preserve">tion: Methodology and Quantitative Assessment, B. Am. Mete- orol. Soc., 100, 473–500, </w:t>
      </w:r>
      <w:hyperlink r:id="rId48" w:history="1">
        <w:r>
          <w:rPr>
            <w:rStyle w:val="CharStyle31"/>
            <w:lang w:eastAsia="en-US"/>
          </w:rPr>
          <w:t>https://doi.org/10.1175/BAMS-D-17- 0138.1,</w:t>
        </w:r>
      </w:hyperlink>
      <w:r>
        <w:rPr>
          <w:rStyle w:val="CharStyle31"/>
          <w:lang w:eastAsia="en-US"/>
        </w:rPr>
        <w:t xml:space="preserve"> 2019 (data available at:</w:t>
      </w:r>
      <w:hyperlink r:id="rId49" w:history="1">
        <w:r>
          <w:rPr>
            <w:rStyle w:val="CharStyle31"/>
            <w:lang w:eastAsia="en-US"/>
          </w:rPr>
          <w:t xml:space="preserve"> http://www.gloh2o.org/mswep/,</w:t>
        </w:r>
      </w:hyperlink>
      <w:r>
        <w:rPr>
          <w:rStyle w:val="CharStyle31"/>
          <w:lang w:eastAsia="en-US"/>
        </w:rPr>
        <w:t xml:space="preserve"> last access: March 2025).</w:t>
      </w:r>
      <w:bookmarkEnd w:id="30"/>
      <w:bookmarkEnd w:id="31"/>
      <w:bookmarkEnd w:id="32"/>
    </w:p>
    <w:p w14:paraId="723D2337" w14:textId="77777777" w:rsidR="007857F3" w:rsidRDefault="007857F3">
      <w:pPr>
        <w:pStyle w:val="Style30"/>
        <w:jc w:val="both"/>
        <w:rPr>
          <w:rFonts w:ascii="Times New Roman" w:hAnsi="Times New Roman" w:cs="Times New Roman"/>
          <w:sz w:val="24"/>
          <w:szCs w:val="24"/>
        </w:rPr>
      </w:pPr>
      <w:bookmarkStart w:id="33" w:name="bookmark60"/>
      <w:bookmarkStart w:id="34" w:name="bookmark61"/>
      <w:bookmarkStart w:id="35" w:name="bookmark62"/>
      <w:r>
        <w:rPr>
          <w:rStyle w:val="CharStyle31"/>
          <w:lang w:eastAsia="en-US"/>
        </w:rPr>
        <w:t xml:space="preserve">Beck, H. E., Pan, M., Miralles, D. G., Reichle, R. H., Dorigo, W. A., Hahn, S., Sheffield, J., Karthikeyan, L., Balsamo, G., Parinussa, R. M., van Dijk, A. I. J. M., Du, J., Kimball, J. S., Vergopolan, N., and Wood, E. F.: Evaluation of 18 satellite- and model-based soil moisture products using in situ measurements from 826 sensors, Hydrol. Earth Syst. Sci., 25, 17–40, </w:t>
      </w:r>
      <w:hyperlink r:id="rId50" w:history="1">
        <w:r>
          <w:rPr>
            <w:rStyle w:val="CharStyle31"/>
            <w:lang w:eastAsia="en-US"/>
          </w:rPr>
          <w:t>https://doi.org/10.5194/hess- 25-17-2021,</w:t>
        </w:r>
      </w:hyperlink>
      <w:r>
        <w:rPr>
          <w:rStyle w:val="CharStyle31"/>
          <w:lang w:eastAsia="en-US"/>
        </w:rPr>
        <w:t xml:space="preserve"> 2021.</w:t>
      </w:r>
      <w:bookmarkEnd w:id="33"/>
      <w:bookmarkEnd w:id="34"/>
      <w:bookmarkEnd w:id="35"/>
    </w:p>
    <w:p w14:paraId="2E7CFBC7" w14:textId="77777777" w:rsidR="007857F3" w:rsidRDefault="007857F3">
      <w:pPr>
        <w:pStyle w:val="Style30"/>
        <w:jc w:val="both"/>
        <w:rPr>
          <w:rFonts w:ascii="Times New Roman" w:hAnsi="Times New Roman" w:cs="Times New Roman"/>
          <w:sz w:val="24"/>
          <w:szCs w:val="24"/>
        </w:rPr>
      </w:pPr>
      <w:bookmarkStart w:id="36" w:name="bookmark63"/>
      <w:bookmarkStart w:id="37" w:name="bookmark64"/>
      <w:r>
        <w:rPr>
          <w:rStyle w:val="CharStyle31"/>
          <w:lang w:eastAsia="en-US"/>
        </w:rPr>
        <w:lastRenderedPageBreak/>
        <w:t>Brönnimann, S., Fischer,</w:t>
      </w:r>
      <w:r>
        <w:rPr>
          <w:rStyle w:val="CharStyle31"/>
          <w:lang w:eastAsia="en-US"/>
        </w:rPr>
        <w:t xml:space="preserve"> A. M., Rozanov, E., Poli, P., Compo, G. P., and Sardeshmukh, P. D.: Southward shift of the north</w:t>
      </w:r>
      <w:r>
        <w:rPr>
          <w:rStyle w:val="CharStyle31"/>
          <w:lang w:eastAsia="en-US"/>
        </w:rPr>
        <w:softHyphen/>
        <w:t xml:space="preserve">ern tropical belt from 1945 to 1980, Nat. Geosci., 8, 969–974, </w:t>
      </w:r>
      <w:hyperlink r:id="rId51" w:history="1">
        <w:r>
          <w:rPr>
            <w:rStyle w:val="CharStyle31"/>
            <w:lang w:eastAsia="en-US"/>
          </w:rPr>
          <w:t>https://doi.org/10.1038/ngeo2568,</w:t>
        </w:r>
      </w:hyperlink>
      <w:r>
        <w:rPr>
          <w:rStyle w:val="CharStyle31"/>
          <w:lang w:eastAsia="en-US"/>
        </w:rPr>
        <w:t xml:space="preserve"> 2015.</w:t>
      </w:r>
      <w:bookmarkEnd w:id="36"/>
      <w:bookmarkEnd w:id="37"/>
    </w:p>
    <w:p w14:paraId="0BD3D272" w14:textId="77777777" w:rsidR="007857F3" w:rsidRDefault="007857F3">
      <w:pPr>
        <w:pStyle w:val="Style30"/>
        <w:jc w:val="both"/>
        <w:rPr>
          <w:rFonts w:ascii="Times New Roman" w:hAnsi="Times New Roman" w:cs="Times New Roman"/>
          <w:sz w:val="24"/>
          <w:szCs w:val="24"/>
        </w:rPr>
      </w:pPr>
      <w:bookmarkStart w:id="38" w:name="bookmark65"/>
      <w:bookmarkStart w:id="39" w:name="bookmark66"/>
      <w:r>
        <w:rPr>
          <w:rStyle w:val="CharStyle31"/>
          <w:lang w:eastAsia="en-US"/>
        </w:rPr>
        <w:t xml:space="preserve">Cai, W., Wu, L., Lengaigne, M., Li, T., McGregor, S., Kug, J. S., Yu, J. Y., Stuecker, M. F., Santoso, A., Li, X., Ham, Y. G., Chikamoto, Y., Ng, B., McPhaden, M. J., Du, Y., Dom- menget, D., Jia, F., Kajtar, J. B., Keenlyside, N., Lin, X., Luo, J. J., Martín-Rey, M., Ruprich-Robert, Y., Wang, </w:t>
      </w:r>
      <w:bookmarkStart w:id="40" w:name="bookmark67"/>
      <w:r>
        <w:rPr>
          <w:rStyle w:val="CharStyle31"/>
          <w:lang w:eastAsia="en-US"/>
        </w:rPr>
        <w:t>G</w:t>
      </w:r>
      <w:bookmarkEnd w:id="40"/>
      <w:r>
        <w:rPr>
          <w:rStyle w:val="CharStyle31"/>
          <w:lang w:eastAsia="en-US"/>
        </w:rPr>
        <w:t xml:space="preserve">., Xie, S. P., Yang, Y., Kang, S. M., Choi, J. Y., Gan, B., Kim, G. I., Kim, C. E., Kim, S., Kim, J. H., and Chang, P.: Pantropical climate interactions, Science, 363, eaav4236, </w:t>
      </w:r>
      <w:hyperlink r:id="rId52" w:history="1">
        <w:r>
          <w:rPr>
            <w:rStyle w:val="CharStyle31"/>
            <w:lang w:eastAsia="en-US"/>
          </w:rPr>
          <w:t>https://doi.org/10.1126/science.aav4236,</w:t>
        </w:r>
      </w:hyperlink>
      <w:r>
        <w:rPr>
          <w:rStyle w:val="CharStyle31"/>
          <w:lang w:eastAsia="en-US"/>
        </w:rPr>
        <w:t xml:space="preserve"> 2019.</w:t>
      </w:r>
      <w:bookmarkEnd w:id="38"/>
      <w:bookmarkEnd w:id="39"/>
    </w:p>
    <w:p w14:paraId="583D0806" w14:textId="77777777" w:rsidR="007857F3" w:rsidRDefault="007857F3">
      <w:pPr>
        <w:pStyle w:val="Style30"/>
        <w:jc w:val="both"/>
        <w:rPr>
          <w:rFonts w:ascii="Times New Roman" w:hAnsi="Times New Roman" w:cs="Times New Roman"/>
          <w:sz w:val="24"/>
          <w:szCs w:val="24"/>
        </w:rPr>
      </w:pPr>
      <w:bookmarkStart w:id="41" w:name="bookmark68"/>
      <w:bookmarkStart w:id="42" w:name="bookmark69"/>
      <w:bookmarkStart w:id="43" w:name="bookmark70"/>
      <w:r>
        <w:rPr>
          <w:rStyle w:val="CharStyle31"/>
          <w:lang w:eastAsia="en-US"/>
        </w:rPr>
        <w:t>Cai, W., McPhaden, M. J., Grimm, A. M., Rodrigues, R. R., Taschetto, A. S., Garreaud, R. D., Dewitte, B., Poveda, G., Ham, Y. G., Santoso, A., Ng, B., Anderson, W., Wang, G., Geng, T., Jo, H. S., Marengo, J. A., Alves, L. M., Osman, M., Li, S., Wu, L., Karamperidou, C., Takahashi, K., and Vera, C.: Cli</w:t>
      </w:r>
      <w:r>
        <w:rPr>
          <w:rStyle w:val="CharStyle31"/>
          <w:lang w:eastAsia="en-US"/>
        </w:rPr>
        <w:softHyphen/>
        <w:t xml:space="preserve">mate impacts of the El Niño–Southern Oscillation on South America, Nature Reviews Earth and Environment, 1, 215–231, </w:t>
      </w:r>
      <w:hyperlink r:id="rId53" w:history="1">
        <w:r>
          <w:rPr>
            <w:rStyle w:val="CharStyle31"/>
            <w:lang w:eastAsia="en-US"/>
          </w:rPr>
          <w:t>https://doi.org/10.1038/s43017-020-0040-3,</w:t>
        </w:r>
      </w:hyperlink>
      <w:r>
        <w:rPr>
          <w:rStyle w:val="CharStyle31"/>
          <w:lang w:eastAsia="en-US"/>
        </w:rPr>
        <w:t xml:space="preserve"> 2020.</w:t>
      </w:r>
      <w:bookmarkEnd w:id="41"/>
      <w:bookmarkEnd w:id="42"/>
      <w:bookmarkEnd w:id="43"/>
    </w:p>
    <w:p w14:paraId="3869B941" w14:textId="77777777" w:rsidR="007857F3" w:rsidRDefault="007857F3">
      <w:pPr>
        <w:pStyle w:val="Style30"/>
        <w:jc w:val="both"/>
        <w:rPr>
          <w:rFonts w:ascii="Times New Roman" w:hAnsi="Times New Roman" w:cs="Times New Roman"/>
          <w:sz w:val="24"/>
          <w:szCs w:val="24"/>
        </w:rPr>
      </w:pPr>
      <w:bookmarkStart w:id="44" w:name="bookmark71"/>
      <w:r>
        <w:rPr>
          <w:rStyle w:val="CharStyle31"/>
          <w:lang w:eastAsia="en-US"/>
        </w:rPr>
        <w:t>Casselman, J. W., Lübbecke, J. F., Bayr, T., Huo, W., Wahl, S., and Domeisen, D. I. V.: The teleconnection of extreme El Niño– Southern Oscillation (ENSO) events to the tropical North At</w:t>
      </w:r>
      <w:r>
        <w:rPr>
          <w:rStyle w:val="CharStyle31"/>
          <w:lang w:eastAsia="en-US"/>
        </w:rPr>
        <w:softHyphen/>
        <w:t xml:space="preserve">lantic in coupled climate models, Weather Clim. Dynam., 4, 471– 487, </w:t>
      </w:r>
      <w:hyperlink r:id="rId54" w:history="1">
        <w:r>
          <w:rPr>
            <w:rStyle w:val="CharStyle31"/>
            <w:lang w:eastAsia="en-US"/>
          </w:rPr>
          <w:t>https://doi.org/10.5194/wcd-4-471-2023,</w:t>
        </w:r>
      </w:hyperlink>
      <w:r>
        <w:rPr>
          <w:rStyle w:val="CharStyle31"/>
          <w:lang w:eastAsia="en-US"/>
        </w:rPr>
        <w:t xml:space="preserve"> 2023.</w:t>
      </w:r>
      <w:bookmarkEnd w:id="44"/>
    </w:p>
    <w:p w14:paraId="4AF4BBBE" w14:textId="77777777" w:rsidR="007857F3" w:rsidRDefault="007857F3">
      <w:pPr>
        <w:pStyle w:val="Style30"/>
        <w:jc w:val="both"/>
        <w:rPr>
          <w:rFonts w:ascii="Times New Roman" w:hAnsi="Times New Roman" w:cs="Times New Roman"/>
          <w:sz w:val="24"/>
          <w:szCs w:val="24"/>
        </w:rPr>
      </w:pPr>
      <w:bookmarkStart w:id="45" w:name="bookmark72"/>
      <w:bookmarkStart w:id="46" w:name="bookmark73"/>
      <w:r>
        <w:rPr>
          <w:rStyle w:val="CharStyle31"/>
          <w:lang w:eastAsia="en-US"/>
        </w:rPr>
        <w:t>Chang, P., Fang, Y., Saravanan, R., Ji, L., and Seidel, H.: The cause of the fragile relationship between the Pa</w:t>
      </w:r>
      <w:r>
        <w:rPr>
          <w:rStyle w:val="CharStyle31"/>
          <w:lang w:eastAsia="en-US"/>
        </w:rPr>
        <w:softHyphen/>
        <w:t>cific El N˜</w:t>
      </w:r>
      <w:r>
        <w:rPr>
          <w:rStyle w:val="CharStyle31"/>
          <w:lang w:eastAsia="en-US"/>
        </w:rPr>
        <w:t>ı</w:t>
      </w:r>
      <w:r>
        <w:rPr>
          <w:rStyle w:val="CharStyle31"/>
          <w:lang w:eastAsia="en-US"/>
        </w:rPr>
        <w:t>o and the Atlantic N˜</w:t>
      </w:r>
      <w:r>
        <w:rPr>
          <w:rStyle w:val="CharStyle31"/>
          <w:lang w:eastAsia="en-US"/>
        </w:rPr>
        <w:t>ı</w:t>
      </w:r>
      <w:r>
        <w:rPr>
          <w:rStyle w:val="CharStyle31"/>
          <w:lang w:eastAsia="en-US"/>
        </w:rPr>
        <w:t xml:space="preserve">o, Nature, 443, 324–328, </w:t>
      </w:r>
      <w:hyperlink r:id="rId55" w:history="1">
        <w:r>
          <w:rPr>
            <w:rStyle w:val="CharStyle31"/>
            <w:lang w:eastAsia="en-US"/>
          </w:rPr>
          <w:t>https://doi.org/10.1038/nature05053,</w:t>
        </w:r>
      </w:hyperlink>
      <w:r>
        <w:rPr>
          <w:rStyle w:val="CharStyle31"/>
          <w:lang w:eastAsia="en-US"/>
        </w:rPr>
        <w:t xml:space="preserve"> 2006.</w:t>
      </w:r>
      <w:bookmarkEnd w:id="45"/>
      <w:bookmarkEnd w:id="46"/>
    </w:p>
    <w:p w14:paraId="29D34CA7" w14:textId="77777777" w:rsidR="007857F3" w:rsidRDefault="007857F3">
      <w:pPr>
        <w:pStyle w:val="Style30"/>
        <w:jc w:val="both"/>
        <w:rPr>
          <w:rFonts w:ascii="Times New Roman" w:hAnsi="Times New Roman" w:cs="Times New Roman"/>
          <w:sz w:val="24"/>
          <w:szCs w:val="24"/>
        </w:rPr>
      </w:pPr>
      <w:bookmarkStart w:id="47" w:name="bookmark74"/>
      <w:bookmarkStart w:id="48" w:name="bookmark75"/>
      <w:bookmarkStart w:id="49" w:name="bookmark76"/>
      <w:r>
        <w:rPr>
          <w:rStyle w:val="CharStyle31"/>
          <w:lang w:eastAsia="en-US"/>
        </w:rPr>
        <w:t>Chiang, J. C., Kushnir, Y., and Giannini, A.: Deconstructing At</w:t>
      </w:r>
      <w:r>
        <w:rPr>
          <w:rStyle w:val="CharStyle31"/>
          <w:lang w:eastAsia="en-US"/>
        </w:rPr>
        <w:softHyphen/>
        <w:t xml:space="preserve">lantic Intertropical Convergence Zone variability: Influence of the local cross-equatorial sea surface temperature gradient and remote forcing from the Eastern Equatorial Pacific, J. Geophys. Res.-Atmos., 107, </w:t>
      </w:r>
      <w:hyperlink r:id="rId56" w:history="1">
        <w:r>
          <w:rPr>
            <w:rStyle w:val="CharStyle31"/>
            <w:lang w:eastAsia="en-US"/>
          </w:rPr>
          <w:t>https://doi.org/10.1029/2000jd000307,</w:t>
        </w:r>
      </w:hyperlink>
      <w:r>
        <w:rPr>
          <w:rStyle w:val="CharStyle31"/>
          <w:lang w:eastAsia="en-US"/>
        </w:rPr>
        <w:t xml:space="preserve"> 2002.</w:t>
      </w:r>
      <w:bookmarkEnd w:id="47"/>
      <w:bookmarkEnd w:id="48"/>
      <w:bookmarkEnd w:id="49"/>
    </w:p>
    <w:p w14:paraId="2A307A56" w14:textId="77777777" w:rsidR="007857F3" w:rsidRDefault="007857F3">
      <w:pPr>
        <w:pStyle w:val="Style30"/>
        <w:jc w:val="both"/>
        <w:rPr>
          <w:rFonts w:ascii="Times New Roman" w:hAnsi="Times New Roman" w:cs="Times New Roman"/>
          <w:sz w:val="24"/>
          <w:szCs w:val="24"/>
        </w:rPr>
      </w:pPr>
      <w:bookmarkStart w:id="50" w:name="bookmark77"/>
      <w:r>
        <w:rPr>
          <w:rStyle w:val="CharStyle31"/>
          <w:lang w:eastAsia="en-US"/>
        </w:rPr>
        <w:t xml:space="preserve">Compo, G. P. and Sardeshmukh, P. D.: Removing ENSO-related variations from the climate record, J. Climate, 23, 1957–1978, </w:t>
      </w:r>
      <w:hyperlink r:id="rId57" w:history="1">
        <w:r>
          <w:rPr>
            <w:rStyle w:val="CharStyle31"/>
            <w:lang w:eastAsia="en-US"/>
          </w:rPr>
          <w:t>https://doi.org/10.1175/2009JCLI2735.1,</w:t>
        </w:r>
      </w:hyperlink>
      <w:r>
        <w:rPr>
          <w:rStyle w:val="CharStyle31"/>
          <w:lang w:eastAsia="en-US"/>
        </w:rPr>
        <w:t xml:space="preserve"> 2010.</w:t>
      </w:r>
      <w:bookmarkEnd w:id="50"/>
    </w:p>
    <w:p w14:paraId="20D1FCA7" w14:textId="77777777" w:rsidR="007857F3" w:rsidRDefault="007857F3">
      <w:pPr>
        <w:pStyle w:val="Style30"/>
        <w:jc w:val="both"/>
        <w:rPr>
          <w:rFonts w:ascii="Times New Roman" w:hAnsi="Times New Roman" w:cs="Times New Roman"/>
          <w:sz w:val="24"/>
          <w:szCs w:val="24"/>
        </w:rPr>
      </w:pPr>
      <w:bookmarkStart w:id="51" w:name="bookmark78"/>
      <w:bookmarkStart w:id="52" w:name="bookmark79"/>
      <w:r>
        <w:rPr>
          <w:rStyle w:val="CharStyle31"/>
          <w:lang w:eastAsia="en-US"/>
        </w:rPr>
        <w:t xml:space="preserve">D’Acunha, B., Dalmagro, H., Zanella de Arruda, P., Biudes, M., </w:t>
      </w:r>
      <w:r>
        <w:rPr>
          <w:rStyle w:val="CharStyle31"/>
          <w:lang w:val="it-IT" w:eastAsia="it-IT"/>
        </w:rPr>
        <w:t xml:space="preserve">Lathuillière, </w:t>
      </w:r>
      <w:r>
        <w:rPr>
          <w:rStyle w:val="CharStyle31"/>
          <w:lang w:eastAsia="en-US"/>
        </w:rPr>
        <w:t xml:space="preserve">M., Uribe, M., Couto, E., Brando, P., Vourlitis, G., and Johnson, M.: Changes in evapotranspiration, transpiration and evaporation across natural and managed landscapes in the Amazon, Cerrado and Pantanal biomes, Agr. Forest Meteorol., 346, 109875, </w:t>
      </w:r>
      <w:hyperlink r:id="rId58" w:history="1">
        <w:r>
          <w:rPr>
            <w:rStyle w:val="CharStyle31"/>
            <w:lang w:eastAsia="en-US"/>
          </w:rPr>
          <w:t>https://doi.org/10.1016/j.agrformet.2023.109875,</w:t>
        </w:r>
      </w:hyperlink>
      <w:r>
        <w:rPr>
          <w:rStyle w:val="CharStyle31"/>
          <w:lang w:eastAsia="en-US"/>
        </w:rPr>
        <w:t xml:space="preserve"> 2024.</w:t>
      </w:r>
      <w:bookmarkEnd w:id="51"/>
      <w:bookmarkEnd w:id="52"/>
    </w:p>
    <w:p w14:paraId="32D64A1E"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Dominguez, F., Eiras-Barca, J., Yang, Z., Bock, D., Nieto, R., and Gimeno, L.: Amazonian Moisture Recycling Revisited Using WRF With Water Vapor Tracers, J. Geophys. Res.-Atmos., 127, e2021JD035259, </w:t>
      </w:r>
      <w:hyperlink r:id="rId59" w:history="1">
        <w:r>
          <w:rPr>
            <w:rStyle w:val="CharStyle31"/>
            <w:lang w:eastAsia="en-US"/>
          </w:rPr>
          <w:t>https://doi.org/10.1029/2021JD035259,</w:t>
        </w:r>
      </w:hyperlink>
      <w:r>
        <w:rPr>
          <w:rStyle w:val="CharStyle31"/>
          <w:lang w:eastAsia="en-US"/>
        </w:rPr>
        <w:t xml:space="preserve"> 2022.</w:t>
      </w:r>
    </w:p>
    <w:p w14:paraId="61E62442" w14:textId="77777777" w:rsidR="007857F3" w:rsidRDefault="007857F3">
      <w:pPr>
        <w:pStyle w:val="Style30"/>
        <w:jc w:val="both"/>
        <w:rPr>
          <w:rFonts w:ascii="Times New Roman" w:hAnsi="Times New Roman" w:cs="Times New Roman"/>
          <w:sz w:val="24"/>
          <w:szCs w:val="24"/>
        </w:rPr>
      </w:pPr>
      <w:r>
        <w:rPr>
          <w:rStyle w:val="CharStyle31"/>
          <w:lang w:eastAsia="en-US"/>
        </w:rPr>
        <w:t>Drumond, A., Marengo, J., Ambrizzi, T., Nieto, R., Moreira, L., and Gimeno, L.: The role of the Amazon Basin mois</w:t>
      </w:r>
      <w:r>
        <w:rPr>
          <w:rStyle w:val="CharStyle31"/>
          <w:lang w:eastAsia="en-US"/>
        </w:rPr>
        <w:softHyphen/>
        <w:t xml:space="preserve">ture in the atmospheric branch of the hydrological cycle: a Lagrangian analysis, Hydrol. Earth Syst. Sci., 18, 2577–2598, </w:t>
      </w:r>
      <w:hyperlink r:id="rId60" w:history="1">
        <w:r>
          <w:rPr>
            <w:rStyle w:val="CharStyle31"/>
            <w:lang w:eastAsia="en-US"/>
          </w:rPr>
          <w:t>https://doi.org/10.5194/hess-18-2577-2014,</w:t>
        </w:r>
      </w:hyperlink>
      <w:r>
        <w:rPr>
          <w:rStyle w:val="CharStyle31"/>
          <w:lang w:eastAsia="en-US"/>
        </w:rPr>
        <w:t xml:space="preserve"> 2014.</w:t>
      </w:r>
    </w:p>
    <w:p w14:paraId="5509DD21"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Duque-Gardeazabal, N.: An Atlantic influence on evaporation in the Orinoco and Amazon basins – codes, Zenodo [code], </w:t>
      </w:r>
      <w:hyperlink r:id="rId61" w:history="1">
        <w:r>
          <w:rPr>
            <w:rStyle w:val="CharStyle31"/>
            <w:lang w:eastAsia="en-US"/>
          </w:rPr>
          <w:t>https://doi.org/10.5281/zenodo.15389246,</w:t>
        </w:r>
      </w:hyperlink>
      <w:r>
        <w:rPr>
          <w:rStyle w:val="CharStyle31"/>
          <w:lang w:eastAsia="en-US"/>
        </w:rPr>
        <w:t xml:space="preserve"> 2025.</w:t>
      </w:r>
    </w:p>
    <w:p w14:paraId="76751D11" w14:textId="77777777" w:rsidR="007857F3" w:rsidRDefault="007857F3">
      <w:pPr>
        <w:pStyle w:val="Style30"/>
        <w:jc w:val="both"/>
        <w:rPr>
          <w:rFonts w:ascii="Times New Roman" w:hAnsi="Times New Roman" w:cs="Times New Roman"/>
          <w:sz w:val="24"/>
          <w:szCs w:val="24"/>
        </w:rPr>
      </w:pPr>
      <w:r>
        <w:rPr>
          <w:rStyle w:val="CharStyle31"/>
          <w:lang w:eastAsia="en-US"/>
        </w:rPr>
        <w:t>Eagleson, P. S.: Ecohydrology: Darwinian expression of vegetation form and function, vol. 53, Cam</w:t>
      </w:r>
      <w:r>
        <w:rPr>
          <w:rStyle w:val="CharStyle31"/>
          <w:lang w:eastAsia="en-US"/>
        </w:rPr>
        <w:softHyphen/>
        <w:t xml:space="preserve">bridge University Press, ISBN 9788578110796, </w:t>
      </w:r>
      <w:hyperlink r:id="rId62" w:history="1">
        <w:r>
          <w:rPr>
            <w:rStyle w:val="CharStyle31"/>
            <w:lang w:eastAsia="en-US"/>
          </w:rPr>
          <w:t>https://doi.org/10.1017/CBO9781107415324.004,</w:t>
        </w:r>
      </w:hyperlink>
      <w:r>
        <w:rPr>
          <w:rStyle w:val="CharStyle31"/>
          <w:lang w:eastAsia="en-US"/>
        </w:rPr>
        <w:t xml:space="preserve"> 2013.</w:t>
      </w:r>
    </w:p>
    <w:p w14:paraId="05E90C77" w14:textId="77777777" w:rsidR="007857F3" w:rsidRDefault="007857F3">
      <w:pPr>
        <w:pStyle w:val="Style30"/>
        <w:jc w:val="both"/>
        <w:rPr>
          <w:rFonts w:ascii="Times New Roman" w:hAnsi="Times New Roman" w:cs="Times New Roman"/>
          <w:sz w:val="24"/>
          <w:szCs w:val="24"/>
        </w:rPr>
      </w:pPr>
      <w:r>
        <w:rPr>
          <w:rStyle w:val="CharStyle31"/>
          <w:lang w:eastAsia="en-US"/>
        </w:rPr>
        <w:t>ECMWF: IFS Documentation CY48R1 – Part IV: Physi</w:t>
      </w:r>
      <w:r>
        <w:rPr>
          <w:rStyle w:val="CharStyle31"/>
          <w:lang w:eastAsia="en-US"/>
        </w:rPr>
        <w:softHyphen/>
        <w:t xml:space="preserve">cal Processes, in: IFS Documentation CY48R1, European Centre for Medium Range Weather Forecast (ECMWF), </w:t>
      </w:r>
      <w:hyperlink r:id="rId63" w:history="1">
        <w:r>
          <w:rPr>
            <w:rStyle w:val="CharStyle31"/>
            <w:lang w:eastAsia="en-US"/>
          </w:rPr>
          <w:t>https://doi.org/10.21957/02054f0fbf,</w:t>
        </w:r>
      </w:hyperlink>
      <w:r>
        <w:rPr>
          <w:rStyle w:val="CharStyle31"/>
          <w:lang w:eastAsia="en-US"/>
        </w:rPr>
        <w:t xml:space="preserve"> </w:t>
      </w:r>
      <w:r>
        <w:rPr>
          <w:rStyle w:val="CharStyle31"/>
          <w:lang w:eastAsia="en-US"/>
        </w:rPr>
        <w:t>2023.</w:t>
      </w:r>
    </w:p>
    <w:p w14:paraId="588FEB4C" w14:textId="77777777" w:rsidR="007857F3" w:rsidRDefault="007857F3">
      <w:pPr>
        <w:pStyle w:val="Style30"/>
        <w:jc w:val="both"/>
        <w:rPr>
          <w:rFonts w:ascii="Times New Roman" w:hAnsi="Times New Roman" w:cs="Times New Roman"/>
          <w:sz w:val="24"/>
          <w:szCs w:val="24"/>
        </w:rPr>
      </w:pPr>
      <w:r>
        <w:rPr>
          <w:rStyle w:val="CharStyle31"/>
          <w:lang w:eastAsia="en-US"/>
        </w:rPr>
        <w:t>Enfield, D. B.: Relationships of inter-American rainfall to tropi</w:t>
      </w:r>
      <w:r>
        <w:rPr>
          <w:rStyle w:val="CharStyle31"/>
          <w:lang w:eastAsia="en-US"/>
        </w:rPr>
        <w:softHyphen/>
      </w:r>
      <w:r>
        <w:rPr>
          <w:rStyle w:val="CharStyle31"/>
          <w:lang w:eastAsia="en-US"/>
        </w:rPr>
        <w:t xml:space="preserve">cal Atlantic and Pacific SST variability, Geophys. Res. Lett., 23, 3305–3308, </w:t>
      </w:r>
      <w:hyperlink r:id="rId64" w:history="1">
        <w:r>
          <w:rPr>
            <w:rStyle w:val="CharStyle31"/>
            <w:lang w:eastAsia="en-US"/>
          </w:rPr>
          <w:t>https://doi.org/10.1029/96GL03231,</w:t>
        </w:r>
      </w:hyperlink>
      <w:r>
        <w:rPr>
          <w:rStyle w:val="CharStyle31"/>
          <w:lang w:eastAsia="en-US"/>
        </w:rPr>
        <w:t xml:space="preserve"> 1996.</w:t>
      </w:r>
    </w:p>
    <w:p w14:paraId="2442BA0C" w14:textId="77777777" w:rsidR="007857F3" w:rsidRDefault="007857F3">
      <w:pPr>
        <w:pStyle w:val="Style30"/>
        <w:jc w:val="both"/>
        <w:rPr>
          <w:rFonts w:ascii="Times New Roman" w:hAnsi="Times New Roman" w:cs="Times New Roman"/>
          <w:sz w:val="24"/>
          <w:szCs w:val="24"/>
        </w:rPr>
      </w:pPr>
      <w:r>
        <w:rPr>
          <w:rStyle w:val="CharStyle31"/>
          <w:lang w:eastAsia="en-US"/>
        </w:rPr>
        <w:t>Espinoza, J. C., Ronchail, J., Guyot, J. L., Junquas, C., Vauchel, P., Lavado, W., Drapeau, G., and Pombosa, R.: Cli</w:t>
      </w:r>
      <w:r>
        <w:rPr>
          <w:rStyle w:val="CharStyle31"/>
          <w:lang w:eastAsia="en-US"/>
        </w:rPr>
        <w:softHyphen/>
        <w:t>mate variability and extreme drought in the upper Solimões River (western Amazon Basin): Understanding the excep</w:t>
      </w:r>
      <w:r>
        <w:rPr>
          <w:rStyle w:val="CharStyle31"/>
          <w:lang w:eastAsia="en-US"/>
        </w:rPr>
        <w:softHyphen/>
        <w:t xml:space="preserve">tional 2010 drought, Geophys. Res. Lett., 38, L13406, </w:t>
      </w:r>
      <w:hyperlink r:id="rId65" w:history="1">
        <w:r>
          <w:rPr>
            <w:rStyle w:val="CharStyle31"/>
            <w:lang w:eastAsia="en-US"/>
          </w:rPr>
          <w:t>https://doi.org/10.1029/2011GL047862,</w:t>
        </w:r>
      </w:hyperlink>
      <w:r>
        <w:rPr>
          <w:rStyle w:val="CharStyle31"/>
          <w:lang w:eastAsia="en-US"/>
        </w:rPr>
        <w:t xml:space="preserve"> 2011.</w:t>
      </w:r>
    </w:p>
    <w:p w14:paraId="2EE8265E"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Fernandes, K., Giannini, A., Verchot, L., Baethgen, W., and Pinedo-Vasquez, M.: Decadal covariability of Atlantic SSTs and western Amazon dry-season hydroclimate in observations and CMIP5 simulations, Geophys. Res. Lett., 42, 6793–6801, </w:t>
      </w:r>
      <w:hyperlink r:id="rId66" w:history="1">
        <w:r>
          <w:rPr>
            <w:rStyle w:val="CharStyle31"/>
            <w:lang w:eastAsia="en-US"/>
          </w:rPr>
          <w:t>https://doi.org/10.1002/2015GL063911,</w:t>
        </w:r>
      </w:hyperlink>
      <w:r>
        <w:rPr>
          <w:rStyle w:val="CharStyle31"/>
          <w:lang w:eastAsia="en-US"/>
        </w:rPr>
        <w:t xml:space="preserve"> 2015.</w:t>
      </w:r>
    </w:p>
    <w:p w14:paraId="1B14ACFB" w14:textId="77777777" w:rsidR="007857F3" w:rsidRDefault="007857F3">
      <w:pPr>
        <w:pStyle w:val="Style30"/>
        <w:jc w:val="both"/>
        <w:rPr>
          <w:rFonts w:ascii="Times New Roman" w:hAnsi="Times New Roman" w:cs="Times New Roman"/>
          <w:sz w:val="24"/>
          <w:szCs w:val="24"/>
        </w:rPr>
      </w:pPr>
      <w:r>
        <w:rPr>
          <w:rStyle w:val="CharStyle31"/>
          <w:lang w:eastAsia="en-US"/>
        </w:rPr>
        <w:t>Friedman, A. R., Hegerl, G. C., Schurer, A. P., Lee, S. Y., Kong, W., Cheng, W., and Chiang, J. C.: Forced and un</w:t>
      </w:r>
      <w:r>
        <w:rPr>
          <w:rStyle w:val="CharStyle31"/>
          <w:lang w:eastAsia="en-US"/>
        </w:rPr>
        <w:softHyphen/>
        <w:t xml:space="preserve">forced decadal behavior of the interhemispheric SST contrast during the instrumental period (1881–2012): Contextualizing the late 1960s–early 1970s shift, J. Climate, 33, 3487–3509, </w:t>
      </w:r>
      <w:hyperlink r:id="rId67" w:history="1">
        <w:r>
          <w:rPr>
            <w:rStyle w:val="CharStyle31"/>
            <w:lang w:eastAsia="en-US"/>
          </w:rPr>
          <w:t>https://doi.org/10.1175/JCLI-D-19-0102.1,</w:t>
        </w:r>
      </w:hyperlink>
      <w:r>
        <w:rPr>
          <w:rStyle w:val="CharStyle31"/>
          <w:lang w:eastAsia="en-US"/>
        </w:rPr>
        <w:t xml:space="preserve"> 2020.</w:t>
      </w:r>
    </w:p>
    <w:p w14:paraId="033CE1F1"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García-Serrano, J., Cassou, C., Douville, H., Giannini, A., and Doblas-Reyes, F. J.: Revisiting the ENSO teleconnection to the tropical North Atlantic, J. Climate, 30, 6945–6957, </w:t>
      </w:r>
      <w:hyperlink r:id="rId68" w:history="1">
        <w:r>
          <w:rPr>
            <w:rStyle w:val="CharStyle31"/>
            <w:lang w:eastAsia="en-US"/>
          </w:rPr>
          <w:t>https://doi.org/10.1175/JCLI-D-16-0641.1,</w:t>
        </w:r>
      </w:hyperlink>
      <w:r>
        <w:rPr>
          <w:rStyle w:val="CharStyle31"/>
          <w:lang w:eastAsia="en-US"/>
        </w:rPr>
        <w:t xml:space="preserve"> 2017.</w:t>
      </w:r>
    </w:p>
    <w:p w14:paraId="51B49C56"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Garreaud, R. D., Vuille, M., Compagnucci, R., and Marengo, J.: Present-day South American climate, Palaeogeogr. Palaeocl., 281, 180–195, </w:t>
      </w:r>
      <w:hyperlink r:id="rId69" w:history="1">
        <w:r>
          <w:rPr>
            <w:rStyle w:val="CharStyle31"/>
            <w:lang w:eastAsia="en-US"/>
          </w:rPr>
          <w:t>https://doi.org/10.1016/j.palaeo.2007.10.032,</w:t>
        </w:r>
      </w:hyperlink>
      <w:r>
        <w:rPr>
          <w:rStyle w:val="CharStyle31"/>
          <w:lang w:eastAsia="en-US"/>
        </w:rPr>
        <w:t xml:space="preserve"> 2009.</w:t>
      </w:r>
    </w:p>
    <w:p w14:paraId="18DE7B85" w14:textId="77777777" w:rsidR="007857F3" w:rsidRDefault="007857F3">
      <w:pPr>
        <w:pStyle w:val="Style30"/>
        <w:jc w:val="both"/>
        <w:rPr>
          <w:rFonts w:ascii="Times New Roman" w:hAnsi="Times New Roman" w:cs="Times New Roman"/>
          <w:sz w:val="24"/>
          <w:szCs w:val="24"/>
        </w:rPr>
      </w:pPr>
      <w:r>
        <w:rPr>
          <w:rStyle w:val="CharStyle31"/>
          <w:lang w:eastAsia="en-US"/>
        </w:rPr>
        <w:t>Gebrechorkos, S. H., Leyland, J., Dadson, S. J., Cohen, S., Slater, L., Wortmann, M., Ashworth, P. J., Bennett, G. L., Boothroyd, R., Cloke, H., Delorme, P., Griffith, H., Hardy, R., Hawker, L., McLelland, S., Neal, J., Nicholas, A., Tatem, A. J., Vahidi, E., Liu, Y., Sheffield, J., Parsons, D. R., and Darby, S. E.: Global-scale evaluation of precipitation datasets for hydro</w:t>
      </w:r>
      <w:r>
        <w:rPr>
          <w:rStyle w:val="CharStyle31"/>
          <w:lang w:eastAsia="en-US"/>
        </w:rPr>
        <w:softHyphen/>
        <w:t xml:space="preserve">logical modelling, Hydrol. Earth Syst. Sci., 28, 3099–3118, </w:t>
      </w:r>
      <w:hyperlink r:id="rId70" w:history="1">
        <w:r>
          <w:rPr>
            <w:rStyle w:val="CharStyle31"/>
            <w:lang w:eastAsia="en-US"/>
          </w:rPr>
          <w:t>https://doi.org/10.5194/hess-28-3099-2024,</w:t>
        </w:r>
      </w:hyperlink>
      <w:r>
        <w:rPr>
          <w:rStyle w:val="CharStyle31"/>
          <w:lang w:eastAsia="en-US"/>
        </w:rPr>
        <w:t xml:space="preserve"> 2024.</w:t>
      </w:r>
    </w:p>
    <w:p w14:paraId="2A35537E" w14:textId="77777777" w:rsidR="007857F3" w:rsidRDefault="007857F3">
      <w:pPr>
        <w:pStyle w:val="Style30"/>
        <w:jc w:val="both"/>
        <w:rPr>
          <w:rFonts w:ascii="Times New Roman" w:hAnsi="Times New Roman" w:cs="Times New Roman"/>
          <w:sz w:val="24"/>
          <w:szCs w:val="24"/>
        </w:rPr>
      </w:pPr>
      <w:r>
        <w:rPr>
          <w:rStyle w:val="CharStyle31"/>
          <w:lang w:eastAsia="en-US"/>
        </w:rPr>
        <w:t>Grimm, A. M. and Zilli, M. T.: Interannual variability and seasonal evolution of summer monsoon rainfall in South America, J. Cli</w:t>
      </w:r>
      <w:r>
        <w:rPr>
          <w:rStyle w:val="CharStyle31"/>
          <w:lang w:eastAsia="en-US"/>
        </w:rPr>
        <w:softHyphen/>
        <w:t xml:space="preserve">mate, 22, 2257–2275, </w:t>
      </w:r>
      <w:hyperlink r:id="rId71" w:history="1">
        <w:r>
          <w:rPr>
            <w:rStyle w:val="CharStyle31"/>
            <w:lang w:eastAsia="en-US"/>
          </w:rPr>
          <w:t>https://doi.org/10.1175/2008JCLI2345.1,</w:t>
        </w:r>
      </w:hyperlink>
      <w:r>
        <w:rPr>
          <w:rStyle w:val="CharStyle31"/>
          <w:lang w:eastAsia="en-US"/>
        </w:rPr>
        <w:t xml:space="preserve"> 2009.</w:t>
      </w:r>
    </w:p>
    <w:p w14:paraId="5AD0C8C3" w14:textId="77777777" w:rsidR="007857F3" w:rsidRDefault="007857F3">
      <w:pPr>
        <w:pStyle w:val="Style30"/>
        <w:jc w:val="both"/>
        <w:rPr>
          <w:rFonts w:ascii="Times New Roman" w:hAnsi="Times New Roman" w:cs="Times New Roman"/>
          <w:sz w:val="24"/>
          <w:szCs w:val="24"/>
        </w:rPr>
      </w:pPr>
      <w:bookmarkStart w:id="53" w:name="bookmark80"/>
      <w:bookmarkStart w:id="54" w:name="bookmark81"/>
      <w:bookmarkStart w:id="55" w:name="bookmark82"/>
      <w:r>
        <w:rPr>
          <w:rStyle w:val="CharStyle31"/>
          <w:lang w:eastAsia="en-US"/>
        </w:rPr>
        <w:t xml:space="preserve">Gruber, A., Scanlon, T., van der Schalie, R., Wagner, W., and Dorigo, W.: Evolution of the ESA CCI Soil Moisture climate data records and their underlying merging methodology, Earth Syst. Sci. Data, 11, 717–739, </w:t>
      </w:r>
      <w:hyperlink r:id="rId72" w:history="1">
        <w:r>
          <w:rPr>
            <w:rStyle w:val="CharStyle31"/>
            <w:lang w:eastAsia="en-US"/>
          </w:rPr>
          <w:t>https://doi.org/10.5194/essd-11-717- 2019,</w:t>
        </w:r>
      </w:hyperlink>
      <w:r>
        <w:rPr>
          <w:rStyle w:val="CharStyle31"/>
          <w:lang w:eastAsia="en-US"/>
        </w:rPr>
        <w:t xml:space="preserve"> 2019 (data available at:</w:t>
      </w:r>
      <w:hyperlink r:id="rId73" w:history="1">
        <w:r>
          <w:rPr>
            <w:rStyle w:val="CharStyle31"/>
            <w:lang w:eastAsia="en-US"/>
          </w:rPr>
          <w:t xml:space="preserve"> https://catalogue.ceda.ac.uk/uuid/</w:t>
        </w:r>
      </w:hyperlink>
      <w:r>
        <w:rPr>
          <w:rStyle w:val="CharStyle31"/>
          <w:lang w:eastAsia="en-US"/>
        </w:rPr>
        <w:t xml:space="preserve"> </w:t>
      </w:r>
      <w:hyperlink r:id="rId74" w:history="1">
        <w:r>
          <w:rPr>
            <w:rStyle w:val="CharStyle31"/>
            <w:lang w:eastAsia="en-US"/>
          </w:rPr>
          <w:t>ff890589c21f4033803aa550f52c980c,</w:t>
        </w:r>
      </w:hyperlink>
      <w:r>
        <w:rPr>
          <w:rStyle w:val="CharStyle31"/>
          <w:lang w:eastAsia="en-US"/>
        </w:rPr>
        <w:t xml:space="preserve"> last access: March 2025).</w:t>
      </w:r>
      <w:bookmarkEnd w:id="53"/>
      <w:bookmarkEnd w:id="54"/>
      <w:bookmarkEnd w:id="55"/>
    </w:p>
    <w:p w14:paraId="16B2BF54" w14:textId="77777777" w:rsidR="007857F3" w:rsidRDefault="007857F3">
      <w:pPr>
        <w:pStyle w:val="Style30"/>
        <w:jc w:val="both"/>
        <w:rPr>
          <w:rFonts w:ascii="Times New Roman" w:hAnsi="Times New Roman" w:cs="Times New Roman"/>
          <w:sz w:val="24"/>
          <w:szCs w:val="24"/>
        </w:rPr>
      </w:pPr>
      <w:bookmarkStart w:id="56" w:name="bookmark83"/>
      <w:bookmarkStart w:id="57" w:name="bookmark84"/>
      <w:r>
        <w:rPr>
          <w:rStyle w:val="CharStyle31"/>
          <w:lang w:eastAsia="en-US"/>
        </w:rPr>
        <w:t xml:space="preserve">Gu, G. and Adler, R. F.: Interannual variability of boreal summer rainfall in the equatorial Atlantic, Int. J. Climatol., 29, 175–184, </w:t>
      </w:r>
      <w:hyperlink r:id="rId75" w:history="1">
        <w:r>
          <w:rPr>
            <w:rStyle w:val="CharStyle31"/>
            <w:lang w:eastAsia="en-US"/>
          </w:rPr>
          <w:t>https://doi.org/10.1002/joc.1724,</w:t>
        </w:r>
      </w:hyperlink>
      <w:r>
        <w:rPr>
          <w:rStyle w:val="CharStyle31"/>
          <w:lang w:eastAsia="en-US"/>
        </w:rPr>
        <w:t xml:space="preserve"> 2009.</w:t>
      </w:r>
      <w:bookmarkEnd w:id="56"/>
      <w:bookmarkEnd w:id="57"/>
    </w:p>
    <w:p w14:paraId="6262AEDD" w14:textId="77777777" w:rsidR="007857F3" w:rsidRDefault="007857F3">
      <w:pPr>
        <w:pStyle w:val="Style30"/>
        <w:jc w:val="both"/>
        <w:rPr>
          <w:rFonts w:ascii="Times New Roman" w:hAnsi="Times New Roman" w:cs="Times New Roman"/>
          <w:sz w:val="24"/>
          <w:szCs w:val="24"/>
        </w:rPr>
      </w:pPr>
      <w:bookmarkStart w:id="58" w:name="bookmark85"/>
      <w:r>
        <w:rPr>
          <w:rStyle w:val="CharStyle31"/>
          <w:lang w:eastAsia="en-US"/>
        </w:rPr>
        <w:t>Hasler, N. and Avissar, R.: What Controls Evapotranspira</w:t>
      </w:r>
      <w:r>
        <w:rPr>
          <w:rStyle w:val="CharStyle31"/>
          <w:lang w:eastAsia="en-US"/>
        </w:rPr>
        <w:softHyphen/>
        <w:t xml:space="preserve">tion in the Amazon Basin?, J. Hydrometeorol., 8, 380–395, </w:t>
      </w:r>
      <w:hyperlink r:id="rId76" w:history="1">
        <w:r>
          <w:rPr>
            <w:rStyle w:val="CharStyle31"/>
            <w:lang w:eastAsia="en-US"/>
          </w:rPr>
          <w:t>https://doi.org/10.1175/JHM587.1,</w:t>
        </w:r>
      </w:hyperlink>
      <w:r>
        <w:rPr>
          <w:rStyle w:val="CharStyle31"/>
          <w:lang w:eastAsia="en-US"/>
        </w:rPr>
        <w:t xml:space="preserve"> 2007.</w:t>
      </w:r>
      <w:bookmarkEnd w:id="58"/>
    </w:p>
    <w:p w14:paraId="7EDB3AB5" w14:textId="77777777" w:rsidR="007857F3" w:rsidRDefault="007857F3">
      <w:pPr>
        <w:pStyle w:val="Style30"/>
        <w:jc w:val="both"/>
        <w:rPr>
          <w:rFonts w:ascii="Times New Roman" w:hAnsi="Times New Roman" w:cs="Times New Roman"/>
          <w:sz w:val="24"/>
          <w:szCs w:val="24"/>
        </w:rPr>
      </w:pPr>
      <w:bookmarkStart w:id="59" w:name="bookmark86"/>
      <w:bookmarkStart w:id="60" w:name="bookmark87"/>
      <w:r>
        <w:rPr>
          <w:rStyle w:val="CharStyle31"/>
          <w:lang w:eastAsia="en-US"/>
        </w:rPr>
        <w:t xml:space="preserve">He, C., Clement, A. C., Kramer, S. M., Cane, M. A., Klavans, J. M., Fenske, T. M., and Murphy, L. N.: Tropical Atlantic multidecadal variability is dominated by external forcing, Nature, 622, 521– 527, </w:t>
      </w:r>
      <w:hyperlink r:id="rId77" w:history="1">
        <w:r>
          <w:rPr>
            <w:rStyle w:val="CharStyle31"/>
            <w:lang w:eastAsia="en-US"/>
          </w:rPr>
          <w:t>https://doi.org/10.1038/s41586-023-06489-4,</w:t>
        </w:r>
      </w:hyperlink>
      <w:r>
        <w:rPr>
          <w:rStyle w:val="CharStyle31"/>
          <w:lang w:eastAsia="en-US"/>
        </w:rPr>
        <w:t xml:space="preserve"> 2023.</w:t>
      </w:r>
      <w:bookmarkEnd w:id="59"/>
      <w:bookmarkEnd w:id="60"/>
    </w:p>
    <w:p w14:paraId="3B683D92" w14:textId="77777777" w:rsidR="007857F3" w:rsidRDefault="007857F3">
      <w:pPr>
        <w:pStyle w:val="Style30"/>
        <w:jc w:val="both"/>
        <w:rPr>
          <w:rFonts w:ascii="Times New Roman" w:hAnsi="Times New Roman" w:cs="Times New Roman"/>
          <w:sz w:val="24"/>
          <w:szCs w:val="24"/>
        </w:rPr>
      </w:pPr>
      <w:bookmarkStart w:id="61" w:name="bookmark88"/>
      <w:bookmarkStart w:id="62" w:name="bookmark89"/>
      <w:r>
        <w:rPr>
          <w:rStyle w:val="CharStyle31"/>
          <w:lang w:eastAsia="en-US"/>
        </w:rPr>
        <w:t>Hersbach, H., Bell, B., Berrisford, P., Hirahara, S., Horányi, A., Muñoz-Sabater, J., Nicolas, J., Peubey, C., Radu, R., Schepers, D., Simmons, A., Soci, C., Abdalla, S., Abellan, X., Balsamo, G., Bechtold, P., Biavati, G., Bidlot, J., Bonavita, M., De Chiara, G., Dahlgren, P., Dee, D., Diamantakis, M., Dragani, R., Flem</w:t>
      </w:r>
      <w:r>
        <w:rPr>
          <w:rStyle w:val="CharStyle31"/>
          <w:lang w:eastAsia="en-US"/>
        </w:rPr>
        <w:softHyphen/>
        <w:t xml:space="preserve">ming, J., Forbes, R., Fuentes, M., Geer, A., Haimberger, L., Healy, S., Hogan, R. J., </w:t>
      </w:r>
      <w:r>
        <w:rPr>
          <w:rStyle w:val="CharStyle31"/>
          <w:lang w:val="it-IT" w:eastAsia="it-IT"/>
        </w:rPr>
        <w:t xml:space="preserve">Hólm, </w:t>
      </w:r>
      <w:r>
        <w:rPr>
          <w:rStyle w:val="CharStyle31"/>
          <w:lang w:eastAsia="en-US"/>
        </w:rPr>
        <w:t xml:space="preserve">E., Janisková, M., Keeley, S., Laloyaux, P., Lopez, P., Lupu, C., Radnoti, G., de </w:t>
      </w:r>
      <w:r>
        <w:rPr>
          <w:rStyle w:val="CharStyle31"/>
          <w:lang w:eastAsia="en-US"/>
        </w:rPr>
        <w:lastRenderedPageBreak/>
        <w:t xml:space="preserve">Rosnay, P., Rozum, I., Vamborg, F., Villaume, S., and </w:t>
      </w:r>
      <w:r>
        <w:rPr>
          <w:rStyle w:val="CharStyle31"/>
          <w:lang w:val="it-IT" w:eastAsia="it-IT"/>
        </w:rPr>
        <w:t xml:space="preserve">Thépaut, </w:t>
      </w:r>
      <w:r>
        <w:rPr>
          <w:rStyle w:val="CharStyle31"/>
          <w:lang w:eastAsia="en-US"/>
        </w:rPr>
        <w:t xml:space="preserve">J. N.: The ERA5 global reanalysis, Q. J. Roy. Meteor. Soc., 146, 1999– 2049, </w:t>
      </w:r>
      <w:hyperlink r:id="rId78" w:history="1">
        <w:r>
          <w:rPr>
            <w:rStyle w:val="CharStyle31"/>
            <w:lang w:eastAsia="en-US"/>
          </w:rPr>
          <w:t>https://doi.org/10.1002/qj.3803,</w:t>
        </w:r>
      </w:hyperlink>
      <w:r>
        <w:rPr>
          <w:rStyle w:val="CharStyle31"/>
          <w:lang w:eastAsia="en-US"/>
        </w:rPr>
        <w:t xml:space="preserve"> 2020.</w:t>
      </w:r>
      <w:bookmarkEnd w:id="61"/>
      <w:bookmarkEnd w:id="62"/>
    </w:p>
    <w:p w14:paraId="290EE1C8" w14:textId="77777777" w:rsidR="007857F3" w:rsidRDefault="007857F3">
      <w:pPr>
        <w:pStyle w:val="Style30"/>
        <w:jc w:val="both"/>
        <w:rPr>
          <w:rFonts w:ascii="Times New Roman" w:hAnsi="Times New Roman" w:cs="Times New Roman"/>
          <w:sz w:val="24"/>
          <w:szCs w:val="24"/>
        </w:rPr>
      </w:pPr>
      <w:bookmarkStart w:id="63" w:name="bookmark90"/>
      <w:bookmarkStart w:id="64" w:name="bookmark91"/>
      <w:r>
        <w:rPr>
          <w:rStyle w:val="CharStyle31"/>
          <w:lang w:eastAsia="en-US"/>
        </w:rPr>
        <w:t xml:space="preserve">Hersbach, H., Bell, B., Berrisford, P., Biavati, G., Horányi, A., Muñoz Sabater, J., Nicolas, J., Peubey, C., Radu, R., Rozum, I., Schepers, D., Simmons, A., Soci, C., Dee, D., and </w:t>
      </w:r>
      <w:r>
        <w:rPr>
          <w:rStyle w:val="CharStyle31"/>
          <w:lang w:val="it-IT" w:eastAsia="it-IT"/>
        </w:rPr>
        <w:t xml:space="preserve">Thépaut, </w:t>
      </w:r>
      <w:r>
        <w:rPr>
          <w:rStyle w:val="CharStyle31"/>
          <w:lang w:eastAsia="en-US"/>
        </w:rPr>
        <w:t xml:space="preserve">J.- N.: ERA5 monthly averaged data on pressure levels from 1940 to present, Copernicus Climate Change Service (C3S) Climate Data Store (CDS) [data set], </w:t>
      </w:r>
      <w:hyperlink r:id="rId79" w:history="1">
        <w:r>
          <w:rPr>
            <w:rStyle w:val="CharStyle31"/>
            <w:lang w:eastAsia="en-US"/>
          </w:rPr>
          <w:t>https://doi.org/10.24381/cds.6860a573,</w:t>
        </w:r>
      </w:hyperlink>
      <w:r>
        <w:rPr>
          <w:rStyle w:val="CharStyle31"/>
          <w:lang w:eastAsia="en-US"/>
        </w:rPr>
        <w:t xml:space="preserve"> 2023.</w:t>
      </w:r>
      <w:bookmarkEnd w:id="63"/>
      <w:bookmarkEnd w:id="64"/>
    </w:p>
    <w:p w14:paraId="3AF88408" w14:textId="77777777" w:rsidR="007857F3" w:rsidRDefault="007857F3">
      <w:pPr>
        <w:pStyle w:val="Style30"/>
        <w:jc w:val="both"/>
        <w:rPr>
          <w:rFonts w:ascii="Times New Roman" w:hAnsi="Times New Roman" w:cs="Times New Roman"/>
          <w:sz w:val="24"/>
          <w:szCs w:val="24"/>
        </w:rPr>
      </w:pPr>
      <w:bookmarkStart w:id="65" w:name="bookmark92"/>
      <w:r>
        <w:rPr>
          <w:rStyle w:val="CharStyle31"/>
          <w:lang w:eastAsia="en-US"/>
        </w:rPr>
        <w:t>Hirschi, M., Mueller, B., Dorigo, W., and Seneviratne, S. I.: U</w:t>
      </w:r>
      <w:bookmarkStart w:id="66" w:name="bookmark93"/>
      <w:r>
        <w:rPr>
          <w:rStyle w:val="CharStyle31"/>
          <w:lang w:eastAsia="en-US"/>
        </w:rPr>
        <w:t>s</w:t>
      </w:r>
      <w:bookmarkEnd w:id="66"/>
      <w:r>
        <w:rPr>
          <w:rStyle w:val="CharStyle31"/>
          <w:lang w:eastAsia="en-US"/>
        </w:rPr>
        <w:softHyphen/>
        <w:t>ing remotely sensed soil moisture for land-atmosphere cou</w:t>
      </w:r>
      <w:r>
        <w:rPr>
          <w:rStyle w:val="CharStyle31"/>
          <w:lang w:eastAsia="en-US"/>
        </w:rPr>
        <w:softHyphen/>
        <w:t xml:space="preserve">pling diagnostics: The role of surface vs. root-zone soil moisture variability, Remote Sens. Environ., 154, 246–252, </w:t>
      </w:r>
      <w:hyperlink r:id="rId80" w:history="1">
        <w:r>
          <w:rPr>
            <w:rStyle w:val="CharStyle31"/>
            <w:lang w:eastAsia="en-US"/>
          </w:rPr>
          <w:t>https://doi.org/10.1016/j.rse.2014.08.030,</w:t>
        </w:r>
      </w:hyperlink>
      <w:r>
        <w:rPr>
          <w:rStyle w:val="CharStyle31"/>
          <w:lang w:eastAsia="en-US"/>
        </w:rPr>
        <w:t xml:space="preserve"> 2014.</w:t>
      </w:r>
      <w:bookmarkEnd w:id="65"/>
    </w:p>
    <w:p w14:paraId="6AEE0098" w14:textId="77777777" w:rsidR="007857F3" w:rsidRDefault="007857F3">
      <w:pPr>
        <w:pStyle w:val="Style30"/>
        <w:jc w:val="both"/>
        <w:rPr>
          <w:rFonts w:ascii="Times New Roman" w:hAnsi="Times New Roman" w:cs="Times New Roman"/>
          <w:sz w:val="24"/>
          <w:szCs w:val="24"/>
        </w:rPr>
      </w:pPr>
      <w:bookmarkStart w:id="67" w:name="bookmark94"/>
      <w:bookmarkStart w:id="68" w:name="bookmark95"/>
      <w:r>
        <w:rPr>
          <w:rStyle w:val="CharStyle31"/>
          <w:lang w:eastAsia="en-US"/>
        </w:rPr>
        <w:t>Hoyos, I., Cañón-Barriga, J., Arenas-Suárez, T., Dominguez, F., and Rodríguez, B. A.: Variability of regional atmo</w:t>
      </w:r>
      <w:r>
        <w:rPr>
          <w:rStyle w:val="CharStyle31"/>
          <w:lang w:eastAsia="en-US"/>
        </w:rPr>
        <w:softHyphen/>
        <w:t xml:space="preserve">spheric moisture over Northern South America: patterns and underlying phenomena, Clim. Dynam., 52, 893–911, </w:t>
      </w:r>
      <w:hyperlink r:id="rId81" w:history="1">
        <w:r>
          <w:rPr>
            <w:rStyle w:val="CharStyle31"/>
            <w:lang w:eastAsia="en-US"/>
          </w:rPr>
          <w:t>https://doi.org/10.1007/s00382-018-4172-9,</w:t>
        </w:r>
      </w:hyperlink>
      <w:r>
        <w:rPr>
          <w:rStyle w:val="CharStyle31"/>
          <w:lang w:eastAsia="en-US"/>
        </w:rPr>
        <w:t xml:space="preserve"> 2019.</w:t>
      </w:r>
      <w:bookmarkEnd w:id="67"/>
      <w:bookmarkEnd w:id="68"/>
    </w:p>
    <w:p w14:paraId="4799B151" w14:textId="77777777" w:rsidR="007857F3" w:rsidRDefault="007857F3">
      <w:pPr>
        <w:pStyle w:val="Style30"/>
        <w:jc w:val="both"/>
        <w:rPr>
          <w:rFonts w:ascii="Times New Roman" w:hAnsi="Times New Roman" w:cs="Times New Roman"/>
          <w:sz w:val="24"/>
          <w:szCs w:val="24"/>
        </w:rPr>
      </w:pPr>
      <w:bookmarkStart w:id="69" w:name="bookmark96"/>
      <w:bookmarkStart w:id="70" w:name="bookmark97"/>
      <w:r>
        <w:rPr>
          <w:rStyle w:val="CharStyle31"/>
          <w:lang w:eastAsia="en-US"/>
        </w:rPr>
        <w:t>Hua, W., Dai, A., Zhou, L., Qin, M., and Chen, H.: An Exter</w:t>
      </w:r>
      <w:r>
        <w:rPr>
          <w:rStyle w:val="CharStyle31"/>
          <w:lang w:eastAsia="en-US"/>
        </w:rPr>
        <w:softHyphen/>
        <w:t>nally Forced Decadal Rainfall Seesaw Pattern Over the Sa</w:t>
      </w:r>
      <w:r>
        <w:rPr>
          <w:rStyle w:val="CharStyle31"/>
          <w:lang w:eastAsia="en-US"/>
        </w:rPr>
        <w:softHyphen/>
        <w:t xml:space="preserve">hel and Southeast Amazon, Geophys. Res. Lett., 46, 923–932, </w:t>
      </w:r>
      <w:hyperlink r:id="rId82" w:history="1">
        <w:r>
          <w:rPr>
            <w:rStyle w:val="CharStyle31"/>
            <w:lang w:eastAsia="en-US"/>
          </w:rPr>
          <w:t>https://doi.org/10.1029/2018GL081406,</w:t>
        </w:r>
      </w:hyperlink>
      <w:r>
        <w:rPr>
          <w:rStyle w:val="CharStyle31"/>
          <w:lang w:eastAsia="en-US"/>
        </w:rPr>
        <w:t xml:space="preserve"> 2019.</w:t>
      </w:r>
      <w:bookmarkEnd w:id="69"/>
      <w:bookmarkEnd w:id="70"/>
    </w:p>
    <w:p w14:paraId="6E34520E" w14:textId="77777777" w:rsidR="007857F3" w:rsidRDefault="007857F3">
      <w:pPr>
        <w:pStyle w:val="Style30"/>
        <w:jc w:val="both"/>
        <w:rPr>
          <w:rFonts w:ascii="Times New Roman" w:hAnsi="Times New Roman" w:cs="Times New Roman"/>
          <w:sz w:val="24"/>
          <w:szCs w:val="24"/>
        </w:rPr>
      </w:pPr>
      <w:bookmarkStart w:id="71" w:name="bookmark100"/>
      <w:bookmarkStart w:id="72" w:name="bookmark98"/>
      <w:bookmarkStart w:id="73" w:name="bookmark99"/>
      <w:r>
        <w:rPr>
          <w:rStyle w:val="CharStyle31"/>
          <w:lang w:eastAsia="en-US"/>
        </w:rPr>
        <w:t>Huang, B., Thorne, P. W., Banzon, V. F., Boyer, T., Chepurin, G., Lawrimore, J. H., Menne, M. J., Smith, T. M., Vose, R. S., and Zhang, H. M.: Extended reconstructed Sea surface temperature, Version 5 (ERSSTv5): Upgrades, validations, and intercompar</w:t>
      </w:r>
      <w:r>
        <w:rPr>
          <w:rStyle w:val="CharStyle31"/>
          <w:lang w:eastAsia="en-US"/>
        </w:rPr>
        <w:softHyphen/>
        <w:t xml:space="preserve">isons, J. Climate, 30, 8179–8205, </w:t>
      </w:r>
      <w:hyperlink r:id="rId83" w:history="1">
        <w:r>
          <w:rPr>
            <w:rStyle w:val="CharStyle31"/>
            <w:lang w:eastAsia="en-US"/>
          </w:rPr>
          <w:t>https://doi.org/10.1175/JCLI- D-16-0836.1,</w:t>
        </w:r>
      </w:hyperlink>
      <w:r>
        <w:rPr>
          <w:rStyle w:val="CharStyle31"/>
          <w:lang w:eastAsia="en-US"/>
        </w:rPr>
        <w:t xml:space="preserve"> 2017 (data available at:</w:t>
      </w:r>
      <w:hyperlink r:id="rId84" w:history="1">
        <w:r>
          <w:rPr>
            <w:rStyle w:val="CharStyle31"/>
            <w:lang w:eastAsia="en-US"/>
          </w:rPr>
          <w:t xml:space="preserve"> https://www.ncei.noaa.</w:t>
        </w:r>
      </w:hyperlink>
      <w:r>
        <w:rPr>
          <w:rStyle w:val="CharStyle31"/>
          <w:lang w:eastAsia="en-US"/>
        </w:rPr>
        <w:t xml:space="preserve"> </w:t>
      </w:r>
      <w:hyperlink r:id="rId85" w:history="1">
        <w:r>
          <w:rPr>
            <w:rStyle w:val="CharStyle31"/>
            <w:lang w:eastAsia="en-US"/>
          </w:rPr>
          <w:t>gov/pub/data/cmb/ersst/v5/netcdf/,</w:t>
        </w:r>
      </w:hyperlink>
      <w:r>
        <w:rPr>
          <w:rStyle w:val="CharStyle31"/>
          <w:lang w:eastAsia="en-US"/>
        </w:rPr>
        <w:t xml:space="preserve"> last access: March 2025).</w:t>
      </w:r>
      <w:bookmarkEnd w:id="71"/>
      <w:bookmarkEnd w:id="72"/>
      <w:bookmarkEnd w:id="73"/>
    </w:p>
    <w:p w14:paraId="683CD6EC" w14:textId="77777777" w:rsidR="007857F3" w:rsidRDefault="007857F3">
      <w:pPr>
        <w:pStyle w:val="Style30"/>
        <w:jc w:val="both"/>
        <w:rPr>
          <w:rFonts w:ascii="Times New Roman" w:hAnsi="Times New Roman" w:cs="Times New Roman"/>
          <w:sz w:val="24"/>
          <w:szCs w:val="24"/>
        </w:rPr>
      </w:pPr>
      <w:bookmarkStart w:id="74" w:name="bookmark101"/>
      <w:r>
        <w:rPr>
          <w:rStyle w:val="CharStyle31"/>
          <w:lang w:eastAsia="en-US"/>
        </w:rPr>
        <w:t xml:space="preserve">Humphrey, V., Berg, A., Ciais, P., Gentine, P., Jung, M., Reich- stein, M., Seneviratne, S. I., and Frankenberg, C.: Soil moisture– </w:t>
      </w:r>
      <w:bookmarkEnd w:id="74"/>
      <w:r>
        <w:rPr>
          <w:rStyle w:val="CharStyle31"/>
          <w:lang w:eastAsia="en-US"/>
        </w:rPr>
        <w:t xml:space="preserve">atmosphere feedback dominates land carbon uptake variability, Nature, 592, 65–69, </w:t>
      </w:r>
      <w:hyperlink r:id="rId86" w:history="1">
        <w:r>
          <w:rPr>
            <w:rStyle w:val="CharStyle31"/>
            <w:lang w:eastAsia="en-US"/>
          </w:rPr>
          <w:t>https://doi.org/10.1038/s41586-021-03325-</w:t>
        </w:r>
      </w:hyperlink>
      <w:r>
        <w:rPr>
          <w:rStyle w:val="CharStyle31"/>
          <w:lang w:eastAsia="en-US"/>
        </w:rPr>
        <w:t xml:space="preserve"> </w:t>
      </w:r>
      <w:hyperlink r:id="rId87" w:history="1">
        <w:r>
          <w:rPr>
            <w:rStyle w:val="CharStyle31"/>
            <w:lang w:eastAsia="en-US"/>
          </w:rPr>
          <w:t>5,</w:t>
        </w:r>
      </w:hyperlink>
      <w:r>
        <w:rPr>
          <w:rStyle w:val="CharStyle31"/>
          <w:lang w:eastAsia="en-US"/>
        </w:rPr>
        <w:tab/>
        <w:t>2021.</w:t>
      </w:r>
    </w:p>
    <w:p w14:paraId="010E150C" w14:textId="77777777" w:rsidR="007857F3" w:rsidRDefault="007857F3">
      <w:pPr>
        <w:pStyle w:val="Style30"/>
        <w:jc w:val="both"/>
        <w:rPr>
          <w:rFonts w:ascii="Times New Roman" w:hAnsi="Times New Roman" w:cs="Times New Roman"/>
          <w:sz w:val="24"/>
          <w:szCs w:val="24"/>
        </w:rPr>
      </w:pPr>
      <w:r>
        <w:rPr>
          <w:rStyle w:val="CharStyle31"/>
          <w:lang w:eastAsia="en-US"/>
        </w:rPr>
        <w:t>IPCC: Climate Change 2021: The Physical Science Basis, Cam</w:t>
      </w:r>
      <w:r>
        <w:rPr>
          <w:rStyle w:val="CharStyle31"/>
          <w:lang w:eastAsia="en-US"/>
        </w:rPr>
        <w:softHyphen/>
      </w:r>
      <w:r>
        <w:rPr>
          <w:rStyle w:val="CharStyle31"/>
          <w:lang w:eastAsia="en-US"/>
        </w:rPr>
        <w:t xml:space="preserve">bridge University Press, Cambriedge, United Kingdom, ISBN 9781009157896, </w:t>
      </w:r>
      <w:hyperlink r:id="rId88" w:history="1">
        <w:r>
          <w:rPr>
            <w:rStyle w:val="CharStyle31"/>
            <w:lang w:eastAsia="en-US"/>
          </w:rPr>
          <w:t>https://doi.org/10.1017/9781009157896,</w:t>
        </w:r>
      </w:hyperlink>
      <w:r>
        <w:rPr>
          <w:rStyle w:val="CharStyle31"/>
          <w:lang w:eastAsia="en-US"/>
        </w:rPr>
        <w:t xml:space="preserve"> 2021.</w:t>
      </w:r>
    </w:p>
    <w:p w14:paraId="144A23C3"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Jarvis, P.: The interpretation of the variations in leaf water potential and stomatal conductance found in canopies in the field, Philos. T. Roy. Soc. B, 273, 593–610, </w:t>
      </w:r>
      <w:hyperlink r:id="rId89" w:history="1">
        <w:r>
          <w:rPr>
            <w:rStyle w:val="CharStyle31"/>
            <w:lang w:eastAsia="en-US"/>
          </w:rPr>
          <w:t>https://doi.org/10.1098/rstb.1976.0035,</w:t>
        </w:r>
      </w:hyperlink>
      <w:r>
        <w:rPr>
          <w:rStyle w:val="CharStyle31"/>
          <w:lang w:eastAsia="en-US"/>
        </w:rPr>
        <w:t xml:space="preserve"> 1976.</w:t>
      </w:r>
    </w:p>
    <w:p w14:paraId="7B4A9E5E"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Jung, M., Koirala, S., Weber, U., Ichii, K., Gans, F., Camps-Valls, G., Papale, D., Schwalm, C., Tramontana, G., and Reichstein, M.: The FLUXCOM ensemble of global land-atmosphere energy fluxes, Scientific Data, 6, 74, </w:t>
      </w:r>
      <w:hyperlink r:id="rId90" w:history="1">
        <w:r>
          <w:rPr>
            <w:rStyle w:val="CharStyle31"/>
            <w:lang w:eastAsia="en-US"/>
          </w:rPr>
          <w:t>https://doi.org/10.1038/s41597- 019-0076-8,</w:t>
        </w:r>
      </w:hyperlink>
      <w:r>
        <w:rPr>
          <w:rStyle w:val="CharStyle31"/>
          <w:lang w:eastAsia="en-US"/>
        </w:rPr>
        <w:t xml:space="preserve"> 2019.</w:t>
      </w:r>
    </w:p>
    <w:p w14:paraId="78AA8022" w14:textId="77777777" w:rsidR="007857F3" w:rsidRDefault="007857F3">
      <w:pPr>
        <w:pStyle w:val="Style30"/>
        <w:jc w:val="both"/>
        <w:rPr>
          <w:rFonts w:ascii="Times New Roman" w:hAnsi="Times New Roman" w:cs="Times New Roman"/>
          <w:sz w:val="24"/>
          <w:szCs w:val="24"/>
        </w:rPr>
      </w:pPr>
      <w:r>
        <w:rPr>
          <w:rStyle w:val="CharStyle31"/>
          <w:lang w:eastAsia="en-US"/>
        </w:rPr>
        <w:t>Karlsson, K.-G., Riihelä, A., Trentmann, J., Stengel, M., Solodovnik, I., Meirink, J. F., Devasthale, A., Jääskeläinen, E., Kallio-Myers, V., Eliasson, S., Benas, N., Johansson, E., Stein, D., Finkensieper, S., Håkansson, N., Akkermans, T., Clerbaux, N., Selbach, N., Marc, S., and Hollmann, R.: CLARA-A3: CM SAF cLoud, Albedo and surface RAdiation dataset from AVHRR data – Edition 3, Satel</w:t>
      </w:r>
      <w:r>
        <w:rPr>
          <w:rStyle w:val="CharStyle31"/>
          <w:lang w:eastAsia="en-US"/>
        </w:rPr>
        <w:softHyphen/>
        <w:t xml:space="preserve">lite Application Facility on Climate Monitoring [data set], </w:t>
      </w:r>
      <w:hyperlink r:id="rId91" w:history="1">
        <w:r>
          <w:rPr>
            <w:rStyle w:val="CharStyle31"/>
            <w:lang w:eastAsia="en-US"/>
          </w:rPr>
          <w:t>https://doi.org/10.5676/EUM_SAF_CM/CLARA_AVHRR/V003,</w:t>
        </w:r>
      </w:hyperlink>
      <w:r>
        <w:rPr>
          <w:rStyle w:val="CharStyle31"/>
          <w:lang w:eastAsia="en-US"/>
        </w:rPr>
        <w:t xml:space="preserve"> 2023.</w:t>
      </w:r>
    </w:p>
    <w:p w14:paraId="400283E0"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Kaune, A., Werner, M., </w:t>
      </w:r>
      <w:r>
        <w:rPr>
          <w:rStyle w:val="CharStyle31"/>
          <w:lang w:val="it-IT" w:eastAsia="it-IT"/>
        </w:rPr>
        <w:t xml:space="preserve">López López, </w:t>
      </w:r>
      <w:r>
        <w:rPr>
          <w:rStyle w:val="CharStyle31"/>
          <w:lang w:eastAsia="en-US"/>
        </w:rPr>
        <w:t>P., Rodríguez, E., Karimi,</w:t>
      </w:r>
      <w:r>
        <w:rPr>
          <w:rStyle w:val="CharStyle31"/>
          <w:lang w:eastAsia="en-US"/>
        </w:rPr>
        <w:t xml:space="preserve"> P., and de Fraiture, C.: Can global precipitation datasets benefit the estimation of the area to be cropped in irri</w:t>
      </w:r>
      <w:r>
        <w:rPr>
          <w:rStyle w:val="CharStyle31"/>
          <w:lang w:eastAsia="en-US"/>
        </w:rPr>
        <w:softHyphen/>
        <w:t xml:space="preserve">gated agriculture?, Hydrol. Earth Syst. Sci., 23, 2351–2368, </w:t>
      </w:r>
      <w:hyperlink r:id="rId92" w:history="1">
        <w:r>
          <w:rPr>
            <w:rStyle w:val="CharStyle31"/>
            <w:lang w:eastAsia="en-US"/>
          </w:rPr>
          <w:t>https://doi.org/10.5194/hess-23-2351-2019,</w:t>
        </w:r>
      </w:hyperlink>
      <w:r>
        <w:rPr>
          <w:rStyle w:val="CharStyle31"/>
          <w:lang w:eastAsia="en-US"/>
        </w:rPr>
        <w:t xml:space="preserve"> 2019.</w:t>
      </w:r>
    </w:p>
    <w:p w14:paraId="3B89F507" w14:textId="77777777" w:rsidR="007857F3" w:rsidRDefault="007857F3">
      <w:pPr>
        <w:pStyle w:val="Style30"/>
        <w:jc w:val="both"/>
        <w:rPr>
          <w:rFonts w:ascii="Times New Roman" w:hAnsi="Times New Roman" w:cs="Times New Roman"/>
          <w:sz w:val="24"/>
          <w:szCs w:val="24"/>
        </w:rPr>
      </w:pPr>
      <w:r>
        <w:rPr>
          <w:rStyle w:val="CharStyle31"/>
          <w:lang w:eastAsia="en-US"/>
        </w:rPr>
        <w:t>Kennedy, J. J., Rayner, N. A., Atkinson, C. P., and Kil- lick, R. E.: An Ensemble Data Set of Sea Surface Tem</w:t>
      </w:r>
      <w:r>
        <w:rPr>
          <w:rStyle w:val="CharStyle31"/>
          <w:lang w:eastAsia="en-US"/>
        </w:rPr>
        <w:softHyphen/>
        <w:t>perature Change From 1850: The Met Office Hadley Cen</w:t>
      </w:r>
      <w:r>
        <w:rPr>
          <w:rStyle w:val="CharStyle31"/>
          <w:lang w:eastAsia="en-US"/>
        </w:rPr>
        <w:softHyphen/>
        <w:t xml:space="preserve">tre HadSST.4.0.0.0 Data Set, J. Geophys. </w:t>
      </w:r>
      <w:r>
        <w:rPr>
          <w:rStyle w:val="CharStyle31"/>
          <w:lang w:eastAsia="en-US"/>
        </w:rPr>
        <w:t xml:space="preserve">Res.-Atmos., 124, 7719–7763, </w:t>
      </w:r>
      <w:hyperlink r:id="rId93" w:history="1">
        <w:r>
          <w:rPr>
            <w:rStyle w:val="CharStyle31"/>
            <w:lang w:eastAsia="en-US"/>
          </w:rPr>
          <w:t>https://doi.org/10.1029/2018JD029867,</w:t>
        </w:r>
      </w:hyperlink>
      <w:r>
        <w:rPr>
          <w:rStyle w:val="CharStyle31"/>
          <w:lang w:eastAsia="en-US"/>
        </w:rPr>
        <w:t xml:space="preserve"> 2019 (data available at:</w:t>
      </w:r>
      <w:hyperlink r:id="rId94" w:history="1">
        <w:r>
          <w:rPr>
            <w:rStyle w:val="CharStyle31"/>
            <w:lang w:eastAsia="en-US"/>
          </w:rPr>
          <w:t xml:space="preserve"> https://www.metoffice.gov.uk/hadobs/hadsst4/data/</w:t>
        </w:r>
      </w:hyperlink>
      <w:r>
        <w:rPr>
          <w:rStyle w:val="CharStyle31"/>
          <w:lang w:eastAsia="en-US"/>
        </w:rPr>
        <w:t xml:space="preserve"> </w:t>
      </w:r>
      <w:hyperlink r:id="rId95" w:history="1">
        <w:r>
          <w:rPr>
            <w:rStyle w:val="CharStyle31"/>
            <w:lang w:eastAsia="en-US"/>
          </w:rPr>
          <w:t>download.html,</w:t>
        </w:r>
      </w:hyperlink>
      <w:r>
        <w:rPr>
          <w:rStyle w:val="CharStyle31"/>
          <w:lang w:eastAsia="en-US"/>
        </w:rPr>
        <w:t xml:space="preserve"> last access: March 2025).</w:t>
      </w:r>
    </w:p>
    <w:p w14:paraId="3689E06A" w14:textId="77777777" w:rsidR="007857F3" w:rsidRDefault="007857F3">
      <w:pPr>
        <w:pStyle w:val="Style30"/>
        <w:jc w:val="both"/>
        <w:rPr>
          <w:rFonts w:ascii="Times New Roman" w:hAnsi="Times New Roman" w:cs="Times New Roman"/>
          <w:sz w:val="24"/>
          <w:szCs w:val="24"/>
        </w:rPr>
      </w:pPr>
      <w:r>
        <w:rPr>
          <w:rStyle w:val="CharStyle31"/>
          <w:lang w:eastAsia="en-US"/>
        </w:rPr>
        <w:t>Le, T. and Bae, D.-H.: Response of global evaporation to major cli</w:t>
      </w:r>
      <w:r>
        <w:rPr>
          <w:rStyle w:val="CharStyle31"/>
          <w:lang w:eastAsia="en-US"/>
        </w:rPr>
        <w:softHyphen/>
        <w:t>mate modes in historical and future Coupled Model Intercom</w:t>
      </w:r>
      <w:r>
        <w:rPr>
          <w:rStyle w:val="CharStyle31"/>
          <w:lang w:eastAsia="en-US"/>
        </w:rPr>
        <w:softHyphen/>
        <w:t xml:space="preserve">parison Project Phase 5 simulations, Hydrol. Earth Syst. Sci., 24, 1131–1143, </w:t>
      </w:r>
      <w:hyperlink r:id="rId96" w:history="1">
        <w:r>
          <w:rPr>
            <w:rStyle w:val="CharStyle31"/>
            <w:lang w:eastAsia="en-US"/>
          </w:rPr>
          <w:t>https://doi.org/10.5194/hess-24-1131-2020,</w:t>
        </w:r>
      </w:hyperlink>
      <w:r>
        <w:rPr>
          <w:rStyle w:val="CharStyle31"/>
          <w:lang w:eastAsia="en-US"/>
        </w:rPr>
        <w:t xml:space="preserve"> 2020.</w:t>
      </w:r>
    </w:p>
    <w:p w14:paraId="6273184D" w14:textId="77777777" w:rsidR="007857F3" w:rsidRDefault="007857F3">
      <w:pPr>
        <w:pStyle w:val="Style30"/>
        <w:jc w:val="both"/>
        <w:rPr>
          <w:rFonts w:ascii="Times New Roman" w:hAnsi="Times New Roman" w:cs="Times New Roman"/>
          <w:sz w:val="24"/>
          <w:szCs w:val="24"/>
        </w:rPr>
      </w:pPr>
      <w:r>
        <w:rPr>
          <w:rStyle w:val="CharStyle31"/>
          <w:lang w:eastAsia="en-US"/>
        </w:rPr>
        <w:t>Lehner, B. and Grill, G.: Global river hydrography and net</w:t>
      </w:r>
      <w:r>
        <w:rPr>
          <w:rStyle w:val="CharStyle31"/>
          <w:lang w:eastAsia="en-US"/>
        </w:rPr>
        <w:softHyphen/>
        <w:t xml:space="preserve">work routing: baseline data and new approaches to study the world’s large river systems, Hydrol. Process., 27, 2171– 2186, </w:t>
      </w:r>
      <w:hyperlink r:id="rId97" w:history="1">
        <w:r>
          <w:rPr>
            <w:rStyle w:val="CharStyle31"/>
            <w:lang w:eastAsia="en-US"/>
          </w:rPr>
          <w:t>https://doi.org/10.1002/hyp.9740,</w:t>
        </w:r>
      </w:hyperlink>
      <w:r>
        <w:rPr>
          <w:rStyle w:val="CharStyle31"/>
          <w:lang w:eastAsia="en-US"/>
        </w:rPr>
        <w:t xml:space="preserve"> 2013 (data available at: </w:t>
      </w:r>
      <w:hyperlink r:id="rId98" w:history="1">
        <w:r>
          <w:rPr>
            <w:rStyle w:val="CharStyle31"/>
            <w:lang w:eastAsia="en-US"/>
          </w:rPr>
          <w:t>https://www.hydrosheds.org/products/hydrobasins,</w:t>
        </w:r>
      </w:hyperlink>
      <w:r>
        <w:rPr>
          <w:rStyle w:val="CharStyle31"/>
          <w:lang w:eastAsia="en-US"/>
        </w:rPr>
        <w:t xml:space="preserve"> last access: March 2025).</w:t>
      </w:r>
    </w:p>
    <w:p w14:paraId="74781AFC" w14:textId="77777777" w:rsidR="007857F3" w:rsidRDefault="007857F3">
      <w:pPr>
        <w:pStyle w:val="Style30"/>
        <w:tabs>
          <w:tab w:val="left" w:pos="4075"/>
        </w:tabs>
        <w:jc w:val="both"/>
        <w:rPr>
          <w:rFonts w:ascii="Times New Roman" w:hAnsi="Times New Roman" w:cs="Times New Roman"/>
          <w:sz w:val="24"/>
          <w:szCs w:val="24"/>
        </w:rPr>
      </w:pPr>
      <w:r>
        <w:rPr>
          <w:rStyle w:val="CharStyle31"/>
          <w:lang w:eastAsia="en-US"/>
        </w:rPr>
        <w:t>Lian, X., Morfopoulos, C., and Gentine, P.: Water deficit and storm disturbances co-regulate Amazon rain</w:t>
      </w:r>
      <w:r>
        <w:rPr>
          <w:rStyle w:val="CharStyle31"/>
          <w:lang w:eastAsia="en-US"/>
        </w:rPr>
        <w:softHyphen/>
        <w:t>forest seasonality, Science Advances, 10,</w:t>
      </w:r>
      <w:r>
        <w:rPr>
          <w:rStyle w:val="CharStyle31"/>
          <w:lang w:eastAsia="en-US"/>
        </w:rPr>
        <w:tab/>
        <w:t xml:space="preserve">eadk5861, </w:t>
      </w:r>
      <w:hyperlink r:id="rId99" w:history="1">
        <w:r>
          <w:rPr>
            <w:rStyle w:val="CharStyle31"/>
            <w:lang w:eastAsia="en-US"/>
          </w:rPr>
          <w:t>https://doi.org/10.1126/sciadv.adk5861,</w:t>
        </w:r>
      </w:hyperlink>
      <w:r>
        <w:rPr>
          <w:rStyle w:val="CharStyle31"/>
          <w:lang w:eastAsia="en-US"/>
        </w:rPr>
        <w:t xml:space="preserve"> 2024.</w:t>
      </w:r>
    </w:p>
    <w:p w14:paraId="3EB02DA8" w14:textId="77777777" w:rsidR="007857F3" w:rsidRDefault="007857F3">
      <w:pPr>
        <w:pStyle w:val="Style30"/>
        <w:jc w:val="both"/>
        <w:rPr>
          <w:rFonts w:ascii="Times New Roman" w:hAnsi="Times New Roman" w:cs="Times New Roman"/>
          <w:sz w:val="24"/>
          <w:szCs w:val="24"/>
        </w:rPr>
      </w:pPr>
      <w:r>
        <w:rPr>
          <w:rStyle w:val="CharStyle31"/>
          <w:lang w:eastAsia="en-US"/>
        </w:rPr>
        <w:t>Lopes, A. V., Chiang, J. C. H., Thompson, S. A., and Dracup, J. A.: Trend and uncertainty in spatial-temporal patterns of hydrologi</w:t>
      </w:r>
      <w:r>
        <w:rPr>
          <w:rStyle w:val="CharStyle31"/>
          <w:lang w:eastAsia="en-US"/>
        </w:rPr>
        <w:softHyphen/>
        <w:t xml:space="preserve">cal droughts in the Amazon basin, Geophys. Res. Lett., 43, 3307– 3316, </w:t>
      </w:r>
      <w:hyperlink r:id="rId100" w:history="1">
        <w:r>
          <w:rPr>
            <w:rStyle w:val="CharStyle31"/>
            <w:lang w:eastAsia="en-US"/>
          </w:rPr>
          <w:t>https://doi.org/10.1002/2016GL067738,</w:t>
        </w:r>
      </w:hyperlink>
      <w:r>
        <w:rPr>
          <w:rStyle w:val="CharStyle31"/>
          <w:lang w:eastAsia="en-US"/>
        </w:rPr>
        <w:t xml:space="preserve"> 2016. Lübbecke, J. F. and McPhaden, M. J.: On the Inconsistent Relation</w:t>
      </w:r>
      <w:r>
        <w:rPr>
          <w:rStyle w:val="CharStyle31"/>
          <w:lang w:eastAsia="en-US"/>
        </w:rPr>
        <w:softHyphen/>
        <w:t xml:space="preserve">ship between Pacific and Atlantic Niños, J. Climate, 25, 4294– 4303, </w:t>
      </w:r>
      <w:hyperlink r:id="rId101" w:history="1">
        <w:r>
          <w:rPr>
            <w:rStyle w:val="CharStyle31"/>
            <w:lang w:eastAsia="en-US"/>
          </w:rPr>
          <w:t>https://doi.org/10.1175/JCLI-D-11-00553.1,</w:t>
        </w:r>
      </w:hyperlink>
      <w:r>
        <w:rPr>
          <w:rStyle w:val="CharStyle31"/>
          <w:lang w:eastAsia="en-US"/>
        </w:rPr>
        <w:t xml:space="preserve"> 2012.</w:t>
      </w:r>
    </w:p>
    <w:p w14:paraId="07D46678" w14:textId="77777777" w:rsidR="007857F3" w:rsidRDefault="007857F3">
      <w:pPr>
        <w:pStyle w:val="Style30"/>
        <w:jc w:val="both"/>
        <w:rPr>
          <w:rFonts w:ascii="Times New Roman" w:hAnsi="Times New Roman" w:cs="Times New Roman"/>
          <w:sz w:val="24"/>
          <w:szCs w:val="24"/>
        </w:rPr>
      </w:pPr>
      <w:bookmarkStart w:id="75" w:name="bookmark102"/>
      <w:bookmarkStart w:id="76" w:name="bookmark103"/>
      <w:r>
        <w:rPr>
          <w:rStyle w:val="CharStyle31"/>
          <w:lang w:eastAsia="en-US"/>
        </w:rPr>
        <w:t xml:space="preserve">Lübbecke, J. F., Rodríguez-Fonseca, B., Richter, I., Martín-Rey, M., Losada, T., Polo, I., and Keenlyside, N. S.: Equatorial Atlantic variability – Modes, mechanisms, and global teleconnections, WIRES Clim. Change, 9, e527, </w:t>
      </w:r>
      <w:hyperlink r:id="rId102" w:history="1">
        <w:r>
          <w:rPr>
            <w:rStyle w:val="CharStyle31"/>
            <w:lang w:eastAsia="en-US"/>
          </w:rPr>
          <w:t>https://doi.org/10.1002/wcc.527,</w:t>
        </w:r>
      </w:hyperlink>
      <w:r>
        <w:rPr>
          <w:rStyle w:val="CharStyle31"/>
          <w:lang w:eastAsia="en-US"/>
        </w:rPr>
        <w:t xml:space="preserve"> 2018.</w:t>
      </w:r>
      <w:bookmarkEnd w:id="75"/>
      <w:bookmarkEnd w:id="76"/>
    </w:p>
    <w:p w14:paraId="7A6BB44D" w14:textId="77777777" w:rsidR="007857F3" w:rsidRDefault="007857F3">
      <w:pPr>
        <w:pStyle w:val="Style30"/>
        <w:jc w:val="both"/>
        <w:rPr>
          <w:rFonts w:ascii="Times New Roman" w:hAnsi="Times New Roman" w:cs="Times New Roman"/>
          <w:sz w:val="24"/>
          <w:szCs w:val="24"/>
        </w:rPr>
      </w:pPr>
      <w:bookmarkStart w:id="77" w:name="bookmark104"/>
      <w:bookmarkStart w:id="78" w:name="bookmark105"/>
      <w:r>
        <w:rPr>
          <w:rStyle w:val="CharStyle31"/>
          <w:lang w:eastAsia="en-US"/>
        </w:rPr>
        <w:t>Makarieva, A. M., Nefiodov, A. V., Nobre, A. D., Baudena, M., Bardi, U., Sheil, D., Saleska, S. R., Molina, R. D., and Rammig, A.: The role of ecosystem transpiration in cre</w:t>
      </w:r>
      <w:r>
        <w:rPr>
          <w:rStyle w:val="CharStyle31"/>
          <w:lang w:eastAsia="en-US"/>
        </w:rPr>
        <w:softHyphen/>
        <w:t xml:space="preserve">ating alternate moisture regimes by influencing atmospheric moisture convergence, Glob. Change Biol., 29, 2536–2556, </w:t>
      </w:r>
      <w:hyperlink r:id="rId103" w:history="1">
        <w:r>
          <w:rPr>
            <w:rStyle w:val="CharStyle31"/>
            <w:lang w:eastAsia="en-US"/>
          </w:rPr>
          <w:t>https://doi.org/10.1111/gcb.16644,</w:t>
        </w:r>
      </w:hyperlink>
      <w:r>
        <w:rPr>
          <w:rStyle w:val="CharStyle31"/>
          <w:lang w:eastAsia="en-US"/>
        </w:rPr>
        <w:t xml:space="preserve"> 2023.</w:t>
      </w:r>
      <w:bookmarkEnd w:id="77"/>
      <w:bookmarkEnd w:id="78"/>
    </w:p>
    <w:p w14:paraId="10F0DC58" w14:textId="77777777" w:rsidR="007857F3" w:rsidRDefault="007857F3">
      <w:pPr>
        <w:pStyle w:val="Style30"/>
        <w:jc w:val="both"/>
        <w:rPr>
          <w:rFonts w:ascii="Times New Roman" w:hAnsi="Times New Roman" w:cs="Times New Roman"/>
          <w:sz w:val="24"/>
          <w:szCs w:val="24"/>
        </w:rPr>
      </w:pPr>
      <w:bookmarkStart w:id="79" w:name="bookmark106"/>
      <w:r>
        <w:rPr>
          <w:rStyle w:val="CharStyle31"/>
          <w:lang w:eastAsia="en-US"/>
        </w:rPr>
        <w:t xml:space="preserve">Marengo, J. A. and Espinoza, J. C.: Extreme seasonal droughts and floods in Amazonia: Causes, trends and impacts, Int. J. Climatol., 36, 1033–1050, </w:t>
      </w:r>
      <w:hyperlink r:id="rId104" w:history="1">
        <w:r>
          <w:rPr>
            <w:rStyle w:val="CharStyle31"/>
            <w:lang w:eastAsia="en-US"/>
          </w:rPr>
          <w:t>https://doi.org/10.1002/joc.4420,</w:t>
        </w:r>
      </w:hyperlink>
      <w:r>
        <w:rPr>
          <w:rStyle w:val="CharStyle31"/>
          <w:lang w:eastAsia="en-US"/>
        </w:rPr>
        <w:t xml:space="preserve"> 2016.</w:t>
      </w:r>
      <w:bookmarkEnd w:id="79"/>
    </w:p>
    <w:p w14:paraId="0341E4E1" w14:textId="77777777" w:rsidR="007857F3" w:rsidRDefault="007857F3">
      <w:pPr>
        <w:pStyle w:val="Style30"/>
        <w:jc w:val="both"/>
        <w:rPr>
          <w:rFonts w:ascii="Times New Roman" w:hAnsi="Times New Roman" w:cs="Times New Roman"/>
          <w:sz w:val="24"/>
          <w:szCs w:val="24"/>
        </w:rPr>
      </w:pPr>
      <w:bookmarkStart w:id="80" w:name="bookmark107"/>
      <w:bookmarkStart w:id="81" w:name="bookmark108"/>
      <w:r>
        <w:rPr>
          <w:rStyle w:val="CharStyle31"/>
          <w:lang w:eastAsia="en-US"/>
        </w:rPr>
        <w:t>Mariotti, A., Ruti, P. M., and Rixen, M.: Progress in subseasonal to seasonal prediction through a joint weather and climate com</w:t>
      </w:r>
      <w:r>
        <w:rPr>
          <w:rStyle w:val="CharStyle31"/>
          <w:lang w:eastAsia="en-US"/>
        </w:rPr>
        <w:softHyphen/>
        <w:t xml:space="preserve">munity effort, npj Climate and Atmospheric Science, 1, 2–5, </w:t>
      </w:r>
      <w:hyperlink r:id="rId105" w:history="1">
        <w:r>
          <w:rPr>
            <w:rStyle w:val="CharStyle31"/>
            <w:lang w:eastAsia="en-US"/>
          </w:rPr>
          <w:t>https://doi.org/10.1038/s41612-018-0014-z,</w:t>
        </w:r>
      </w:hyperlink>
      <w:r>
        <w:rPr>
          <w:rStyle w:val="CharStyle31"/>
          <w:lang w:eastAsia="en-US"/>
        </w:rPr>
        <w:t xml:space="preserve"> 2018.</w:t>
      </w:r>
      <w:bookmarkEnd w:id="80"/>
      <w:bookmarkEnd w:id="81"/>
    </w:p>
    <w:p w14:paraId="11F6351A" w14:textId="77777777" w:rsidR="007857F3" w:rsidRDefault="007857F3">
      <w:pPr>
        <w:pStyle w:val="Style30"/>
        <w:jc w:val="both"/>
        <w:rPr>
          <w:rFonts w:ascii="Times New Roman" w:hAnsi="Times New Roman" w:cs="Times New Roman"/>
          <w:sz w:val="24"/>
          <w:szCs w:val="24"/>
        </w:rPr>
      </w:pPr>
      <w:bookmarkStart w:id="82" w:name="bookmark109"/>
      <w:bookmarkStart w:id="83" w:name="bookmark110"/>
      <w:bookmarkStart w:id="84" w:name="bookmark111"/>
      <w:r>
        <w:rPr>
          <w:rStyle w:val="CharStyle31"/>
          <w:lang w:eastAsia="en-US"/>
        </w:rPr>
        <w:t>Martens, B., Miralles, D. G., Lievens, H., van der Schalie, R., de Jeu, R. A. M., Fernández-Prieto, D., Beck, H. E., Dorigo, W. A., and Verhoest, N. E. C.: GLEAM v3: satellite-based land evapora</w:t>
      </w:r>
      <w:r>
        <w:rPr>
          <w:rStyle w:val="CharStyle31"/>
          <w:lang w:eastAsia="en-US"/>
        </w:rPr>
        <w:softHyphen/>
        <w:t xml:space="preserve">tion and root-zone soil moisture, Geosci. Model Dev., 10, 1903– 1925, </w:t>
      </w:r>
      <w:hyperlink r:id="rId106" w:history="1">
        <w:r>
          <w:rPr>
            <w:rStyle w:val="CharStyle31"/>
            <w:lang w:eastAsia="en-US"/>
          </w:rPr>
          <w:t>https://doi.org/10.5194/gmd-10-1903-2017,</w:t>
        </w:r>
      </w:hyperlink>
      <w:r>
        <w:rPr>
          <w:rStyle w:val="CharStyle31"/>
          <w:lang w:eastAsia="en-US"/>
        </w:rPr>
        <w:t xml:space="preserve"> 2017 (data available at:</w:t>
      </w:r>
      <w:hyperlink r:id="rId107" w:history="1">
        <w:r>
          <w:rPr>
            <w:rStyle w:val="CharStyle31"/>
            <w:lang w:eastAsia="en-US"/>
          </w:rPr>
          <w:t xml:space="preserve"> https://www.gleam.eu/,</w:t>
        </w:r>
      </w:hyperlink>
      <w:r>
        <w:rPr>
          <w:rStyle w:val="CharStyle31"/>
          <w:lang w:eastAsia="en-US"/>
        </w:rPr>
        <w:t xml:space="preserve"> last access: March 2025).</w:t>
      </w:r>
      <w:bookmarkEnd w:id="82"/>
      <w:bookmarkEnd w:id="83"/>
      <w:bookmarkEnd w:id="84"/>
    </w:p>
    <w:p w14:paraId="2D5FE41D" w14:textId="77777777" w:rsidR="007857F3" w:rsidRDefault="007857F3">
      <w:pPr>
        <w:pStyle w:val="Style30"/>
        <w:jc w:val="both"/>
        <w:rPr>
          <w:rFonts w:ascii="Times New Roman" w:hAnsi="Times New Roman" w:cs="Times New Roman"/>
          <w:sz w:val="24"/>
          <w:szCs w:val="24"/>
        </w:rPr>
      </w:pPr>
      <w:bookmarkStart w:id="85" w:name="bookmark112"/>
      <w:bookmarkStart w:id="86" w:name="bookmark113"/>
      <w:r>
        <w:rPr>
          <w:rStyle w:val="CharStyle31"/>
          <w:lang w:eastAsia="en-US"/>
        </w:rPr>
        <w:t>Martens, B., Waegeman, W., Dorigo, W. A., Verhoest, N. E. C., and Miralles, D. G.: Terrestrial evaporation response to modes of cli</w:t>
      </w:r>
      <w:r>
        <w:rPr>
          <w:rStyle w:val="CharStyle31"/>
          <w:lang w:eastAsia="en-US"/>
        </w:rPr>
        <w:softHyphen/>
        <w:t xml:space="preserve">mate variability, npj Climate and Atmospheric Science, 1, 43, </w:t>
      </w:r>
      <w:hyperlink r:id="rId108" w:history="1">
        <w:r>
          <w:rPr>
            <w:rStyle w:val="CharStyle31"/>
            <w:lang w:eastAsia="en-US"/>
          </w:rPr>
          <w:t>https://doi.org/10.1038/s41612-018-0053-5,</w:t>
        </w:r>
      </w:hyperlink>
      <w:r>
        <w:rPr>
          <w:rStyle w:val="CharStyle31"/>
          <w:lang w:eastAsia="en-US"/>
        </w:rPr>
        <w:t xml:space="preserve"> 2018.</w:t>
      </w:r>
      <w:bookmarkEnd w:id="85"/>
      <w:bookmarkEnd w:id="86"/>
    </w:p>
    <w:p w14:paraId="52BF09D2" w14:textId="77777777" w:rsidR="007857F3" w:rsidRDefault="007857F3">
      <w:pPr>
        <w:pStyle w:val="Style30"/>
        <w:jc w:val="both"/>
        <w:rPr>
          <w:rFonts w:ascii="Times New Roman" w:hAnsi="Times New Roman" w:cs="Times New Roman"/>
          <w:sz w:val="24"/>
          <w:szCs w:val="24"/>
        </w:rPr>
      </w:pPr>
      <w:bookmarkStart w:id="87" w:name="bookmark114"/>
      <w:r>
        <w:rPr>
          <w:rStyle w:val="CharStyle31"/>
          <w:lang w:eastAsia="en-US"/>
        </w:rPr>
        <w:t>Martín-Rey, M., Rodríguez-Fonseca, B., Polo, I., and Kucharski, F.: On the Atlantic–Pacific Niños connection: a multi- decadal modulated mode, Clim. Dynam., 43, 3163–317</w:t>
      </w:r>
      <w:bookmarkStart w:id="88" w:name="bookmark115"/>
      <w:r>
        <w:rPr>
          <w:rStyle w:val="CharStyle31"/>
          <w:lang w:eastAsia="en-US"/>
        </w:rPr>
        <w:t>8</w:t>
      </w:r>
      <w:bookmarkEnd w:id="88"/>
      <w:r>
        <w:rPr>
          <w:rStyle w:val="CharStyle31"/>
          <w:lang w:eastAsia="en-US"/>
        </w:rPr>
        <w:t xml:space="preserve">, </w:t>
      </w:r>
      <w:hyperlink r:id="rId109" w:history="1">
        <w:r>
          <w:rPr>
            <w:rStyle w:val="CharStyle31"/>
            <w:lang w:eastAsia="en-US"/>
          </w:rPr>
          <w:t>https://doi.org/10.1007/s00382-014-2305-3,</w:t>
        </w:r>
      </w:hyperlink>
      <w:r>
        <w:rPr>
          <w:rStyle w:val="CharStyle31"/>
          <w:lang w:eastAsia="en-US"/>
        </w:rPr>
        <w:t xml:space="preserve"> 2014.</w:t>
      </w:r>
      <w:bookmarkEnd w:id="87"/>
    </w:p>
    <w:p w14:paraId="05E89C9A" w14:textId="77777777" w:rsidR="007857F3" w:rsidRDefault="007857F3">
      <w:pPr>
        <w:pStyle w:val="Style30"/>
        <w:jc w:val="both"/>
        <w:rPr>
          <w:rFonts w:ascii="Times New Roman" w:hAnsi="Times New Roman" w:cs="Times New Roman"/>
          <w:sz w:val="24"/>
          <w:szCs w:val="24"/>
        </w:rPr>
      </w:pPr>
      <w:bookmarkStart w:id="89" w:name="bookmark116"/>
      <w:r>
        <w:rPr>
          <w:rStyle w:val="CharStyle31"/>
          <w:lang w:eastAsia="en-US"/>
        </w:rPr>
        <w:t>Merz, B., Blöschl, G., Vorogushyn, S., Dottori, F., Aerts, J. C., Bates, P., Bertola, M., Kemter, M., Kreibich, H., Lall, U., and Macdonald, E.: Causes, impacts and patterns of disastrous river floods, Nature Reviews Earth and Environment, 2, 592–60</w:t>
      </w:r>
      <w:bookmarkStart w:id="90" w:name="bookmark117"/>
      <w:r>
        <w:rPr>
          <w:rStyle w:val="CharStyle31"/>
          <w:lang w:eastAsia="en-US"/>
        </w:rPr>
        <w:t>9</w:t>
      </w:r>
      <w:bookmarkEnd w:id="90"/>
      <w:r>
        <w:rPr>
          <w:rStyle w:val="CharStyle31"/>
          <w:lang w:eastAsia="en-US"/>
        </w:rPr>
        <w:t xml:space="preserve">, </w:t>
      </w:r>
      <w:hyperlink r:id="rId110" w:history="1">
        <w:r>
          <w:rPr>
            <w:rStyle w:val="CharStyle31"/>
            <w:lang w:eastAsia="en-US"/>
          </w:rPr>
          <w:t>https://doi.org/10.1038/s43017-021-00195-3,</w:t>
        </w:r>
      </w:hyperlink>
      <w:r>
        <w:rPr>
          <w:rStyle w:val="CharStyle31"/>
          <w:lang w:eastAsia="en-US"/>
        </w:rPr>
        <w:t xml:space="preserve"> 2021.</w:t>
      </w:r>
      <w:bookmarkEnd w:id="89"/>
    </w:p>
    <w:p w14:paraId="47CC7538" w14:textId="77777777" w:rsidR="007857F3" w:rsidRDefault="007857F3">
      <w:pPr>
        <w:pStyle w:val="Style30"/>
        <w:jc w:val="both"/>
        <w:rPr>
          <w:rFonts w:ascii="Times New Roman" w:hAnsi="Times New Roman" w:cs="Times New Roman"/>
          <w:sz w:val="24"/>
          <w:szCs w:val="24"/>
        </w:rPr>
      </w:pPr>
      <w:bookmarkStart w:id="91" w:name="bookmark118"/>
      <w:r>
        <w:rPr>
          <w:rStyle w:val="CharStyle31"/>
          <w:lang w:eastAsia="en-US"/>
        </w:rPr>
        <w:lastRenderedPageBreak/>
        <w:t xml:space="preserve">Miralles, D. G., Van Den Berg, M. J., Gash, J. H., Parinussa, R. M., De Jeu, R. A., Beck, H. E., Holmes, T. R., </w:t>
      </w:r>
      <w:r>
        <w:rPr>
          <w:rStyle w:val="CharStyle31"/>
          <w:lang w:val="it-IT" w:eastAsia="it-IT"/>
        </w:rPr>
        <w:t xml:space="preserve">Jiménez, </w:t>
      </w:r>
      <w:r>
        <w:rPr>
          <w:rStyle w:val="CharStyle31"/>
          <w:lang w:eastAsia="en-US"/>
        </w:rPr>
        <w:t>C., Verhoest, N. E., Dorigo, W. A., Teuling, A. J., and J</w:t>
      </w:r>
      <w:bookmarkStart w:id="92" w:name="bookmark119"/>
      <w:r>
        <w:rPr>
          <w:rStyle w:val="CharStyle31"/>
          <w:lang w:eastAsia="en-US"/>
        </w:rPr>
        <w:t>o</w:t>
      </w:r>
      <w:bookmarkEnd w:id="92"/>
      <w:r>
        <w:rPr>
          <w:rStyle w:val="CharStyle31"/>
          <w:lang w:eastAsia="en-US"/>
        </w:rPr>
        <w:softHyphen/>
        <w:t xml:space="preserve">hannes Dolman, A.: El Niño-La Niña cycle and recent trends in continental evaporation, Nat. Clim. Change, 4, 122–126, </w:t>
      </w:r>
      <w:hyperlink r:id="rId111" w:history="1">
        <w:r>
          <w:rPr>
            <w:rStyle w:val="CharStyle31"/>
            <w:lang w:eastAsia="en-US"/>
          </w:rPr>
          <w:t>https://doi.org/10.1038/nclimate2068,</w:t>
        </w:r>
      </w:hyperlink>
      <w:r>
        <w:rPr>
          <w:rStyle w:val="CharStyle31"/>
          <w:lang w:eastAsia="en-US"/>
        </w:rPr>
        <w:t xml:space="preserve"> 2014.</w:t>
      </w:r>
      <w:bookmarkEnd w:id="91"/>
    </w:p>
    <w:p w14:paraId="09B9C4CE" w14:textId="77777777" w:rsidR="007857F3" w:rsidRDefault="007857F3">
      <w:pPr>
        <w:pStyle w:val="Style30"/>
        <w:tabs>
          <w:tab w:val="left" w:pos="4147"/>
        </w:tabs>
        <w:jc w:val="both"/>
        <w:rPr>
          <w:rFonts w:ascii="Times New Roman" w:hAnsi="Times New Roman" w:cs="Times New Roman"/>
          <w:sz w:val="24"/>
          <w:szCs w:val="24"/>
        </w:rPr>
      </w:pPr>
      <w:bookmarkStart w:id="93" w:name="bookmark120"/>
      <w:bookmarkStart w:id="94" w:name="bookmark121"/>
      <w:r>
        <w:rPr>
          <w:rStyle w:val="CharStyle31"/>
          <w:lang w:eastAsia="en-US"/>
        </w:rPr>
        <w:t>Mishra, A. K. and Singh, V. P.: A review of drought concepts, J. Hydrol., 391,</w:t>
      </w:r>
      <w:r>
        <w:rPr>
          <w:rStyle w:val="CharStyle31"/>
          <w:lang w:eastAsia="en-US"/>
        </w:rPr>
        <w:tab/>
        <w:t xml:space="preserve">202–216, </w:t>
      </w:r>
      <w:hyperlink r:id="rId112" w:history="1">
        <w:bookmarkEnd w:id="93"/>
        <w:bookmarkEnd w:id="94"/>
        <w:r>
          <w:rPr>
            <w:rStyle w:val="CharStyle31"/>
            <w:lang w:eastAsia="en-US"/>
          </w:rPr>
          <w:t>https://doi.org/10.1016/j.jhydrol.2010.07.012,</w:t>
        </w:r>
      </w:hyperlink>
      <w:r>
        <w:rPr>
          <w:rStyle w:val="CharStyle31"/>
          <w:lang w:eastAsia="en-US"/>
        </w:rPr>
        <w:t xml:space="preserve"> 2010.</w:t>
      </w:r>
    </w:p>
    <w:p w14:paraId="36BFD60C" w14:textId="77777777" w:rsidR="007857F3" w:rsidRDefault="007857F3">
      <w:pPr>
        <w:pStyle w:val="Style30"/>
        <w:jc w:val="both"/>
        <w:rPr>
          <w:rFonts w:ascii="Times New Roman" w:hAnsi="Times New Roman" w:cs="Times New Roman"/>
          <w:sz w:val="24"/>
          <w:szCs w:val="24"/>
        </w:rPr>
      </w:pPr>
      <w:bookmarkStart w:id="95" w:name="bookmark122"/>
      <w:bookmarkStart w:id="96" w:name="bookmark123"/>
      <w:bookmarkStart w:id="97" w:name="bookmark124"/>
      <w:r>
        <w:rPr>
          <w:rStyle w:val="CharStyle31"/>
          <w:lang w:eastAsia="en-US"/>
        </w:rPr>
        <w:t>Moura, M. M., dos Santos, A. R., Pezzopane, J. E. M., Alexan</w:t>
      </w:r>
      <w:r>
        <w:rPr>
          <w:rStyle w:val="CharStyle31"/>
          <w:lang w:eastAsia="en-US"/>
        </w:rPr>
        <w:softHyphen/>
        <w:t>dre, R. S., da Silva, S. F., Pimentel, S. M., de Andrade, M. S. S., Silva, F. G. R., Branco, E. R. F., Moreira, T. R., da Silva, R. G., and de Carvalho, J. R.: Relation of El Niño and La Niña phenomena to precipitation, evapotranspiration and temper</w:t>
      </w:r>
      <w:r>
        <w:rPr>
          <w:rStyle w:val="CharStyle31"/>
          <w:lang w:eastAsia="en-US"/>
        </w:rPr>
        <w:softHyphen/>
        <w:t xml:space="preserve">ature in the Amazon basin, Sci. Total Environ., 651, 1639–1651, </w:t>
      </w:r>
      <w:hyperlink r:id="rId113" w:history="1">
        <w:r>
          <w:rPr>
            <w:rStyle w:val="CharStyle31"/>
            <w:lang w:eastAsia="en-US"/>
          </w:rPr>
          <w:t>https://doi.org/10.1016/j.scitotenv.2018.09.242,</w:t>
        </w:r>
      </w:hyperlink>
      <w:r>
        <w:rPr>
          <w:rStyle w:val="CharStyle31"/>
          <w:lang w:eastAsia="en-US"/>
        </w:rPr>
        <w:t xml:space="preserve"> 2019.</w:t>
      </w:r>
      <w:bookmarkEnd w:id="95"/>
      <w:bookmarkEnd w:id="96"/>
      <w:bookmarkEnd w:id="97"/>
    </w:p>
    <w:p w14:paraId="78836193" w14:textId="77777777" w:rsidR="007857F3" w:rsidRDefault="007857F3">
      <w:pPr>
        <w:pStyle w:val="Style30"/>
        <w:jc w:val="both"/>
        <w:rPr>
          <w:rFonts w:ascii="Times New Roman" w:hAnsi="Times New Roman" w:cs="Times New Roman"/>
          <w:sz w:val="24"/>
          <w:szCs w:val="24"/>
        </w:rPr>
      </w:pPr>
      <w:bookmarkStart w:id="98" w:name="bookmark125"/>
      <w:r>
        <w:rPr>
          <w:rStyle w:val="CharStyle31"/>
          <w:lang w:eastAsia="en-US"/>
        </w:rPr>
        <w:t xml:space="preserve">Münnich, M. and Neelin, J. D.: Seasonal influence of ENSO on the Atlantic ITCZ and equatorial South America, Geophys. Res. Lett., 32, L21709, </w:t>
      </w:r>
      <w:hyperlink r:id="rId114" w:history="1">
        <w:r>
          <w:rPr>
            <w:rStyle w:val="CharStyle31"/>
            <w:lang w:eastAsia="en-US"/>
          </w:rPr>
          <w:t>https://doi.org/10.1029/2005GL023900,</w:t>
        </w:r>
      </w:hyperlink>
      <w:r>
        <w:rPr>
          <w:rStyle w:val="CharStyle31"/>
          <w:lang w:eastAsia="en-US"/>
        </w:rPr>
        <w:t xml:space="preserve"> 2005.</w:t>
      </w:r>
      <w:bookmarkEnd w:id="98"/>
    </w:p>
    <w:p w14:paraId="63432EB9" w14:textId="77777777" w:rsidR="007857F3" w:rsidRDefault="007857F3">
      <w:pPr>
        <w:pStyle w:val="Style30"/>
        <w:jc w:val="both"/>
        <w:rPr>
          <w:rFonts w:ascii="Times New Roman" w:hAnsi="Times New Roman" w:cs="Times New Roman"/>
          <w:sz w:val="24"/>
          <w:szCs w:val="24"/>
        </w:rPr>
      </w:pPr>
      <w:bookmarkStart w:id="99" w:name="bookmark126"/>
      <w:r>
        <w:rPr>
          <w:rStyle w:val="CharStyle31"/>
          <w:lang w:eastAsia="en-US"/>
        </w:rPr>
        <w:t xml:space="preserve">Muñoz Sabater, J.: ERA5-Land monthly averaged data from 1950 to present, Copernicus Climate Change Service (C3S) Climate Data </w:t>
      </w:r>
      <w:bookmarkEnd w:id="99"/>
      <w:r>
        <w:rPr>
          <w:rStyle w:val="CharStyle31"/>
          <w:lang w:eastAsia="en-US"/>
        </w:rPr>
        <w:t xml:space="preserve">Store (CDS) [data set], </w:t>
      </w:r>
      <w:hyperlink r:id="rId115" w:history="1">
        <w:r>
          <w:rPr>
            <w:rStyle w:val="CharStyle31"/>
            <w:lang w:eastAsia="en-US"/>
          </w:rPr>
          <w:t>https://doi.org/10.24381/cds.68d2bb30,</w:t>
        </w:r>
      </w:hyperlink>
      <w:r>
        <w:rPr>
          <w:rStyle w:val="CharStyle31"/>
          <w:lang w:eastAsia="en-US"/>
        </w:rPr>
        <w:t xml:space="preserve"> 2019.</w:t>
      </w:r>
    </w:p>
    <w:p w14:paraId="236465D2" w14:textId="77777777" w:rsidR="007857F3" w:rsidRDefault="007857F3">
      <w:pPr>
        <w:pStyle w:val="Style30"/>
        <w:jc w:val="both"/>
        <w:rPr>
          <w:rFonts w:ascii="Times New Roman" w:hAnsi="Times New Roman" w:cs="Times New Roman"/>
          <w:sz w:val="24"/>
          <w:szCs w:val="24"/>
        </w:rPr>
      </w:pPr>
      <w:r>
        <w:rPr>
          <w:rStyle w:val="CharStyle31"/>
          <w:lang w:eastAsia="en-US"/>
        </w:rPr>
        <w:t>Muñoz-Sabater, J., Dutra, E., Agustí-Panareda, A., Albergel, C., Arduini, G., Balsamo, G., Boussetta, S., Choulga, M., Harri</w:t>
      </w:r>
      <w:r>
        <w:rPr>
          <w:rStyle w:val="CharStyle31"/>
          <w:lang w:eastAsia="en-US"/>
        </w:rPr>
        <w:softHyphen/>
        <w:t xml:space="preserve">gan, S., Hersbach, H., Martens, B., Miralles, D. G., Piles, M., Rodríguez-Fernández, N. J., Zsoter, E., Buontempo, C., and </w:t>
      </w:r>
      <w:r>
        <w:rPr>
          <w:rStyle w:val="CharStyle31"/>
          <w:lang w:val="it-IT" w:eastAsia="it-IT"/>
        </w:rPr>
        <w:t xml:space="preserve">Thépaut, </w:t>
      </w:r>
      <w:r>
        <w:rPr>
          <w:rStyle w:val="CharStyle31"/>
          <w:lang w:eastAsia="en-US"/>
        </w:rPr>
        <w:t xml:space="preserve">J.-N.: ERA5-Land: a state-of-the-art global reanalysis dataset for land applications, Earth Syst. Sci. Data, 13, 4349– 4383, </w:t>
      </w:r>
      <w:hyperlink r:id="rId116" w:history="1">
        <w:r>
          <w:rPr>
            <w:rStyle w:val="CharStyle31"/>
            <w:lang w:eastAsia="en-US"/>
          </w:rPr>
          <w:t>https://doi.org/10.5194/essd-13-4349-2021,</w:t>
        </w:r>
      </w:hyperlink>
      <w:r>
        <w:rPr>
          <w:rStyle w:val="CharStyle31"/>
          <w:lang w:eastAsia="en-US"/>
        </w:rPr>
        <w:t xml:space="preserve"> 2021.</w:t>
      </w:r>
    </w:p>
    <w:p w14:paraId="5DA2F15E" w14:textId="77777777" w:rsidR="007857F3" w:rsidRDefault="007857F3">
      <w:pPr>
        <w:pStyle w:val="Style30"/>
        <w:jc w:val="both"/>
        <w:rPr>
          <w:rFonts w:ascii="Times New Roman" w:hAnsi="Times New Roman" w:cs="Times New Roman"/>
          <w:sz w:val="24"/>
          <w:szCs w:val="24"/>
        </w:rPr>
      </w:pPr>
      <w:r>
        <w:rPr>
          <w:rStyle w:val="CharStyle31"/>
          <w:lang w:eastAsia="en-US"/>
        </w:rPr>
        <w:t>Nemani, R. R., Keeling, C. D., Hashimoto, H., Jolly, W. M., Piper, S. C., Tucker, C. J., Myneni, R. B., and Running, S. W.: Climate-Driven Increases in Global Terrestrial Net Pri</w:t>
      </w:r>
      <w:r>
        <w:rPr>
          <w:rStyle w:val="CharStyle31"/>
          <w:lang w:eastAsia="en-US"/>
        </w:rPr>
        <w:softHyphen/>
        <w:t xml:space="preserve">mary Production from 1982 to 1999, Science, 300, 1560–1563, </w:t>
      </w:r>
      <w:hyperlink r:id="rId117" w:history="1">
        <w:r>
          <w:rPr>
            <w:rStyle w:val="CharStyle31"/>
            <w:lang w:eastAsia="en-US"/>
          </w:rPr>
          <w:t>https://doi.org/10.1126/science.1082750,</w:t>
        </w:r>
      </w:hyperlink>
      <w:r>
        <w:rPr>
          <w:rStyle w:val="CharStyle31"/>
          <w:lang w:eastAsia="en-US"/>
        </w:rPr>
        <w:t xml:space="preserve"> 2003.</w:t>
      </w:r>
    </w:p>
    <w:p w14:paraId="4F12994F" w14:textId="77777777" w:rsidR="007857F3" w:rsidRDefault="007857F3">
      <w:pPr>
        <w:pStyle w:val="Style30"/>
        <w:jc w:val="both"/>
        <w:rPr>
          <w:rFonts w:ascii="Times New Roman" w:hAnsi="Times New Roman" w:cs="Times New Roman"/>
          <w:sz w:val="24"/>
          <w:szCs w:val="24"/>
        </w:rPr>
      </w:pPr>
      <w:r>
        <w:rPr>
          <w:rStyle w:val="CharStyle31"/>
          <w:lang w:eastAsia="en-US"/>
        </w:rPr>
        <w:t>O’Connor, J., Santos,</w:t>
      </w:r>
      <w:r>
        <w:rPr>
          <w:rStyle w:val="CharStyle31"/>
          <w:lang w:eastAsia="en-US"/>
        </w:rPr>
        <w:t xml:space="preserve"> M. J., Rebel, K. T., and Dekker, S. C.: The influence of water table depth on evapotranspiration in the Ama</w:t>
      </w:r>
      <w:r>
        <w:rPr>
          <w:rStyle w:val="CharStyle31"/>
          <w:lang w:eastAsia="en-US"/>
        </w:rPr>
        <w:softHyphen/>
        <w:t xml:space="preserve">zon arc of deforestation, Hydrol. Earth Syst. Sci., 23, 3917–3931, </w:t>
      </w:r>
      <w:hyperlink r:id="rId118" w:history="1">
        <w:r>
          <w:rPr>
            <w:rStyle w:val="CharStyle31"/>
            <w:lang w:eastAsia="en-US"/>
          </w:rPr>
          <w:t>https://doi.org/10.5194/hess-23-3917-2019,</w:t>
        </w:r>
      </w:hyperlink>
      <w:r>
        <w:rPr>
          <w:rStyle w:val="CharStyle31"/>
          <w:lang w:eastAsia="en-US"/>
        </w:rPr>
        <w:t xml:space="preserve"> 2019.</w:t>
      </w:r>
    </w:p>
    <w:p w14:paraId="179056B3" w14:textId="77777777" w:rsidR="007857F3" w:rsidRDefault="007857F3">
      <w:pPr>
        <w:pStyle w:val="Style30"/>
        <w:jc w:val="both"/>
        <w:rPr>
          <w:rFonts w:ascii="Times New Roman" w:hAnsi="Times New Roman" w:cs="Times New Roman"/>
          <w:sz w:val="24"/>
          <w:szCs w:val="24"/>
        </w:rPr>
      </w:pPr>
      <w:r>
        <w:rPr>
          <w:rStyle w:val="CharStyle31"/>
          <w:lang w:eastAsia="en-US"/>
        </w:rPr>
        <w:t>Olmo, M. E., Espinoza, J. C., Bettolli, M. L., Sierra, J. P., Jun- quas, C., Arias, P. A., Moron, V., and Balmaceda-Huarte, R.: Cir</w:t>
      </w:r>
      <w:r>
        <w:rPr>
          <w:rStyle w:val="CharStyle31"/>
          <w:lang w:eastAsia="en-US"/>
        </w:rPr>
        <w:softHyphen/>
        <w:t>culation Patterns and Associated Rainfall Over South Tropical South America: GCMs Evaluation During the Dry-To-Wet Tran</w:t>
      </w:r>
      <w:r>
        <w:rPr>
          <w:rStyle w:val="CharStyle31"/>
          <w:lang w:eastAsia="en-US"/>
        </w:rPr>
        <w:softHyphen/>
        <w:t xml:space="preserve">sition Season, J. Geophys. Res.-Atmos., 127, e2022JD036468, </w:t>
      </w:r>
      <w:hyperlink r:id="rId119" w:history="1">
        <w:r>
          <w:rPr>
            <w:rStyle w:val="CharStyle31"/>
            <w:lang w:eastAsia="en-US"/>
          </w:rPr>
          <w:t>https://doi.org/10.1029/2022JD036468,</w:t>
        </w:r>
      </w:hyperlink>
      <w:r>
        <w:rPr>
          <w:rStyle w:val="CharStyle31"/>
          <w:lang w:eastAsia="en-US"/>
        </w:rPr>
        <w:t xml:space="preserve"> 2022.</w:t>
      </w:r>
    </w:p>
    <w:p w14:paraId="175AD331" w14:textId="77777777" w:rsidR="007857F3" w:rsidRDefault="007857F3">
      <w:pPr>
        <w:pStyle w:val="Style30"/>
        <w:jc w:val="both"/>
        <w:rPr>
          <w:rFonts w:ascii="Times New Roman" w:hAnsi="Times New Roman" w:cs="Times New Roman"/>
          <w:sz w:val="24"/>
          <w:szCs w:val="24"/>
        </w:rPr>
      </w:pPr>
      <w:r>
        <w:rPr>
          <w:rStyle w:val="CharStyle31"/>
          <w:lang w:val="it-IT" w:eastAsia="it-IT"/>
        </w:rPr>
        <w:t xml:space="preserve">Pabón, </w:t>
      </w:r>
      <w:r>
        <w:rPr>
          <w:rStyle w:val="CharStyle31"/>
          <w:lang w:eastAsia="en-US"/>
        </w:rPr>
        <w:t>J. and Dorado, J.: Intraseasonal</w:t>
      </w:r>
      <w:r>
        <w:rPr>
          <w:rStyle w:val="CharStyle31"/>
          <w:lang w:eastAsia="en-US"/>
        </w:rPr>
        <w:t xml:space="preserve"> Variability of Rainfall over Northern South America and Caribbean Region, Earth Sci. Res. J., 12, 194–212, 2008.</w:t>
      </w:r>
    </w:p>
    <w:p w14:paraId="1264C131" w14:textId="77777777" w:rsidR="007857F3" w:rsidRDefault="007857F3">
      <w:pPr>
        <w:pStyle w:val="Style30"/>
        <w:jc w:val="both"/>
        <w:rPr>
          <w:rFonts w:ascii="Times New Roman" w:hAnsi="Times New Roman" w:cs="Times New Roman"/>
          <w:sz w:val="24"/>
          <w:szCs w:val="24"/>
        </w:rPr>
      </w:pPr>
      <w:r>
        <w:rPr>
          <w:rStyle w:val="CharStyle31"/>
          <w:lang w:eastAsia="en-US"/>
        </w:rPr>
        <w:t>Paccini, L., Hohenegger, C., and Stevens, B.: Explicit versus Pa</w:t>
      </w:r>
      <w:r>
        <w:rPr>
          <w:rStyle w:val="CharStyle31"/>
          <w:lang w:eastAsia="en-US"/>
        </w:rPr>
        <w:softHyphen/>
        <w:t xml:space="preserve">rameterized Convection in Response to the Atlantic Meridional Mode, J. Climate, 34, 3343–3354, </w:t>
      </w:r>
      <w:hyperlink r:id="rId120" w:history="1">
        <w:r>
          <w:rPr>
            <w:rStyle w:val="CharStyle31"/>
            <w:lang w:eastAsia="en-US"/>
          </w:rPr>
          <w:t>https://doi.org/10.1175/JCLI- D-20-0224.1,</w:t>
        </w:r>
      </w:hyperlink>
      <w:r>
        <w:rPr>
          <w:rStyle w:val="CharStyle31"/>
          <w:lang w:eastAsia="en-US"/>
        </w:rPr>
        <w:t xml:space="preserve"> 2021.</w:t>
      </w:r>
    </w:p>
    <w:p w14:paraId="3E5425BB"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Poveda, G., Jaramillo, A., Gil, M. M., Quiceno, N., and Mantilla, R. I.: Seasonally in ENSO-related precipitation, river discharges, soil moisture, and vegetation index in Colombia, Water Resour. Res., 37, 2169–2178, </w:t>
      </w:r>
      <w:hyperlink r:id="rId121" w:history="1">
        <w:r>
          <w:rPr>
            <w:rStyle w:val="CharStyle31"/>
            <w:lang w:eastAsia="en-US"/>
          </w:rPr>
          <w:t>https://doi.org/10.1029/2000WR900395,</w:t>
        </w:r>
      </w:hyperlink>
      <w:r>
        <w:rPr>
          <w:rStyle w:val="CharStyle31"/>
          <w:lang w:eastAsia="en-US"/>
        </w:rPr>
        <w:t xml:space="preserve"> 2001.</w:t>
      </w:r>
    </w:p>
    <w:p w14:paraId="3D3841DD" w14:textId="77777777" w:rsidR="007857F3" w:rsidRDefault="007857F3">
      <w:pPr>
        <w:pStyle w:val="Style30"/>
        <w:jc w:val="both"/>
        <w:rPr>
          <w:rFonts w:ascii="Times New Roman" w:hAnsi="Times New Roman" w:cs="Times New Roman"/>
          <w:sz w:val="24"/>
          <w:szCs w:val="24"/>
        </w:rPr>
      </w:pPr>
      <w:r>
        <w:rPr>
          <w:rStyle w:val="CharStyle31"/>
          <w:lang w:eastAsia="en-US"/>
        </w:rPr>
        <w:t>Poveda, G., Waylen, P. R., and Pulwarty, R. S.: Annual and inter</w:t>
      </w:r>
      <w:r>
        <w:rPr>
          <w:rStyle w:val="CharStyle31"/>
          <w:lang w:eastAsia="en-US"/>
        </w:rPr>
        <w:softHyphen/>
        <w:t>annual variability of the present climate in northern South Amer</w:t>
      </w:r>
      <w:r>
        <w:rPr>
          <w:rStyle w:val="CharStyle31"/>
          <w:lang w:eastAsia="en-US"/>
        </w:rPr>
        <w:softHyphen/>
        <w:t xml:space="preserve">ica and southern Mesoamerica, Palaeogeogr. Palaeocl., 234, 3– 27, </w:t>
      </w:r>
      <w:hyperlink r:id="rId122" w:history="1">
        <w:r>
          <w:rPr>
            <w:rStyle w:val="CharStyle31"/>
            <w:lang w:eastAsia="en-US"/>
          </w:rPr>
          <w:t>https://doi.org/10.1016/j.palaeo.2005.10.031,</w:t>
        </w:r>
      </w:hyperlink>
      <w:r>
        <w:rPr>
          <w:rStyle w:val="CharStyle31"/>
          <w:lang w:eastAsia="en-US"/>
        </w:rPr>
        <w:t xml:space="preserve"> 2006.</w:t>
      </w:r>
    </w:p>
    <w:p w14:paraId="32438757" w14:textId="77777777" w:rsidR="007857F3" w:rsidRDefault="007857F3">
      <w:pPr>
        <w:pStyle w:val="Style30"/>
        <w:jc w:val="both"/>
        <w:rPr>
          <w:rFonts w:ascii="Times New Roman" w:hAnsi="Times New Roman" w:cs="Times New Roman"/>
          <w:sz w:val="24"/>
          <w:szCs w:val="24"/>
        </w:rPr>
      </w:pPr>
      <w:r>
        <w:rPr>
          <w:rStyle w:val="CharStyle31"/>
          <w:lang w:eastAsia="en-US"/>
        </w:rPr>
        <w:t>R Core Team: R: A Language and Environment for Statistical Com</w:t>
      </w:r>
      <w:r>
        <w:rPr>
          <w:rStyle w:val="CharStyle31"/>
          <w:lang w:eastAsia="en-US"/>
        </w:rPr>
        <w:softHyphen/>
        <w:t>puting, R Foundation for Statistical Computing [code],</w:t>
      </w:r>
      <w:hyperlink r:id="rId123" w:history="1">
        <w:r>
          <w:rPr>
            <w:rStyle w:val="CharStyle31"/>
            <w:lang w:eastAsia="en-US"/>
          </w:rPr>
          <w:t xml:space="preserve"> https:</w:t>
        </w:r>
      </w:hyperlink>
      <w:r>
        <w:rPr>
          <w:rStyle w:val="CharStyle31"/>
          <w:lang w:eastAsia="en-US"/>
        </w:rPr>
        <w:t xml:space="preserve"> </w:t>
      </w:r>
      <w:hyperlink r:id="rId124" w:history="1">
        <w:r>
          <w:rPr>
            <w:rStyle w:val="CharStyle31"/>
            <w:lang w:eastAsia="en-US"/>
          </w:rPr>
          <w:t>//www.R-</w:t>
        </w:r>
        <w:r>
          <w:rPr>
            <w:rStyle w:val="CharStyle31"/>
            <w:lang w:eastAsia="en-US"/>
          </w:rPr>
          <w:t xml:space="preserve">project.org/ </w:t>
        </w:r>
      </w:hyperlink>
      <w:r>
        <w:rPr>
          <w:rStyle w:val="CharStyle31"/>
          <w:lang w:eastAsia="en-US"/>
        </w:rPr>
        <w:t>(last access: March 2025), 2020.</w:t>
      </w:r>
    </w:p>
    <w:p w14:paraId="63ABD617" w14:textId="77777777" w:rsidR="007857F3" w:rsidRDefault="007857F3">
      <w:pPr>
        <w:pStyle w:val="Style30"/>
        <w:jc w:val="both"/>
        <w:rPr>
          <w:rFonts w:ascii="Times New Roman" w:hAnsi="Times New Roman" w:cs="Times New Roman"/>
          <w:sz w:val="24"/>
          <w:szCs w:val="24"/>
        </w:rPr>
      </w:pPr>
      <w:r>
        <w:rPr>
          <w:rStyle w:val="CharStyle31"/>
          <w:lang w:eastAsia="en-US"/>
        </w:rPr>
        <w:t>Roberts, J. M., Gash, J. H. C., Tani, M., and Bruijnzeel, L. A.: Controls on evaporation in lowland tropical rainforest, in: Forests, Water and People in the Hu</w:t>
      </w:r>
      <w:r>
        <w:rPr>
          <w:rStyle w:val="CharStyle31"/>
          <w:lang w:eastAsia="en-US"/>
        </w:rPr>
        <w:softHyphen/>
        <w:t xml:space="preserve">mid Tropics, Cambridge University Press, 287–313, </w:t>
      </w:r>
      <w:hyperlink r:id="rId125" w:history="1">
        <w:r>
          <w:rPr>
            <w:rStyle w:val="CharStyle31"/>
            <w:lang w:eastAsia="en-US"/>
          </w:rPr>
          <w:t>https://doi.org/10.1017/CBO9780511535666.019,</w:t>
        </w:r>
      </w:hyperlink>
      <w:r>
        <w:rPr>
          <w:rStyle w:val="CharStyle31"/>
          <w:lang w:eastAsia="en-US"/>
        </w:rPr>
        <w:t xml:space="preserve"> 2005.</w:t>
      </w:r>
    </w:p>
    <w:p w14:paraId="5241271E" w14:textId="77777777" w:rsidR="007857F3" w:rsidRDefault="007857F3">
      <w:pPr>
        <w:pStyle w:val="Style30"/>
        <w:tabs>
          <w:tab w:val="left" w:pos="3917"/>
        </w:tabs>
        <w:jc w:val="both"/>
        <w:rPr>
          <w:rFonts w:ascii="Times New Roman" w:hAnsi="Times New Roman" w:cs="Times New Roman"/>
          <w:sz w:val="24"/>
          <w:szCs w:val="24"/>
        </w:rPr>
      </w:pPr>
      <w:r>
        <w:rPr>
          <w:rStyle w:val="CharStyle31"/>
          <w:lang w:eastAsia="en-US"/>
        </w:rPr>
        <w:t>Rodrigues, R. R. and McPhaden, M. J.: Why did the 2011</w:t>
      </w:r>
      <w:r>
        <w:rPr>
          <w:rStyle w:val="CharStyle31"/>
          <w:lang w:eastAsia="en-US"/>
        </w:rPr>
        <w:softHyphen/>
        <w:t>2012 La Niña cause a severe drought in the Brazil</w:t>
      </w:r>
      <w:r>
        <w:rPr>
          <w:rStyle w:val="CharStyle31"/>
          <w:lang w:eastAsia="en-US"/>
        </w:rPr>
        <w:softHyphen/>
        <w:t>ian Northeast?, Geophys. Res. Lett., 41,</w:t>
      </w:r>
      <w:r>
        <w:rPr>
          <w:rStyle w:val="CharStyle31"/>
          <w:lang w:eastAsia="en-US"/>
        </w:rPr>
        <w:tab/>
        <w:t xml:space="preserve">1012–1018, </w:t>
      </w:r>
      <w:hyperlink r:id="rId126" w:history="1">
        <w:r>
          <w:rPr>
            <w:rStyle w:val="CharStyle31"/>
            <w:lang w:eastAsia="en-US"/>
          </w:rPr>
          <w:t>https://doi.org/10.1002/2013GL058703,</w:t>
        </w:r>
      </w:hyperlink>
      <w:r>
        <w:rPr>
          <w:rStyle w:val="CharStyle31"/>
          <w:lang w:eastAsia="en-US"/>
        </w:rPr>
        <w:t xml:space="preserve"> 2014.</w:t>
      </w:r>
    </w:p>
    <w:p w14:paraId="28867FEB"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Ronchail, J., Cochonneau, G., Molinier, M., Guyot, J. L., De Miranda Chaves, A. G., Guimarães, V., and De Oliveira, E.: Interannual rainfall variability in the Amazon basin and sea-surface temperatures in the equatorial Pacific and the tropical Atlantic Oceans, Int. J. Climatol., 22, 1663–1686, </w:t>
      </w:r>
      <w:hyperlink r:id="rId127" w:history="1">
        <w:r>
          <w:rPr>
            <w:rStyle w:val="CharStyle31"/>
            <w:lang w:eastAsia="en-US"/>
          </w:rPr>
          <w:t>https://doi.org/10.1002/joc.815,</w:t>
        </w:r>
      </w:hyperlink>
      <w:r>
        <w:rPr>
          <w:rStyle w:val="CharStyle31"/>
          <w:lang w:eastAsia="en-US"/>
        </w:rPr>
        <w:t xml:space="preserve"> 2002.</w:t>
      </w:r>
    </w:p>
    <w:p w14:paraId="4AE621ED" w14:textId="77777777" w:rsidR="007857F3" w:rsidRDefault="007857F3">
      <w:pPr>
        <w:pStyle w:val="Style30"/>
        <w:jc w:val="both"/>
        <w:rPr>
          <w:rFonts w:ascii="Times New Roman" w:hAnsi="Times New Roman" w:cs="Times New Roman"/>
          <w:sz w:val="24"/>
          <w:szCs w:val="24"/>
        </w:rPr>
      </w:pPr>
      <w:bookmarkStart w:id="100" w:name="bookmark127"/>
      <w:bookmarkStart w:id="101" w:name="bookmark128"/>
      <w:bookmarkStart w:id="102" w:name="bookmark129"/>
      <w:r>
        <w:rPr>
          <w:rStyle w:val="CharStyle31"/>
          <w:lang w:eastAsia="en-US"/>
        </w:rPr>
        <w:t>Ruiz-Barradas, A., Carton, J. A., and Nigam, S.: Structure of Interannual-to-Decadal climate variability in the tropical Atlantic sector, J. Climate, 13, 3285–3297, https://doi.org/10.1175/1520- 0442(2000)013&lt;3285:SOITDC&gt;2.0.CO;2, 2000.</w:t>
      </w:r>
      <w:bookmarkEnd w:id="100"/>
      <w:bookmarkEnd w:id="101"/>
      <w:bookmarkEnd w:id="102"/>
    </w:p>
    <w:p w14:paraId="79B06CD7" w14:textId="77777777" w:rsidR="007857F3" w:rsidRDefault="007857F3">
      <w:pPr>
        <w:pStyle w:val="Style30"/>
        <w:jc w:val="both"/>
        <w:rPr>
          <w:rFonts w:ascii="Times New Roman" w:hAnsi="Times New Roman" w:cs="Times New Roman"/>
          <w:sz w:val="24"/>
          <w:szCs w:val="24"/>
        </w:rPr>
      </w:pPr>
      <w:bookmarkStart w:id="103" w:name="bookmark130"/>
      <w:bookmarkStart w:id="104" w:name="bookmark131"/>
      <w:r>
        <w:rPr>
          <w:rStyle w:val="CharStyle31"/>
          <w:lang w:eastAsia="en-US"/>
        </w:rPr>
        <w:t>Ruiz-Vásquez, M., Arias, P. A., and Martínez, J. A.: Enso influence on water vapor transport and thermodynamics over Northwest</w:t>
      </w:r>
      <w:r>
        <w:rPr>
          <w:rStyle w:val="CharStyle31"/>
          <w:lang w:eastAsia="en-US"/>
        </w:rPr>
        <w:softHyphen/>
        <w:t xml:space="preserve">ern South America, Theor. Appl. Climatol., 155, 3771–3789, </w:t>
      </w:r>
      <w:hyperlink r:id="rId128" w:history="1">
        <w:r>
          <w:rPr>
            <w:rStyle w:val="CharStyle31"/>
            <w:lang w:eastAsia="en-US"/>
          </w:rPr>
          <w:t>https://doi.org/10.1007/s00704-024-04848-3,</w:t>
        </w:r>
      </w:hyperlink>
      <w:r>
        <w:rPr>
          <w:rStyle w:val="CharStyle31"/>
          <w:lang w:eastAsia="en-US"/>
        </w:rPr>
        <w:t xml:space="preserve"> 2024.</w:t>
      </w:r>
      <w:bookmarkEnd w:id="103"/>
      <w:bookmarkEnd w:id="104"/>
    </w:p>
    <w:p w14:paraId="004C7BF4" w14:textId="77777777" w:rsidR="007857F3" w:rsidRDefault="007857F3">
      <w:pPr>
        <w:pStyle w:val="Style30"/>
        <w:jc w:val="both"/>
        <w:rPr>
          <w:rFonts w:ascii="Times New Roman" w:hAnsi="Times New Roman" w:cs="Times New Roman"/>
          <w:sz w:val="24"/>
          <w:szCs w:val="24"/>
        </w:rPr>
      </w:pPr>
      <w:bookmarkStart w:id="105" w:name="bookmark132"/>
      <w:bookmarkStart w:id="106" w:name="bookmark133"/>
      <w:r>
        <w:rPr>
          <w:rStyle w:val="CharStyle31"/>
          <w:lang w:eastAsia="en-US"/>
        </w:rPr>
        <w:t xml:space="preserve">Seneviratne, S. I., Corti, T., Davin, E. L., Hirschi, M., Jaeger, E. B., Lehner, I., Orlowsky, B., and Teuling, A. J.: Investigating soil moisture-climate interactions in a changing climate: A review, Earth-Sci. Rev., 99, 125–161, </w:t>
      </w:r>
      <w:hyperlink r:id="rId129" w:history="1">
        <w:r>
          <w:rPr>
            <w:rStyle w:val="CharStyle31"/>
            <w:lang w:eastAsia="en-US"/>
          </w:rPr>
          <w:t>https://doi.org/10.1016/j.earscirev.2010.02.004,</w:t>
        </w:r>
      </w:hyperlink>
      <w:r>
        <w:rPr>
          <w:rStyle w:val="CharStyle31"/>
          <w:lang w:eastAsia="en-US"/>
        </w:rPr>
        <w:t xml:space="preserve"> 2010.</w:t>
      </w:r>
      <w:bookmarkEnd w:id="105"/>
      <w:bookmarkEnd w:id="106"/>
    </w:p>
    <w:p w14:paraId="113BFF42" w14:textId="77777777" w:rsidR="007857F3" w:rsidRDefault="007857F3">
      <w:pPr>
        <w:pStyle w:val="Style30"/>
        <w:jc w:val="both"/>
        <w:rPr>
          <w:rFonts w:ascii="Times New Roman" w:hAnsi="Times New Roman" w:cs="Times New Roman"/>
          <w:sz w:val="24"/>
          <w:szCs w:val="24"/>
        </w:rPr>
      </w:pPr>
      <w:bookmarkStart w:id="107" w:name="bookmark134"/>
      <w:r>
        <w:rPr>
          <w:rStyle w:val="CharStyle31"/>
          <w:lang w:eastAsia="en-US"/>
        </w:rPr>
        <w:t>Staal, A., Tuinenburg, O. A., Bosmans, J. H. C., Holmgren, M., van Nes, E. H., Scheffer, M., Zemp, D. C., and Dekker, S. C.: Forest</w:t>
      </w:r>
      <w:r>
        <w:rPr>
          <w:rStyle w:val="CharStyle31"/>
          <w:lang w:eastAsia="en-US"/>
        </w:rPr>
        <w:softHyphen/>
        <w:t>rainfall cascades buffer against drought across the Amazon, N</w:t>
      </w:r>
      <w:bookmarkStart w:id="108" w:name="bookmark135"/>
      <w:r>
        <w:rPr>
          <w:rStyle w:val="CharStyle31"/>
          <w:lang w:eastAsia="en-US"/>
        </w:rPr>
        <w:t>a</w:t>
      </w:r>
      <w:bookmarkEnd w:id="108"/>
      <w:r>
        <w:rPr>
          <w:rStyle w:val="CharStyle31"/>
          <w:lang w:eastAsia="en-US"/>
        </w:rPr>
        <w:t xml:space="preserve">t. Clim. Change, 8, 539–543, </w:t>
      </w:r>
      <w:hyperlink r:id="rId130" w:history="1">
        <w:r>
          <w:rPr>
            <w:rStyle w:val="CharStyle31"/>
            <w:lang w:eastAsia="en-US"/>
          </w:rPr>
          <w:t>https://doi.org/10.1038/s41558-018- 0177-y,</w:t>
        </w:r>
      </w:hyperlink>
      <w:r>
        <w:rPr>
          <w:rStyle w:val="CharStyle31"/>
          <w:lang w:eastAsia="en-US"/>
        </w:rPr>
        <w:t xml:space="preserve"> 2018.</w:t>
      </w:r>
      <w:bookmarkEnd w:id="107"/>
    </w:p>
    <w:p w14:paraId="45BC429F" w14:textId="77777777" w:rsidR="007857F3" w:rsidRDefault="007857F3">
      <w:pPr>
        <w:pStyle w:val="Style30"/>
        <w:jc w:val="both"/>
        <w:rPr>
          <w:rFonts w:ascii="Times New Roman" w:hAnsi="Times New Roman" w:cs="Times New Roman"/>
          <w:sz w:val="24"/>
          <w:szCs w:val="24"/>
        </w:rPr>
      </w:pPr>
      <w:bookmarkStart w:id="109" w:name="bookmark136"/>
      <w:bookmarkStart w:id="110" w:name="bookmark137"/>
      <w:r>
        <w:rPr>
          <w:rStyle w:val="CharStyle31"/>
          <w:lang w:eastAsia="en-US"/>
        </w:rPr>
        <w:t>Thoning, K. W., Tans, P.</w:t>
      </w:r>
      <w:r>
        <w:rPr>
          <w:rStyle w:val="CharStyle31"/>
          <w:lang w:eastAsia="en-US"/>
        </w:rPr>
        <w:t xml:space="preserve"> P., and Komhyr, W. D.: Atmospheric carbon dioxide at Mauna Loa Observatory: 2. Analysis of the NOAA GMCC data, 1974–1985, J. Geophys. Res.-Atmos., 94, 8549–8565, </w:t>
      </w:r>
      <w:hyperlink r:id="rId131" w:history="1">
        <w:r>
          <w:rPr>
            <w:rStyle w:val="CharStyle31"/>
            <w:lang w:eastAsia="en-US"/>
          </w:rPr>
          <w:t>https://doi.org/10.1029/JD094iD06p08549,</w:t>
        </w:r>
      </w:hyperlink>
      <w:r>
        <w:rPr>
          <w:rStyle w:val="CharStyle31"/>
          <w:lang w:eastAsia="en-US"/>
        </w:rPr>
        <w:t xml:space="preserve"> 1989 (data available at:</w:t>
      </w:r>
      <w:hyperlink r:id="rId132" w:history="1">
        <w:r>
          <w:rPr>
            <w:rStyle w:val="CharStyle31"/>
            <w:lang w:eastAsia="en-US"/>
          </w:rPr>
          <w:t xml:space="preserve"> https://gml.noaa.gov/ccgg/trends/data.html,</w:t>
        </w:r>
      </w:hyperlink>
      <w:r>
        <w:rPr>
          <w:rStyle w:val="CharStyle31"/>
          <w:lang w:eastAsia="en-US"/>
        </w:rPr>
        <w:t xml:space="preserve"> last access: March 2025).</w:t>
      </w:r>
      <w:bookmarkEnd w:id="109"/>
      <w:bookmarkEnd w:id="110"/>
    </w:p>
    <w:p w14:paraId="6254A615" w14:textId="77777777" w:rsidR="007857F3" w:rsidRDefault="007857F3">
      <w:pPr>
        <w:pStyle w:val="Style30"/>
        <w:jc w:val="both"/>
        <w:rPr>
          <w:rFonts w:ascii="Times New Roman" w:hAnsi="Times New Roman" w:cs="Times New Roman"/>
          <w:sz w:val="24"/>
          <w:szCs w:val="24"/>
        </w:rPr>
      </w:pPr>
      <w:bookmarkStart w:id="111" w:name="bookmark138"/>
      <w:bookmarkStart w:id="112" w:name="bookmark139"/>
      <w:r>
        <w:rPr>
          <w:rStyle w:val="CharStyle31"/>
          <w:lang w:eastAsia="en-US"/>
        </w:rPr>
        <w:t xml:space="preserve">Torralba, V., Rodríguez-Fonseca, B., Mohino, E., and Losada, T.: The non-stationary influence of the Atlantic and Pacific niños on north Eastern South American rainfall, Front. Earth Sci., 3, 1–10, </w:t>
      </w:r>
      <w:hyperlink r:id="rId133" w:history="1">
        <w:r>
          <w:rPr>
            <w:rStyle w:val="CharStyle31"/>
            <w:lang w:eastAsia="en-US"/>
          </w:rPr>
          <w:t>https://doi.org/10.3389/feart.2015.00055,</w:t>
        </w:r>
      </w:hyperlink>
      <w:r>
        <w:rPr>
          <w:rStyle w:val="CharStyle31"/>
          <w:lang w:eastAsia="en-US"/>
        </w:rPr>
        <w:t xml:space="preserve"> 2015.</w:t>
      </w:r>
      <w:bookmarkEnd w:id="111"/>
      <w:bookmarkEnd w:id="112"/>
    </w:p>
    <w:p w14:paraId="64745B41" w14:textId="77777777" w:rsidR="007857F3" w:rsidRDefault="007857F3">
      <w:pPr>
        <w:pStyle w:val="Style30"/>
        <w:jc w:val="both"/>
        <w:rPr>
          <w:rFonts w:ascii="Times New Roman" w:hAnsi="Times New Roman" w:cs="Times New Roman"/>
          <w:sz w:val="24"/>
          <w:szCs w:val="24"/>
        </w:rPr>
      </w:pPr>
      <w:bookmarkStart w:id="113" w:name="bookmark140"/>
      <w:bookmarkStart w:id="114" w:name="bookmark141"/>
      <w:r>
        <w:rPr>
          <w:rStyle w:val="CharStyle31"/>
          <w:lang w:eastAsia="en-US"/>
        </w:rPr>
        <w:t>Towner, J., Ficchí, A., Cloke, H. L., Bazo, J., Coughlan de Perez, E., and Stephens, E. M.: Influence of ENSO and trop</w:t>
      </w:r>
      <w:r>
        <w:rPr>
          <w:rStyle w:val="CharStyle31"/>
          <w:lang w:eastAsia="en-US"/>
        </w:rPr>
        <w:softHyphen/>
        <w:t xml:space="preserve">ical Atlantic climate variability on flood characteristics in the Amazon basin, Hydrol. Earth Syst. Sci., 25, 3875–3895, </w:t>
      </w:r>
      <w:hyperlink r:id="rId134" w:history="1">
        <w:r>
          <w:rPr>
            <w:rStyle w:val="CharStyle31"/>
            <w:lang w:eastAsia="en-US"/>
          </w:rPr>
          <w:t>https://doi.org/10.5194/hess-25-3875-2021,</w:t>
        </w:r>
      </w:hyperlink>
      <w:r>
        <w:rPr>
          <w:rStyle w:val="CharStyle31"/>
          <w:lang w:eastAsia="en-US"/>
        </w:rPr>
        <w:t xml:space="preserve"> 2021.</w:t>
      </w:r>
      <w:bookmarkEnd w:id="113"/>
      <w:bookmarkEnd w:id="114"/>
    </w:p>
    <w:p w14:paraId="5EDDAE78" w14:textId="77777777" w:rsidR="007857F3" w:rsidRDefault="007857F3">
      <w:pPr>
        <w:pStyle w:val="Style30"/>
        <w:jc w:val="both"/>
        <w:rPr>
          <w:rFonts w:ascii="Times New Roman" w:hAnsi="Times New Roman" w:cs="Times New Roman"/>
          <w:sz w:val="24"/>
          <w:szCs w:val="24"/>
        </w:rPr>
      </w:pPr>
      <w:bookmarkStart w:id="115" w:name="bookmark142"/>
      <w:r>
        <w:rPr>
          <w:rStyle w:val="CharStyle31"/>
          <w:lang w:eastAsia="en-US"/>
        </w:rPr>
        <w:t>Ummenhofer, C. C. and Meehl, G. A.: Extreme weather and clima</w:t>
      </w:r>
      <w:bookmarkStart w:id="116" w:name="bookmark143"/>
      <w:r>
        <w:rPr>
          <w:rStyle w:val="CharStyle31"/>
          <w:lang w:eastAsia="en-US"/>
        </w:rPr>
        <w:t>t</w:t>
      </w:r>
      <w:bookmarkEnd w:id="116"/>
      <w:r>
        <w:rPr>
          <w:rStyle w:val="CharStyle31"/>
          <w:lang w:eastAsia="en-US"/>
        </w:rPr>
        <w:t xml:space="preserve">e events with ecological relevance: a review, Philos. T. Roy. Soc. B, 372, 20160135, </w:t>
      </w:r>
      <w:hyperlink r:id="rId135" w:history="1">
        <w:r>
          <w:rPr>
            <w:rStyle w:val="CharStyle31"/>
            <w:lang w:eastAsia="en-US"/>
          </w:rPr>
          <w:t>https://doi.org/10.1098/rstb.2016.0135,</w:t>
        </w:r>
      </w:hyperlink>
      <w:r>
        <w:rPr>
          <w:rStyle w:val="CharStyle31"/>
          <w:lang w:eastAsia="en-US"/>
        </w:rPr>
        <w:t xml:space="preserve"> 2017.</w:t>
      </w:r>
      <w:bookmarkEnd w:id="115"/>
    </w:p>
    <w:p w14:paraId="797B13F9" w14:textId="77777777" w:rsidR="007857F3" w:rsidRDefault="007857F3">
      <w:pPr>
        <w:pStyle w:val="Style30"/>
        <w:jc w:val="both"/>
        <w:rPr>
          <w:rFonts w:ascii="Times New Roman" w:hAnsi="Times New Roman" w:cs="Times New Roman"/>
          <w:sz w:val="24"/>
          <w:szCs w:val="24"/>
        </w:rPr>
      </w:pPr>
      <w:bookmarkStart w:id="117" w:name="bookmark144"/>
      <w:bookmarkStart w:id="118" w:name="bookmark145"/>
      <w:r>
        <w:rPr>
          <w:rStyle w:val="CharStyle31"/>
          <w:lang w:eastAsia="en-US"/>
        </w:rPr>
        <w:t xml:space="preserve">Valencia, S., Marín, D. E., </w:t>
      </w:r>
      <w:r>
        <w:rPr>
          <w:rStyle w:val="CharStyle31"/>
          <w:lang w:val="it-IT" w:eastAsia="it-IT"/>
        </w:rPr>
        <w:t xml:space="preserve">Gómez, </w:t>
      </w:r>
      <w:r>
        <w:rPr>
          <w:rStyle w:val="CharStyle31"/>
          <w:lang w:eastAsia="en-US"/>
        </w:rPr>
        <w:t>D., Hoyos, N., Salazar, J. F., and Villegas, J. C.: Spatio-temporal assessment of Gridded precipitation products across topographic and cli</w:t>
      </w:r>
      <w:r>
        <w:rPr>
          <w:rStyle w:val="CharStyle31"/>
          <w:lang w:eastAsia="en-US"/>
        </w:rPr>
        <w:softHyphen/>
        <w:t xml:space="preserve">matic gradients in Colombia, Atmos. Res., 285, 106643, </w:t>
      </w:r>
      <w:hyperlink r:id="rId136" w:history="1">
        <w:r>
          <w:rPr>
            <w:rStyle w:val="CharStyle31"/>
            <w:lang w:eastAsia="en-US"/>
          </w:rPr>
          <w:t>https://doi.org/10.1016/j.atmosres.2023.106643,</w:t>
        </w:r>
      </w:hyperlink>
      <w:r>
        <w:rPr>
          <w:rStyle w:val="CharStyle31"/>
          <w:lang w:eastAsia="en-US"/>
        </w:rPr>
        <w:t xml:space="preserve"> 2023.</w:t>
      </w:r>
      <w:bookmarkEnd w:id="117"/>
      <w:bookmarkEnd w:id="118"/>
    </w:p>
    <w:p w14:paraId="01BA2442" w14:textId="77777777" w:rsidR="007857F3" w:rsidRDefault="007857F3">
      <w:pPr>
        <w:pStyle w:val="Style30"/>
        <w:jc w:val="both"/>
        <w:rPr>
          <w:rFonts w:ascii="Times New Roman" w:hAnsi="Times New Roman" w:cs="Times New Roman"/>
          <w:sz w:val="24"/>
          <w:szCs w:val="24"/>
        </w:rPr>
      </w:pPr>
      <w:bookmarkStart w:id="119" w:name="bookmark146"/>
      <w:r>
        <w:rPr>
          <w:rStyle w:val="CharStyle31"/>
          <w:lang w:val="it-IT" w:eastAsia="it-IT"/>
        </w:rPr>
        <w:t xml:space="preserve">Vallès-Casanova, </w:t>
      </w:r>
      <w:r>
        <w:rPr>
          <w:rStyle w:val="CharStyle31"/>
          <w:lang w:eastAsia="en-US"/>
        </w:rPr>
        <w:t xml:space="preserve">I., Lee, S., Foltz, G. R., and Pelegrí, J. L.: On the Spatiotemporal Diversity of Atlantic Niño and Associated Rainfall Variability Over West Africa and South America, Geophys. Res. Lett., 47, e2020GL087108, </w:t>
      </w:r>
      <w:hyperlink r:id="rId137" w:history="1">
        <w:r>
          <w:rPr>
            <w:rStyle w:val="CharStyle31"/>
            <w:lang w:eastAsia="en-US"/>
          </w:rPr>
          <w:t>https://doi.org/10.1029/2020GL087108,</w:t>
        </w:r>
      </w:hyperlink>
      <w:r>
        <w:rPr>
          <w:rStyle w:val="CharStyle31"/>
          <w:lang w:eastAsia="en-US"/>
        </w:rPr>
        <w:t xml:space="preserve"> 2020.</w:t>
      </w:r>
      <w:bookmarkEnd w:id="119"/>
    </w:p>
    <w:p w14:paraId="5D0DA18F"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van der Ent, R. J. and Savenije, H. H. G.: Length and time scales of atmospheric moisture recycling, Atmos. Chem. Phys., 11, 1853– 1863, </w:t>
      </w:r>
      <w:hyperlink r:id="rId138" w:history="1">
        <w:r>
          <w:rPr>
            <w:rStyle w:val="CharStyle31"/>
            <w:lang w:eastAsia="en-US"/>
          </w:rPr>
          <w:t>https://doi.org/10.5194/acp-11-1853-2011,</w:t>
        </w:r>
      </w:hyperlink>
      <w:r>
        <w:rPr>
          <w:rStyle w:val="CharStyle31"/>
          <w:lang w:eastAsia="en-US"/>
        </w:rPr>
        <w:t xml:space="preserve"> 2011.</w:t>
      </w:r>
    </w:p>
    <w:p w14:paraId="6EFBE3E2" w14:textId="77777777" w:rsidR="007857F3" w:rsidRDefault="007857F3">
      <w:pPr>
        <w:pStyle w:val="Style30"/>
        <w:jc w:val="both"/>
        <w:rPr>
          <w:rFonts w:ascii="Times New Roman" w:hAnsi="Times New Roman" w:cs="Times New Roman"/>
          <w:sz w:val="24"/>
          <w:szCs w:val="24"/>
        </w:rPr>
      </w:pPr>
      <w:r>
        <w:rPr>
          <w:rStyle w:val="CharStyle31"/>
          <w:lang w:eastAsia="en-US"/>
        </w:rPr>
        <w:lastRenderedPageBreak/>
        <w:t>Wang, K. and Dickinson, R. E.: A review of global ter</w:t>
      </w:r>
      <w:r>
        <w:rPr>
          <w:rStyle w:val="CharStyle31"/>
          <w:lang w:eastAsia="en-US"/>
        </w:rPr>
        <w:softHyphen/>
        <w:t>restrial evapotranspiration: Observation, modeling, climatol</w:t>
      </w:r>
      <w:r>
        <w:rPr>
          <w:rStyle w:val="CharStyle31"/>
          <w:lang w:eastAsia="en-US"/>
        </w:rPr>
        <w:softHyphen/>
        <w:t xml:space="preserve">ogy, and climatic variability, Rev. Geophys., 50, RG2005, </w:t>
      </w:r>
      <w:hyperlink r:id="rId139" w:history="1">
        <w:r>
          <w:rPr>
            <w:rStyle w:val="CharStyle31"/>
            <w:lang w:eastAsia="en-US"/>
          </w:rPr>
          <w:t>https://doi.org/10.1029/2011RG000373,</w:t>
        </w:r>
      </w:hyperlink>
      <w:r>
        <w:rPr>
          <w:rStyle w:val="CharStyle31"/>
          <w:lang w:eastAsia="en-US"/>
        </w:rPr>
        <w:t xml:space="preserve"> 2012.</w:t>
      </w:r>
    </w:p>
    <w:p w14:paraId="50624C63"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Wang-Erlandsson, L., Fetzer, I., Keys, P. W., van der Ent, R. J., Savenije, H. H. G., and Gordon, L. J.: Remote land use impacts on river flows through atmospheric teleconnections, Hydrol. Earth Syst. Sci., 22, 4311–4328, </w:t>
      </w:r>
      <w:hyperlink r:id="rId140" w:history="1">
        <w:r>
          <w:rPr>
            <w:rStyle w:val="CharStyle31"/>
            <w:lang w:eastAsia="en-US"/>
          </w:rPr>
          <w:t>https://doi.org/10.5194/hess-22- 4311-2018,</w:t>
        </w:r>
      </w:hyperlink>
      <w:r>
        <w:rPr>
          <w:rStyle w:val="CharStyle31"/>
          <w:lang w:eastAsia="en-US"/>
        </w:rPr>
        <w:t xml:space="preserve"> 2018.</w:t>
      </w:r>
    </w:p>
    <w:p w14:paraId="66195265"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Williams, I. N. and Patricola, C. M.: Diversity of ENSO Events Unified by Convective Threshold Sea Surface Temperature: A Nonlinear ENSO Index, Geophys. Res. Lett., 45, 9236–9244, </w:t>
      </w:r>
      <w:hyperlink r:id="rId141" w:history="1">
        <w:r>
          <w:rPr>
            <w:rStyle w:val="CharStyle31"/>
            <w:lang w:eastAsia="en-US"/>
          </w:rPr>
          <w:t>https://doi.org/10.1029/2018GL079203,</w:t>
        </w:r>
      </w:hyperlink>
      <w:r>
        <w:rPr>
          <w:rStyle w:val="CharStyle31"/>
          <w:lang w:eastAsia="en-US"/>
        </w:rPr>
        <w:t xml:space="preserve"> 2018.</w:t>
      </w:r>
    </w:p>
    <w:p w14:paraId="747AE420" w14:textId="77777777" w:rsidR="007857F3" w:rsidRDefault="007857F3">
      <w:pPr>
        <w:pStyle w:val="Style30"/>
        <w:jc w:val="both"/>
        <w:rPr>
          <w:rFonts w:ascii="Times New Roman" w:hAnsi="Times New Roman" w:cs="Times New Roman"/>
          <w:sz w:val="24"/>
          <w:szCs w:val="24"/>
        </w:rPr>
      </w:pPr>
      <w:r>
        <w:rPr>
          <w:rStyle w:val="CharStyle31"/>
          <w:lang w:eastAsia="en-US"/>
        </w:rPr>
        <w:t>Xie, Z., Yao, Y., Tang, Q., Liu, M., Fisher, J. B., Chen, J., Zhang, X., Jia, K., Li, Y., Shang, K., Jiang, B., Yang, J., Yu, R., Zhang, X., Guo, X., Liu, L., Ning, J., Fan, J., and Zhang, L.: Eval</w:t>
      </w:r>
      <w:r>
        <w:rPr>
          <w:rStyle w:val="CharStyle31"/>
          <w:lang w:eastAsia="en-US"/>
        </w:rPr>
        <w:softHyphen/>
        <w:t>uation of seven satellite-based and two reanalysis global ter</w:t>
      </w:r>
      <w:r>
        <w:rPr>
          <w:rStyle w:val="CharStyle31"/>
          <w:lang w:eastAsia="en-US"/>
        </w:rPr>
        <w:softHyphen/>
        <w:t xml:space="preserve">restrial evapotranspiration products, J. Hydrol., 630, 130649, </w:t>
      </w:r>
      <w:hyperlink r:id="rId142" w:history="1">
        <w:r>
          <w:rPr>
            <w:rStyle w:val="CharStyle31"/>
            <w:lang w:eastAsia="en-US"/>
          </w:rPr>
          <w:t>https://doi.org/10.1016/j.jhydrol.2024.130649,</w:t>
        </w:r>
      </w:hyperlink>
      <w:r>
        <w:rPr>
          <w:rStyle w:val="CharStyle31"/>
          <w:lang w:eastAsia="en-US"/>
        </w:rPr>
        <w:t xml:space="preserve"> 2024.</w:t>
      </w:r>
    </w:p>
    <w:p w14:paraId="298E8DFF"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Yoon, J. H. and Zeng, N.: An Atlantic influence on Amazon rainfall, Clim. Dynam., 34, 249–264, </w:t>
      </w:r>
      <w:hyperlink r:id="rId143" w:history="1">
        <w:r>
          <w:rPr>
            <w:rStyle w:val="CharStyle31"/>
            <w:lang w:eastAsia="en-US"/>
          </w:rPr>
          <w:t>https://doi.org/10.1007/s00382- 009-0551-6,</w:t>
        </w:r>
      </w:hyperlink>
      <w:r>
        <w:rPr>
          <w:rStyle w:val="CharStyle31"/>
          <w:lang w:eastAsia="en-US"/>
        </w:rPr>
        <w:t xml:space="preserve"> 2010.</w:t>
      </w:r>
    </w:p>
    <w:p w14:paraId="5CEA388A" w14:textId="77777777" w:rsidR="007857F3" w:rsidRDefault="007857F3">
      <w:pPr>
        <w:pStyle w:val="Style30"/>
        <w:jc w:val="both"/>
        <w:rPr>
          <w:rFonts w:ascii="Times New Roman" w:hAnsi="Times New Roman" w:cs="Times New Roman"/>
          <w:sz w:val="24"/>
          <w:szCs w:val="24"/>
        </w:rPr>
      </w:pPr>
      <w:r>
        <w:rPr>
          <w:rStyle w:val="CharStyle31"/>
          <w:lang w:eastAsia="en-US"/>
        </w:rPr>
        <w:t>Zanin, P. R., Pareja-Quispe, D., and Espinoza, J.-C.: Evapotran</w:t>
      </w:r>
      <w:r>
        <w:rPr>
          <w:rStyle w:val="CharStyle31"/>
          <w:lang w:eastAsia="en-US"/>
        </w:rPr>
        <w:softHyphen/>
      </w:r>
      <w:r>
        <w:rPr>
          <w:rStyle w:val="CharStyle31"/>
          <w:lang w:eastAsia="en-US"/>
        </w:rPr>
        <w:t>spiration in the Amazon Basin: Couplings, hydrological mem</w:t>
      </w:r>
      <w:r>
        <w:rPr>
          <w:rStyle w:val="CharStyle31"/>
          <w:lang w:eastAsia="en-US"/>
        </w:rPr>
        <w:softHyphen/>
        <w:t xml:space="preserve">ory and water feedback, Agr. Forest Meteorol., 352, 110040, </w:t>
      </w:r>
      <w:hyperlink r:id="rId144" w:history="1">
        <w:r>
          <w:rPr>
            <w:rStyle w:val="CharStyle31"/>
            <w:lang w:eastAsia="en-US"/>
          </w:rPr>
          <w:t>https://doi.org/10.1016/j.agrformet.2024.110040,</w:t>
        </w:r>
      </w:hyperlink>
      <w:r>
        <w:rPr>
          <w:rStyle w:val="CharStyle31"/>
          <w:lang w:eastAsia="en-US"/>
        </w:rPr>
        <w:t xml:space="preserve"> 2024.</w:t>
      </w:r>
    </w:p>
    <w:p w14:paraId="2087FC39" w14:textId="77777777" w:rsidR="007857F3" w:rsidRDefault="007857F3">
      <w:pPr>
        <w:pStyle w:val="Style30"/>
        <w:jc w:val="both"/>
        <w:rPr>
          <w:rFonts w:ascii="Times New Roman" w:hAnsi="Times New Roman" w:cs="Times New Roman"/>
          <w:sz w:val="24"/>
          <w:szCs w:val="24"/>
        </w:rPr>
      </w:pPr>
      <w:r>
        <w:rPr>
          <w:rStyle w:val="CharStyle31"/>
          <w:lang w:eastAsia="en-US"/>
        </w:rPr>
        <w:t xml:space="preserve">Zemp, D. C., Schleussner, C.-F., Barbosa, H. M. J., van der Ent, R. J., Donges, J. F., Heinke, J., Sampaio, G., and Ram- mig, A.: On the importance of cascading moisture recycling in South America, Atmos. Chem. Phys., 14, 13337–13359, </w:t>
      </w:r>
      <w:hyperlink r:id="rId145" w:history="1">
        <w:r>
          <w:rPr>
            <w:rStyle w:val="CharStyle31"/>
            <w:lang w:eastAsia="en-US"/>
          </w:rPr>
          <w:t>https://doi.org/10.5194/acp-14-13337-2014,</w:t>
        </w:r>
      </w:hyperlink>
      <w:r>
        <w:rPr>
          <w:rStyle w:val="CharStyle31"/>
          <w:lang w:eastAsia="en-US"/>
        </w:rPr>
        <w:t xml:space="preserve"> 2014.</w:t>
      </w:r>
    </w:p>
    <w:p w14:paraId="1BE3D460" w14:textId="77777777" w:rsidR="007857F3" w:rsidRDefault="007857F3">
      <w:pPr>
        <w:pStyle w:val="Style30"/>
        <w:jc w:val="both"/>
        <w:rPr>
          <w:rFonts w:ascii="Times New Roman" w:hAnsi="Times New Roman" w:cs="Times New Roman"/>
          <w:sz w:val="24"/>
          <w:szCs w:val="24"/>
        </w:rPr>
      </w:pPr>
      <w:r>
        <w:rPr>
          <w:rStyle w:val="CharStyle31"/>
          <w:lang w:eastAsia="en-US"/>
        </w:rPr>
        <w:t>Zhang, Y., Peña-Arancibia, J. L., McVicar, T. R., Chiew, F. H., Vaze, J., Liu, C., Lu, X., Zheng, H., Wang, Y., Liu, Y. Y., Mi- ralles, D. G., and Pan, M.: Multi-decadal trends in global terres</w:t>
      </w:r>
      <w:r>
        <w:rPr>
          <w:rStyle w:val="CharStyle31"/>
          <w:lang w:eastAsia="en-US"/>
        </w:rPr>
        <w:softHyphen/>
        <w:t>trial evapotranspiration and its components, Scientific Reports, 6,</w:t>
      </w:r>
      <w:r>
        <w:rPr>
          <w:rStyle w:val="CharStyle31"/>
          <w:lang w:eastAsia="en-US"/>
        </w:rPr>
        <w:tab/>
        <w:t xml:space="preserve">19124, </w:t>
      </w:r>
      <w:hyperlink r:id="rId146" w:history="1">
        <w:r>
          <w:rPr>
            <w:rStyle w:val="CharStyle31"/>
            <w:lang w:eastAsia="en-US"/>
          </w:rPr>
          <w:t>https://doi.org/10.1038/srep19124,</w:t>
        </w:r>
      </w:hyperlink>
      <w:r>
        <w:rPr>
          <w:rStyle w:val="CharStyle31"/>
          <w:lang w:eastAsia="en-US"/>
        </w:rPr>
        <w:t xml:space="preserve"> 2016.</w:t>
      </w:r>
    </w:p>
    <w:p w14:paraId="0E572D29" w14:textId="77777777" w:rsidR="007857F3" w:rsidRDefault="007857F3">
      <w:pPr>
        <w:pStyle w:val="Style30"/>
        <w:jc w:val="both"/>
        <w:rPr>
          <w:rFonts w:ascii="Times New Roman" w:hAnsi="Times New Roman" w:cs="Times New Roman"/>
          <w:sz w:val="24"/>
          <w:szCs w:val="24"/>
        </w:rPr>
      </w:pPr>
      <w:r>
        <w:rPr>
          <w:rStyle w:val="CharStyle31"/>
          <w:lang w:eastAsia="en-US"/>
        </w:rPr>
        <w:t>Zhao, M. and Running, S. W.: Drought-Induced Re</w:t>
      </w:r>
      <w:r>
        <w:rPr>
          <w:rStyle w:val="CharStyle31"/>
          <w:lang w:eastAsia="en-US"/>
        </w:rPr>
        <w:softHyphen/>
        <w:t>duction in Global Terrestrial Net Primary Produc</w:t>
      </w:r>
      <w:r>
        <w:rPr>
          <w:rStyle w:val="CharStyle31"/>
          <w:lang w:eastAsia="en-US"/>
        </w:rPr>
        <w:softHyphen/>
        <w:t xml:space="preserve">tion from 2000 Through 2009, Science, 329, 940–943, </w:t>
      </w:r>
      <w:hyperlink r:id="rId147" w:history="1">
        <w:r>
          <w:rPr>
            <w:rStyle w:val="CharStyle31"/>
            <w:lang w:eastAsia="en-US"/>
          </w:rPr>
          <w:t>https://doi.org/10.1126/science.1192666,</w:t>
        </w:r>
      </w:hyperlink>
      <w:r>
        <w:rPr>
          <w:rStyle w:val="CharStyle31"/>
          <w:lang w:eastAsia="en-US"/>
        </w:rPr>
        <w:t xml:space="preserve"> 2010.</w:t>
      </w:r>
    </w:p>
    <w:sectPr w:rsidR="00000000">
      <w:type w:val="continuous"/>
      <w:pgSz w:w="11909" w:h="16834"/>
      <w:pgMar w:top="1831" w:right="861" w:bottom="1812" w:left="873" w:header="0" w:footer="3" w:gutter="0"/>
      <w:cols w:num="2" w:space="24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72424" w14:textId="77777777" w:rsidR="007857F3" w:rsidRDefault="007857F3">
      <w:r>
        <w:separator/>
      </w:r>
    </w:p>
  </w:endnote>
  <w:endnote w:type="continuationSeparator" w:id="0">
    <w:p w14:paraId="400C1D89" w14:textId="77777777" w:rsidR="007857F3" w:rsidRDefault="0078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6BFA" w14:textId="63BA69FC" w:rsidR="007857F3" w:rsidRDefault="007857F3">
    <w:pPr>
      <w:spacing w:line="1" w:lineRule="exact"/>
      <w:rPr>
        <w:color w:val="auto"/>
        <w:lang w:eastAsia="en-GB"/>
      </w:rPr>
    </w:pPr>
    <w:r>
      <w:rPr>
        <w:noProof/>
      </w:rPr>
      <mc:AlternateContent>
        <mc:Choice Requires="wps">
          <w:drawing>
            <wp:anchor distT="0" distB="0" distL="0" distR="0" simplePos="0" relativeHeight="251665408" behindDoc="1" locked="0" layoutInCell="1" allowOverlap="1" wp14:anchorId="00B93828" wp14:editId="08A958A5">
              <wp:simplePos x="0" y="0"/>
              <wp:positionH relativeFrom="page">
                <wp:posOffset>601980</wp:posOffset>
              </wp:positionH>
              <wp:positionV relativeFrom="page">
                <wp:posOffset>9770745</wp:posOffset>
              </wp:positionV>
              <wp:extent cx="6363970" cy="123825"/>
              <wp:effectExtent l="1905" t="0" r="0" b="1905"/>
              <wp:wrapNone/>
              <wp:docPr id="14071386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7C669" w14:textId="77777777" w:rsidR="007857F3" w:rsidRDefault="007857F3">
                          <w:pPr>
                            <w:pStyle w:val="Style18"/>
                            <w:tabs>
                              <w:tab w:val="right" w:pos="10022"/>
                            </w:tabs>
                            <w:rPr>
                              <w:sz w:val="24"/>
                              <w:szCs w:val="24"/>
                            </w:rPr>
                          </w:pPr>
                          <w:r>
                            <w:rPr>
                              <w:rStyle w:val="CharStyle19"/>
                              <w:rFonts w:ascii="Arial" w:hAnsi="Arial" w:cs="Arial"/>
                              <w:sz w:val="17"/>
                              <w:szCs w:val="17"/>
                              <w:lang w:eastAsia="en-US"/>
                            </w:rPr>
                            <w:t>Hydrol. Earth Syst. Sci., 29, 3277–3295, 2025</w:t>
                          </w:r>
                          <w:r>
                            <w:rPr>
                              <w:rStyle w:val="CharStyle19"/>
                              <w:rFonts w:ascii="Arial" w:hAnsi="Arial" w:cs="Arial"/>
                              <w:sz w:val="17"/>
                              <w:szCs w:val="17"/>
                              <w:lang w:eastAsia="en-US"/>
                            </w:rPr>
                            <w:tab/>
                            <w:t>https://doi.org/10.5194/hess-29-3277-2025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B93828" id="_x0000_t202" coordsize="21600,21600" o:spt="202" path="m,l,21600r21600,l21600,xe">
              <v:stroke joinstyle="miter"/>
              <v:path gradientshapeok="t" o:connecttype="rect"/>
            </v:shapetype>
            <v:shape id="Text Box 4" o:spid="_x0000_s1034" type="#_x0000_t202" style="position:absolute;margin-left:47.4pt;margin-top:769.35pt;width:501.1pt;height:9.7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" filled="f" stroked="f">
              <v:textbox style="mso-fit-shape-to-text:t" inset="0,0,0,0">
                <w:txbxContent>
                  <w:p w14:paraId="2D07C669" w14:textId="77777777" w:rsidR="007857F3" w:rsidRDefault="007857F3">
                    <w:pPr>
                      <w:pStyle w:val="Style18"/>
                      <w:tabs>
                        <w:tab w:val="right" w:pos="10022"/>
                      </w:tabs>
                      <w:rPr>
                        <w:sz w:val="24"/>
                        <w:szCs w:val="24"/>
                      </w:rPr>
                    </w:pPr>
                    <w:r>
                      <w:rPr>
                        <w:rStyle w:val="CharStyle19"/>
                        <w:rFonts w:ascii="Arial" w:hAnsi="Arial" w:cs="Arial"/>
                        <w:sz w:val="17"/>
                        <w:szCs w:val="17"/>
                        <w:lang w:eastAsia="en-US"/>
                      </w:rPr>
                      <w:t>Hydrol. Earth Syst. Sci., 29, 3277–3295, 2025</w:t>
                    </w:r>
                    <w:r>
                      <w:rPr>
                        <w:rStyle w:val="CharStyle19"/>
                        <w:rFonts w:ascii="Arial" w:hAnsi="Arial" w:cs="Arial"/>
                        <w:sz w:val="17"/>
                        <w:szCs w:val="17"/>
                        <w:lang w:eastAsia="en-US"/>
                      </w:rPr>
                      <w:tab/>
                      <w:t>https://doi.org/10.5194/hess-29-3277-2025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4796" w14:textId="32BBC024" w:rsidR="007857F3" w:rsidRDefault="007857F3">
    <w:pPr>
      <w:spacing w:line="1" w:lineRule="exact"/>
      <w:rPr>
        <w:color w:val="auto"/>
        <w:lang w:eastAsia="en-GB"/>
      </w:rPr>
    </w:pPr>
    <w:r>
      <w:rPr>
        <w:noProof/>
      </w:rPr>
      <mc:AlternateContent>
        <mc:Choice Requires="wps">
          <w:drawing>
            <wp:anchor distT="0" distB="0" distL="0" distR="0" simplePos="0" relativeHeight="251661312" behindDoc="1" locked="0" layoutInCell="1" allowOverlap="1" wp14:anchorId="5CAC1984" wp14:editId="6389A640">
              <wp:simplePos x="0" y="0"/>
              <wp:positionH relativeFrom="page">
                <wp:posOffset>591820</wp:posOffset>
              </wp:positionH>
              <wp:positionV relativeFrom="page">
                <wp:posOffset>9770745</wp:posOffset>
              </wp:positionV>
              <wp:extent cx="6367145" cy="123825"/>
              <wp:effectExtent l="1270" t="0" r="3810" b="1905"/>
              <wp:wrapNone/>
              <wp:docPr id="1019163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9374" w14:textId="77777777" w:rsidR="007857F3" w:rsidRDefault="007857F3">
                          <w:pPr>
                            <w:pStyle w:val="Style18"/>
                            <w:tabs>
                              <w:tab w:val="right" w:pos="10027"/>
                            </w:tabs>
                            <w:rPr>
                              <w:sz w:val="24"/>
                              <w:szCs w:val="24"/>
                            </w:rPr>
                          </w:pPr>
                          <w:r>
                            <w:rPr>
                              <w:rStyle w:val="CharStyle19"/>
                              <w:rFonts w:ascii="Arial" w:hAnsi="Arial" w:cs="Arial"/>
                              <w:sz w:val="17"/>
                              <w:szCs w:val="17"/>
                              <w:lang w:eastAsia="en-US"/>
                            </w:rPr>
                            <w:t>https://doi.org/10.5194/hess-29-3277-2025</w:t>
                          </w:r>
                          <w:r>
                            <w:rPr>
                              <w:rStyle w:val="CharStyle19"/>
                              <w:rFonts w:ascii="Arial" w:hAnsi="Arial" w:cs="Arial"/>
                              <w:sz w:val="17"/>
                              <w:szCs w:val="17"/>
                              <w:lang w:eastAsia="en-US"/>
                            </w:rPr>
                            <w:tab/>
                            <w:t>Hydrol. Earth Syst. Sci., 29, 3277–3295,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AC1984" id="_x0000_t202" coordsize="21600,21600" o:spt="202" path="m,l,21600r21600,l21600,xe">
              <v:stroke joinstyle="miter"/>
              <v:path gradientshapeok="t" o:connecttype="rect"/>
            </v:shapetype>
            <v:shape id="Text Box 2" o:spid="_x0000_s1035" type="#_x0000_t202" style="position:absolute;margin-left:46.6pt;margin-top:769.35pt;width:501.35pt;height:9.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" filled="f" stroked="f">
              <v:textbox style="mso-fit-shape-to-text:t" inset="0,0,0,0">
                <w:txbxContent>
                  <w:p w14:paraId="0D099374" w14:textId="77777777" w:rsidR="007857F3" w:rsidRDefault="007857F3">
                    <w:pPr>
                      <w:pStyle w:val="Style18"/>
                      <w:tabs>
                        <w:tab w:val="right" w:pos="10027"/>
                      </w:tabs>
                      <w:rPr>
                        <w:sz w:val="24"/>
                        <w:szCs w:val="24"/>
                      </w:rPr>
                    </w:pPr>
                    <w:r>
                      <w:rPr>
                        <w:rStyle w:val="CharStyle19"/>
                        <w:rFonts w:ascii="Arial" w:hAnsi="Arial" w:cs="Arial"/>
                        <w:sz w:val="17"/>
                        <w:szCs w:val="17"/>
                        <w:lang w:eastAsia="en-US"/>
                      </w:rPr>
                      <w:t>https://doi.org/10.5194/hess-29-3277-2025</w:t>
                    </w:r>
                    <w:r>
                      <w:rPr>
                        <w:rStyle w:val="CharStyle19"/>
                        <w:rFonts w:ascii="Arial" w:hAnsi="Arial" w:cs="Arial"/>
                        <w:sz w:val="17"/>
                        <w:szCs w:val="17"/>
                        <w:lang w:eastAsia="en-US"/>
                      </w:rPr>
                      <w:tab/>
                      <w:t>Hydrol. Earth Syst. Sci., 29, 3277–3295, 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D3B0" w14:textId="77777777" w:rsidR="007857F3" w:rsidRDefault="007857F3">
    <w:pPr>
      <w:spacing w:line="1" w:lineRule="exact"/>
      <w:rPr>
        <w:color w:val="auto"/>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09320" w14:textId="77777777" w:rsidR="007857F3" w:rsidRDefault="007857F3">
      <w:r>
        <w:separator/>
      </w:r>
    </w:p>
  </w:footnote>
  <w:footnote w:type="continuationSeparator" w:id="0">
    <w:p w14:paraId="3ADC8BB2" w14:textId="77777777" w:rsidR="007857F3" w:rsidRDefault="0078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CFD65" w14:textId="50D2D1EF" w:rsidR="007857F3" w:rsidRDefault="007857F3">
    <w:pPr>
      <w:spacing w:line="1" w:lineRule="exact"/>
      <w:rPr>
        <w:color w:val="auto"/>
        <w:lang w:eastAsia="en-GB"/>
      </w:rPr>
    </w:pPr>
    <w:r>
      <w:rPr>
        <w:noProof/>
      </w:rPr>
      <mc:AlternateContent>
        <mc:Choice Requires="wps">
          <w:drawing>
            <wp:anchor distT="0" distB="0" distL="0" distR="0" simplePos="0" relativeHeight="251663360" behindDoc="1" locked="0" layoutInCell="1" allowOverlap="1" wp14:anchorId="26F671C1" wp14:editId="09F68180">
              <wp:simplePos x="0" y="0"/>
              <wp:positionH relativeFrom="page">
                <wp:posOffset>599440</wp:posOffset>
              </wp:positionH>
              <wp:positionV relativeFrom="page">
                <wp:posOffset>861060</wp:posOffset>
              </wp:positionV>
              <wp:extent cx="6370320" cy="123825"/>
              <wp:effectExtent l="0" t="3810" r="2540" b="0"/>
              <wp:wrapNone/>
              <wp:docPr id="11088721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C1800" w14:textId="77777777" w:rsidR="007857F3" w:rsidRDefault="007857F3">
                          <w:pPr>
                            <w:pStyle w:val="Style18"/>
                            <w:tabs>
                              <w:tab w:val="right" w:pos="10032"/>
                            </w:tabs>
                            <w:rPr>
                              <w:sz w:val="24"/>
                              <w:szCs w:val="24"/>
                            </w:rPr>
                          </w:pPr>
                          <w:r>
                            <w:rPr>
                              <w:rStyle w:val="CharStyle19"/>
                              <w:rFonts w:ascii="Arial" w:hAnsi="Arial" w:cs="Arial"/>
                              <w:sz w:val="17"/>
                              <w:szCs w:val="17"/>
                              <w:lang w:eastAsia="en-US"/>
                            </w:rPr>
                            <w:t>3278</w:t>
                          </w:r>
                          <w:r>
                            <w:rPr>
                              <w:rStyle w:val="CharStyle19"/>
                              <w:rFonts w:ascii="Arial" w:hAnsi="Arial" w:cs="Arial"/>
                              <w:sz w:val="17"/>
                              <w:szCs w:val="17"/>
                              <w:lang w:eastAsia="en-US"/>
                            </w:rPr>
                            <w:tab/>
                            <w:t>N. Duque-Gardeazabal</w:t>
                          </w:r>
                          <w:r>
                            <w:rPr>
                              <w:rStyle w:val="CharStyle19"/>
                              <w:rFonts w:ascii="Arial" w:hAnsi="Arial" w:cs="Arial"/>
                              <w:sz w:val="17"/>
                              <w:szCs w:val="17"/>
                              <w:lang w:eastAsia="en-US"/>
                            </w:rPr>
                            <w:t xml:space="preserve"> et al.: Atlantic influence on ET in the Orinoco and Amazon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F671C1" id="_x0000_t202" coordsize="21600,21600" o:spt="202" path="m,l,21600r21600,l21600,xe">
              <v:stroke joinstyle="miter"/>
              <v:path gradientshapeok="t" o:connecttype="rect"/>
            </v:shapetype>
            <v:shape id="Text Box 3" o:spid="_x0000_s1032" type="#_x0000_t202" style="position:absolute;margin-left:47.2pt;margin-top:67.8pt;width:501.6pt;height:9.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" filled="f" stroked="f">
              <v:textbox style="mso-fit-shape-to-text:t" inset="0,0,0,0">
                <w:txbxContent>
                  <w:p w14:paraId="661C1800" w14:textId="77777777" w:rsidR="007857F3" w:rsidRDefault="007857F3">
                    <w:pPr>
                      <w:pStyle w:val="Style18"/>
                      <w:tabs>
                        <w:tab w:val="right" w:pos="10032"/>
                      </w:tabs>
                      <w:rPr>
                        <w:sz w:val="24"/>
                        <w:szCs w:val="24"/>
                      </w:rPr>
                    </w:pPr>
                    <w:r>
                      <w:rPr>
                        <w:rStyle w:val="CharStyle19"/>
                        <w:rFonts w:ascii="Arial" w:hAnsi="Arial" w:cs="Arial"/>
                        <w:sz w:val="17"/>
                        <w:szCs w:val="17"/>
                        <w:lang w:eastAsia="en-US"/>
                      </w:rPr>
                      <w:t>3278</w:t>
                    </w:r>
                    <w:r>
                      <w:rPr>
                        <w:rStyle w:val="CharStyle19"/>
                        <w:rFonts w:ascii="Arial" w:hAnsi="Arial" w:cs="Arial"/>
                        <w:sz w:val="17"/>
                        <w:szCs w:val="17"/>
                        <w:lang w:eastAsia="en-US"/>
                      </w:rPr>
                      <w:tab/>
                      <w:t>N. Duque-Gardeazabal</w:t>
                    </w:r>
                    <w:r>
                      <w:rPr>
                        <w:rStyle w:val="CharStyle19"/>
                        <w:rFonts w:ascii="Arial" w:hAnsi="Arial" w:cs="Arial"/>
                        <w:sz w:val="17"/>
                        <w:szCs w:val="17"/>
                        <w:lang w:eastAsia="en-US"/>
                      </w:rPr>
                      <w:t xml:space="preserve"> et al.: Atlantic influence on ET in the Orinoco and Amazon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C275" w14:textId="6F362A91" w:rsidR="007857F3" w:rsidRDefault="007857F3">
    <w:pPr>
      <w:spacing w:line="1" w:lineRule="exact"/>
      <w:rPr>
        <w:color w:val="auto"/>
        <w:lang w:eastAsia="en-GB"/>
      </w:rPr>
    </w:pPr>
    <w:r>
      <w:rPr>
        <w:noProof/>
      </w:rPr>
      <mc:AlternateContent>
        <mc:Choice Requires="wps">
          <w:drawing>
            <wp:anchor distT="0" distB="0" distL="0" distR="0" simplePos="0" relativeHeight="251659264" behindDoc="1" locked="0" layoutInCell="1" allowOverlap="1" wp14:anchorId="5776B98D" wp14:editId="09828508">
              <wp:simplePos x="0" y="0"/>
              <wp:positionH relativeFrom="page">
                <wp:posOffset>591820</wp:posOffset>
              </wp:positionH>
              <wp:positionV relativeFrom="page">
                <wp:posOffset>861060</wp:posOffset>
              </wp:positionV>
              <wp:extent cx="6367145" cy="123825"/>
              <wp:effectExtent l="1270" t="3810" r="3810" b="0"/>
              <wp:wrapNone/>
              <wp:docPr id="7027903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103E2" w14:textId="77777777" w:rsidR="007857F3" w:rsidRDefault="007857F3">
                          <w:pPr>
                            <w:pStyle w:val="Style18"/>
                            <w:tabs>
                              <w:tab w:val="right" w:pos="10027"/>
                            </w:tabs>
                            <w:rPr>
                              <w:sz w:val="24"/>
                              <w:szCs w:val="24"/>
                            </w:rPr>
                          </w:pPr>
                          <w:r>
                            <w:rPr>
                              <w:rStyle w:val="CharStyle19"/>
                              <w:rFonts w:ascii="Arial" w:hAnsi="Arial" w:cs="Arial"/>
                              <w:sz w:val="17"/>
                              <w:szCs w:val="17"/>
                              <w:lang w:eastAsia="en-US"/>
                            </w:rPr>
                            <w:t>N. Duque-Gardeazabal et al.: Atlantic influence on ET in the Orinoco and Amazon</w:t>
                          </w:r>
                          <w:r>
                            <w:rPr>
                              <w:rStyle w:val="CharStyle19"/>
                              <w:rFonts w:ascii="Arial" w:hAnsi="Arial" w:cs="Arial"/>
                              <w:sz w:val="17"/>
                              <w:szCs w:val="17"/>
                              <w:lang w:eastAsia="en-US"/>
                            </w:rPr>
                            <w:tab/>
                            <w:t>3279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76B98D" id="_x0000_t202" coordsize="21600,21600" o:spt="202" path="m,l,21600r21600,l21600,xe">
              <v:stroke joinstyle="miter"/>
              <v:path gradientshapeok="t" o:connecttype="rect"/>
            </v:shapetype>
            <v:shape id="Text Box 1" o:spid="_x0000_s1033" type="#_x0000_t202" style="position:absolute;margin-left:46.6pt;margin-top:67.8pt;width:501.35pt;height:9.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" filled="f" stroked="f">
              <v:textbox style="mso-fit-shape-to-text:t" inset="0,0,0,0">
                <w:txbxContent>
                  <w:p w14:paraId="277103E2" w14:textId="77777777" w:rsidR="007857F3" w:rsidRDefault="007857F3">
                    <w:pPr>
                      <w:pStyle w:val="Style18"/>
                      <w:tabs>
                        <w:tab w:val="right" w:pos="10027"/>
                      </w:tabs>
                      <w:rPr>
                        <w:sz w:val="24"/>
                        <w:szCs w:val="24"/>
                      </w:rPr>
                    </w:pPr>
                    <w:r>
                      <w:rPr>
                        <w:rStyle w:val="CharStyle19"/>
                        <w:rFonts w:ascii="Arial" w:hAnsi="Arial" w:cs="Arial"/>
                        <w:sz w:val="17"/>
                        <w:szCs w:val="17"/>
                        <w:lang w:eastAsia="en-US"/>
                      </w:rPr>
                      <w:t>N. Duque-Gardeazabal et al.: Atlantic influence on ET in the Orinoco and Amazon</w:t>
                    </w:r>
                    <w:r>
                      <w:rPr>
                        <w:rStyle w:val="CharStyle19"/>
                        <w:rFonts w:ascii="Arial" w:hAnsi="Arial" w:cs="Arial"/>
                        <w:sz w:val="17"/>
                        <w:szCs w:val="17"/>
                        <w:lang w:eastAsia="en-US"/>
                      </w:rPr>
                      <w:tab/>
                      <w:t>3279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9992" w14:textId="77777777" w:rsidR="007857F3" w:rsidRDefault="007857F3">
    <w:pPr>
      <w:spacing w:line="1" w:lineRule="exact"/>
      <w:rPr>
        <w:color w:val="auto"/>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1">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abstractNum>
  <w:abstractNum w:abstractNumId="1" w15:restartNumberingAfterBreak="0">
    <w:nsid w:val="00000003"/>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abstractNum>
  <w:num w:numId="1" w16cid:durableId="1047606296">
    <w:abstractNumId w:val="0"/>
  </w:num>
  <w:num w:numId="2" w16cid:durableId="751780216">
    <w:abstractNumId w:val="1"/>
  </w:num>
  <w:num w:numId="3" w16cid:durableId="1817257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5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30C"/>
    <w:rsid w:val="0031030C"/>
    <w:rsid w:val="004F0240"/>
    <w:rsid w:val="00785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9019C0F"/>
  <w14:defaultImageDpi w14:val="0"/>
  <w15:docId w15:val="{AE3B6490-A8F6-4005-A503-9A61B5B8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lang w:val="en-US" w:eastAsia="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uiPriority w:val="99"/>
    <w:rPr>
      <w:rFonts w:ascii="Arial" w:hAnsi="Arial" w:cs="Arial"/>
      <w:color w:val="000000"/>
      <w:spacing w:val="0"/>
      <w:w w:val="100"/>
      <w:position w:val="0"/>
      <w:sz w:val="17"/>
      <w:szCs w:val="17"/>
      <w:u w:val="none"/>
    </w:rPr>
  </w:style>
  <w:style w:type="character" w:customStyle="1" w:styleId="CharStyle6">
    <w:name w:val="Char Style 6"/>
    <w:basedOn w:val="DefaultParagraphFont"/>
    <w:link w:val="Style5"/>
    <w:uiPriority w:val="99"/>
    <w:rPr>
      <w:rFonts w:ascii="Arial" w:hAnsi="Arial" w:cs="Arial"/>
      <w:color w:val="000000"/>
      <w:spacing w:val="0"/>
      <w:w w:val="100"/>
      <w:position w:val="0"/>
      <w:sz w:val="30"/>
      <w:szCs w:val="30"/>
      <w:u w:val="none"/>
    </w:rPr>
  </w:style>
  <w:style w:type="character" w:customStyle="1" w:styleId="CharStyle8">
    <w:name w:val="Char Style 8"/>
    <w:basedOn w:val="DefaultParagraphFont"/>
    <w:link w:val="Style7"/>
    <w:uiPriority w:val="99"/>
    <w:rPr>
      <w:rFonts w:ascii="Arial" w:hAnsi="Arial" w:cs="Arial"/>
      <w:color w:val="000000"/>
      <w:spacing w:val="0"/>
      <w:w w:val="100"/>
      <w:position w:val="0"/>
      <w:sz w:val="17"/>
      <w:szCs w:val="17"/>
      <w:u w:val="none"/>
    </w:rPr>
  </w:style>
  <w:style w:type="character" w:customStyle="1" w:styleId="CharStyle12">
    <w:name w:val="Char Style 12"/>
    <w:basedOn w:val="DefaultParagraphFont"/>
    <w:link w:val="Style11"/>
    <w:uiPriority w:val="99"/>
    <w:rPr>
      <w:rFonts w:ascii="Arial" w:hAnsi="Arial" w:cs="Arial"/>
      <w:color w:val="000000"/>
      <w:spacing w:val="0"/>
      <w:w w:val="100"/>
      <w:position w:val="0"/>
      <w:sz w:val="15"/>
      <w:szCs w:val="15"/>
      <w:u w:val="none"/>
    </w:rPr>
  </w:style>
  <w:style w:type="character" w:customStyle="1" w:styleId="CharStyle14">
    <w:name w:val="Char Style 14"/>
    <w:basedOn w:val="DefaultParagraphFont"/>
    <w:link w:val="Style13"/>
    <w:uiPriority w:val="99"/>
    <w:rPr>
      <w:rFonts w:ascii="Arial" w:hAnsi="Arial" w:cs="Arial"/>
      <w:color w:val="000000"/>
      <w:spacing w:val="0"/>
      <w:w w:val="100"/>
      <w:position w:val="0"/>
      <w:sz w:val="15"/>
      <w:szCs w:val="15"/>
      <w:u w:val="none"/>
    </w:rPr>
  </w:style>
  <w:style w:type="character" w:customStyle="1" w:styleId="CharStyle17">
    <w:name w:val="Char Style 17"/>
    <w:basedOn w:val="DefaultParagraphFont"/>
    <w:link w:val="Style16"/>
    <w:uiPriority w:val="99"/>
    <w:rPr>
      <w:rFonts w:ascii="Arial" w:hAnsi="Arial" w:cs="Arial"/>
      <w:color w:val="000000"/>
      <w:spacing w:val="0"/>
      <w:w w:val="100"/>
      <w:position w:val="0"/>
      <w:sz w:val="17"/>
      <w:szCs w:val="17"/>
      <w:u w:val="none"/>
    </w:rPr>
  </w:style>
  <w:style w:type="character" w:customStyle="1" w:styleId="CharStyle19">
    <w:name w:val="Char Style 19"/>
    <w:basedOn w:val="DefaultParagraphFont"/>
    <w:link w:val="Style18"/>
    <w:uiPriority w:val="99"/>
    <w:rPr>
      <w:color w:val="000000"/>
      <w:spacing w:val="0"/>
      <w:w w:val="100"/>
      <w:position w:val="0"/>
      <w:sz w:val="20"/>
      <w:szCs w:val="20"/>
      <w:u w:val="none"/>
    </w:rPr>
  </w:style>
  <w:style w:type="character" w:customStyle="1" w:styleId="CharStyle22">
    <w:name w:val="Char Style 22"/>
    <w:basedOn w:val="DefaultParagraphFont"/>
    <w:link w:val="Style21"/>
    <w:uiPriority w:val="99"/>
    <w:rPr>
      <w:rFonts w:ascii="Arial" w:hAnsi="Arial" w:cs="Arial"/>
      <w:color w:val="000000"/>
      <w:spacing w:val="0"/>
      <w:w w:val="100"/>
      <w:position w:val="0"/>
      <w:sz w:val="17"/>
      <w:szCs w:val="17"/>
      <w:u w:val="none"/>
    </w:rPr>
  </w:style>
  <w:style w:type="character" w:customStyle="1" w:styleId="CharStyle27">
    <w:name w:val="Char Style 27"/>
    <w:basedOn w:val="DefaultParagraphFont"/>
    <w:link w:val="Style26"/>
    <w:uiPriority w:val="99"/>
    <w:rPr>
      <w:rFonts w:ascii="Arial" w:hAnsi="Arial" w:cs="Arial"/>
      <w:color w:val="000000"/>
      <w:spacing w:val="0"/>
      <w:w w:val="100"/>
      <w:position w:val="0"/>
      <w:sz w:val="17"/>
      <w:szCs w:val="17"/>
      <w:u w:val="none"/>
    </w:rPr>
  </w:style>
  <w:style w:type="character" w:customStyle="1" w:styleId="CharStyle31">
    <w:name w:val="Char Style 31"/>
    <w:basedOn w:val="DefaultParagraphFont"/>
    <w:link w:val="Style30"/>
    <w:uiPriority w:val="99"/>
    <w:rPr>
      <w:rFonts w:ascii="Arial" w:hAnsi="Arial" w:cs="Arial"/>
      <w:color w:val="000000"/>
      <w:spacing w:val="0"/>
      <w:w w:val="100"/>
      <w:position w:val="0"/>
      <w:sz w:val="15"/>
      <w:szCs w:val="15"/>
      <w:u w:val="none"/>
    </w:rPr>
  </w:style>
  <w:style w:type="paragraph" w:customStyle="1" w:styleId="Style2">
    <w:name w:val="Style 2"/>
    <w:basedOn w:val="Normal"/>
    <w:link w:val="CharStyle3"/>
    <w:uiPriority w:val="99"/>
    <w:pPr>
      <w:spacing w:line="293" w:lineRule="auto"/>
    </w:pPr>
    <w:rPr>
      <w:rFonts w:ascii="Arial" w:hAnsi="Arial" w:cs="Arial"/>
      <w:color w:val="auto"/>
      <w:sz w:val="17"/>
      <w:szCs w:val="17"/>
      <w:lang w:eastAsia="en-GB"/>
    </w:rPr>
  </w:style>
  <w:style w:type="paragraph" w:customStyle="1" w:styleId="Style5">
    <w:name w:val="Style 5"/>
    <w:basedOn w:val="Normal"/>
    <w:link w:val="CharStyle6"/>
    <w:uiPriority w:val="99"/>
    <w:pPr>
      <w:spacing w:after="80" w:line="307" w:lineRule="auto"/>
    </w:pPr>
    <w:rPr>
      <w:rFonts w:ascii="Arial" w:hAnsi="Arial" w:cs="Arial"/>
      <w:color w:val="auto"/>
      <w:sz w:val="30"/>
      <w:szCs w:val="30"/>
      <w:lang w:eastAsia="en-GB"/>
    </w:rPr>
  </w:style>
  <w:style w:type="paragraph" w:customStyle="1" w:styleId="Style7">
    <w:name w:val="Style 7"/>
    <w:basedOn w:val="Normal"/>
    <w:link w:val="CharStyle8"/>
    <w:uiPriority w:val="99"/>
    <w:pPr>
      <w:spacing w:line="293" w:lineRule="auto"/>
    </w:pPr>
    <w:rPr>
      <w:rFonts w:ascii="Arial" w:hAnsi="Arial" w:cs="Arial"/>
      <w:color w:val="auto"/>
      <w:sz w:val="17"/>
      <w:szCs w:val="17"/>
      <w:lang w:eastAsia="en-GB"/>
    </w:rPr>
  </w:style>
  <w:style w:type="paragraph" w:customStyle="1" w:styleId="Style11">
    <w:name w:val="Style 11"/>
    <w:basedOn w:val="Normal"/>
    <w:link w:val="CharStyle12"/>
    <w:uiPriority w:val="99"/>
    <w:pPr>
      <w:spacing w:line="307" w:lineRule="auto"/>
    </w:pPr>
    <w:rPr>
      <w:rFonts w:ascii="Arial" w:hAnsi="Arial" w:cs="Arial"/>
      <w:color w:val="auto"/>
      <w:sz w:val="15"/>
      <w:szCs w:val="15"/>
      <w:lang w:eastAsia="en-GB"/>
    </w:rPr>
  </w:style>
  <w:style w:type="paragraph" w:customStyle="1" w:styleId="Style13">
    <w:name w:val="Style 13"/>
    <w:basedOn w:val="Normal"/>
    <w:link w:val="CharStyle14"/>
    <w:uiPriority w:val="99"/>
    <w:pPr>
      <w:spacing w:line="305" w:lineRule="auto"/>
    </w:pPr>
    <w:rPr>
      <w:rFonts w:ascii="Arial" w:hAnsi="Arial" w:cs="Arial"/>
      <w:color w:val="auto"/>
      <w:sz w:val="15"/>
      <w:szCs w:val="15"/>
      <w:lang w:eastAsia="en-GB"/>
    </w:rPr>
  </w:style>
  <w:style w:type="paragraph" w:customStyle="1" w:styleId="Style16">
    <w:name w:val="Style 16"/>
    <w:basedOn w:val="Normal"/>
    <w:link w:val="CharStyle17"/>
    <w:uiPriority w:val="99"/>
    <w:pPr>
      <w:spacing w:after="190" w:line="293" w:lineRule="auto"/>
      <w:outlineLvl w:val="0"/>
    </w:pPr>
    <w:rPr>
      <w:rFonts w:ascii="Arial" w:hAnsi="Arial" w:cs="Arial"/>
      <w:color w:val="auto"/>
      <w:sz w:val="17"/>
      <w:szCs w:val="17"/>
      <w:lang w:eastAsia="en-GB"/>
    </w:rPr>
  </w:style>
  <w:style w:type="paragraph" w:customStyle="1" w:styleId="Style18">
    <w:name w:val="Style 18"/>
    <w:basedOn w:val="Normal"/>
    <w:link w:val="CharStyle19"/>
    <w:uiPriority w:val="99"/>
    <w:rPr>
      <w:color w:val="auto"/>
      <w:sz w:val="20"/>
      <w:szCs w:val="20"/>
      <w:lang w:eastAsia="en-GB"/>
    </w:rPr>
  </w:style>
  <w:style w:type="paragraph" w:customStyle="1" w:styleId="Style21">
    <w:name w:val="Style 21"/>
    <w:basedOn w:val="Normal"/>
    <w:link w:val="CharStyle22"/>
    <w:uiPriority w:val="99"/>
    <w:pPr>
      <w:spacing w:after="180" w:line="293" w:lineRule="auto"/>
      <w:ind w:left="460" w:hanging="460"/>
      <w:outlineLvl w:val="1"/>
    </w:pPr>
    <w:rPr>
      <w:rFonts w:ascii="Arial" w:hAnsi="Arial" w:cs="Arial"/>
      <w:color w:val="auto"/>
      <w:sz w:val="17"/>
      <w:szCs w:val="17"/>
      <w:lang w:eastAsia="en-GB"/>
    </w:rPr>
  </w:style>
  <w:style w:type="paragraph" w:customStyle="1" w:styleId="Style26">
    <w:name w:val="Style 26"/>
    <w:basedOn w:val="Normal"/>
    <w:link w:val="CharStyle27"/>
    <w:uiPriority w:val="99"/>
    <w:pPr>
      <w:spacing w:after="220" w:line="293" w:lineRule="auto"/>
      <w:outlineLvl w:val="2"/>
    </w:pPr>
    <w:rPr>
      <w:rFonts w:ascii="Arial" w:hAnsi="Arial" w:cs="Arial"/>
      <w:color w:val="auto"/>
      <w:sz w:val="17"/>
      <w:szCs w:val="17"/>
      <w:lang w:eastAsia="en-GB"/>
    </w:rPr>
  </w:style>
  <w:style w:type="paragraph" w:customStyle="1" w:styleId="Style30">
    <w:name w:val="Style 30"/>
    <w:basedOn w:val="Normal"/>
    <w:link w:val="CharStyle31"/>
    <w:uiPriority w:val="99"/>
    <w:pPr>
      <w:spacing w:line="305" w:lineRule="auto"/>
      <w:ind w:left="220" w:hanging="220"/>
    </w:pPr>
    <w:rPr>
      <w:rFonts w:ascii="Arial" w:hAnsi="Arial" w:cs="Arial"/>
      <w:color w:val="auto"/>
      <w:sz w:val="15"/>
      <w:szCs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cei.noaa.gov/pub/data/cmb/ersst/v5/netcdf/" TargetMode="External"/><Relationship Id="rId117" Type="http://schemas.openxmlformats.org/officeDocument/2006/relationships/hyperlink" Target="https://doi.org/10.1126/science.1082750" TargetMode="External"/><Relationship Id="rId21" Type="http://schemas.openxmlformats.org/officeDocument/2006/relationships/image" Target="media/image7.jpeg"/><Relationship Id="rId42" Type="http://schemas.openxmlformats.org/officeDocument/2006/relationships/hyperlink" Target="https://www.hydrosheds.org/products/hydrobasins" TargetMode="External"/><Relationship Id="rId47" Type="http://schemas.openxmlformats.org/officeDocument/2006/relationships/hyperlink" Target="https://doi.org/10.5194/hess-25-2279-2021" TargetMode="External"/><Relationship Id="rId63" Type="http://schemas.openxmlformats.org/officeDocument/2006/relationships/hyperlink" Target="https://doi.org/10.21957/02054f0fbf" TargetMode="External"/><Relationship Id="rId68" Type="http://schemas.openxmlformats.org/officeDocument/2006/relationships/hyperlink" Target="https://doi.org/10.1175/JCLI-D-16-0641.1" TargetMode="External"/><Relationship Id="rId84" Type="http://schemas.openxmlformats.org/officeDocument/2006/relationships/hyperlink" Target="https://www.ncei.noaa.gov/pub/data/cmb/ersst/v5/netcdf/" TargetMode="External"/><Relationship Id="rId89" Type="http://schemas.openxmlformats.org/officeDocument/2006/relationships/hyperlink" Target="https://doi.org/10.1098/rstb.1976.0035" TargetMode="External"/><Relationship Id="rId112" Type="http://schemas.openxmlformats.org/officeDocument/2006/relationships/hyperlink" Target="https://doi.org/10.1016/j.jhydrol.2010.07.012" TargetMode="External"/><Relationship Id="rId133" Type="http://schemas.openxmlformats.org/officeDocument/2006/relationships/hyperlink" Target="https://doi.org/10.3389/feart.2015.00055" TargetMode="External"/><Relationship Id="rId138" Type="http://schemas.openxmlformats.org/officeDocument/2006/relationships/hyperlink" Target="https://doi.org/10.5194/acp-11-1853-2011" TargetMode="External"/><Relationship Id="rId16" Type="http://schemas.openxmlformats.org/officeDocument/2006/relationships/image" Target="media/image2.jpeg"/><Relationship Id="rId107" Type="http://schemas.openxmlformats.org/officeDocument/2006/relationships/hyperlink" Target="https://www.gleam.eu/" TargetMode="External"/><Relationship Id="rId11" Type="http://schemas.openxmlformats.org/officeDocument/2006/relationships/footer" Target="footer1.xml"/><Relationship Id="rId32" Type="http://schemas.openxmlformats.org/officeDocument/2006/relationships/hyperlink" Target="https://doi.org/10.24381/cds.68d2bb30" TargetMode="External"/><Relationship Id="rId37" Type="http://schemas.openxmlformats.org/officeDocument/2006/relationships/hyperlink" Target="https://www.gleam.eu/" TargetMode="External"/><Relationship Id="rId53" Type="http://schemas.openxmlformats.org/officeDocument/2006/relationships/hyperlink" Target="https://doi.org/10.1038/s43017-020-0040-3" TargetMode="External"/><Relationship Id="rId58" Type="http://schemas.openxmlformats.org/officeDocument/2006/relationships/hyperlink" Target="https://doi.org/10.1016/j.agrformet.2023.109875" TargetMode="External"/><Relationship Id="rId74" Type="http://schemas.openxmlformats.org/officeDocument/2006/relationships/hyperlink" Target="https://catalogue.ceda.ac.uk/uuid/ff890589c21f4033803aa550f52c980c" TargetMode="External"/><Relationship Id="rId79" Type="http://schemas.openxmlformats.org/officeDocument/2006/relationships/hyperlink" Target="https://doi.org/10.24381/cds.6860a573" TargetMode="External"/><Relationship Id="rId102" Type="http://schemas.openxmlformats.org/officeDocument/2006/relationships/hyperlink" Target="https://doi.org/10.1002/wcc.527" TargetMode="External"/><Relationship Id="rId123" Type="http://schemas.openxmlformats.org/officeDocument/2006/relationships/hyperlink" Target="https://www.R-project.org/" TargetMode="External"/><Relationship Id="rId128" Type="http://schemas.openxmlformats.org/officeDocument/2006/relationships/hyperlink" Target="https://doi.org/10.1007/s00704-024-04848-3" TargetMode="External"/><Relationship Id="rId144" Type="http://schemas.openxmlformats.org/officeDocument/2006/relationships/hyperlink" Target="https://doi.org/10.1016/j.agrformet.2024.110040"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doi.org/10.1038/s41597-019-0076-8" TargetMode="External"/><Relationship Id="rId95" Type="http://schemas.openxmlformats.org/officeDocument/2006/relationships/hyperlink" Target="https://www.metoffice.gov.uk/hadobs/hadsst4/data/download.html" TargetMode="External"/><Relationship Id="rId22" Type="http://schemas.openxmlformats.org/officeDocument/2006/relationships/hyperlink" Target="https://www.R-project.org/" TargetMode="External"/><Relationship Id="rId27" Type="http://schemas.openxmlformats.org/officeDocument/2006/relationships/hyperlink" Target="https://www.ncei.noaa.gov/pub/data/cmb/ersst/v5/netcdf/" TargetMode="External"/><Relationship Id="rId43" Type="http://schemas.openxmlformats.org/officeDocument/2006/relationships/hyperlink" Target="https://doi.org/10.5194/hess-29-3277-2025-supplement" TargetMode="External"/><Relationship Id="rId48" Type="http://schemas.openxmlformats.org/officeDocument/2006/relationships/hyperlink" Target="https://doi.org/10.1175/BAMS-D-17-0138.1" TargetMode="External"/><Relationship Id="rId64" Type="http://schemas.openxmlformats.org/officeDocument/2006/relationships/hyperlink" Target="https://doi.org/10.1029/96GL03231" TargetMode="External"/><Relationship Id="rId69" Type="http://schemas.openxmlformats.org/officeDocument/2006/relationships/hyperlink" Target="https://doi.org/10.1016/j.palaeo.2007.10.032" TargetMode="External"/><Relationship Id="rId113" Type="http://schemas.openxmlformats.org/officeDocument/2006/relationships/hyperlink" Target="https://doi.org/10.1016/j.scitotenv.2018.09.242" TargetMode="External"/><Relationship Id="rId118" Type="http://schemas.openxmlformats.org/officeDocument/2006/relationships/hyperlink" Target="https://doi.org/10.5194/hess-23-3917-2019" TargetMode="External"/><Relationship Id="rId134" Type="http://schemas.openxmlformats.org/officeDocument/2006/relationships/hyperlink" Target="https://doi.org/10.5194/hess-25-3875-2021" TargetMode="External"/><Relationship Id="rId139" Type="http://schemas.openxmlformats.org/officeDocument/2006/relationships/hyperlink" Target="https://doi.org/10.1029/2011RG000373" TargetMode="External"/><Relationship Id="rId80" Type="http://schemas.openxmlformats.org/officeDocument/2006/relationships/hyperlink" Target="https://doi.org/10.1016/j.rse.2014.08.030" TargetMode="External"/><Relationship Id="rId85" Type="http://schemas.openxmlformats.org/officeDocument/2006/relationships/hyperlink" Target="https://www.ncei.noaa.gov/pub/data/cmb/ersst/v5/netcdf/"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github.com/nduqueg/ET_var_SAme" TargetMode="External"/><Relationship Id="rId33" Type="http://schemas.openxmlformats.org/officeDocument/2006/relationships/hyperlink" Target="https://cds.climate.copernicus.eu" TargetMode="External"/><Relationship Id="rId38" Type="http://schemas.openxmlformats.org/officeDocument/2006/relationships/hyperlink" Target="https://wui.cmsaf.eu/safira/action/viewProduktDetails?fid=40&amp;eid=22277_22492" TargetMode="External"/><Relationship Id="rId46" Type="http://schemas.openxmlformats.org/officeDocument/2006/relationships/hyperlink" Target="https://doi.org/10.3389/feart.2020.505467" TargetMode="External"/><Relationship Id="rId59" Type="http://schemas.openxmlformats.org/officeDocument/2006/relationships/hyperlink" Target="https://doi.org/10.1029/2021JD035259" TargetMode="External"/><Relationship Id="rId67" Type="http://schemas.openxmlformats.org/officeDocument/2006/relationships/hyperlink" Target="https://doi.org/10.1175/JCLI-D-19-0102.1" TargetMode="External"/><Relationship Id="rId103" Type="http://schemas.openxmlformats.org/officeDocument/2006/relationships/hyperlink" Target="https://doi.org/10.1111/gcb.16644" TargetMode="External"/><Relationship Id="rId108" Type="http://schemas.openxmlformats.org/officeDocument/2006/relationships/hyperlink" Target="https://doi.org/10.1038/s41612-018-0053-5" TargetMode="External"/><Relationship Id="rId116" Type="http://schemas.openxmlformats.org/officeDocument/2006/relationships/hyperlink" Target="https://doi.org/10.5194/essd-13-4349-2021" TargetMode="External"/><Relationship Id="rId124" Type="http://schemas.openxmlformats.org/officeDocument/2006/relationships/hyperlink" Target="https://www.R-project.org/" TargetMode="External"/><Relationship Id="rId129" Type="http://schemas.openxmlformats.org/officeDocument/2006/relationships/hyperlink" Target="https://doi.org/10.1016/j.earscirev.2010.02.004" TargetMode="External"/><Relationship Id="rId137" Type="http://schemas.openxmlformats.org/officeDocument/2006/relationships/hyperlink" Target="https://doi.org/10.1029/2020GL087108" TargetMode="External"/><Relationship Id="rId20" Type="http://schemas.openxmlformats.org/officeDocument/2006/relationships/image" Target="media/image6.jpeg"/><Relationship Id="rId41" Type="http://schemas.openxmlformats.org/officeDocument/2006/relationships/hyperlink" Target="https://doi.org/10.5676/EUM_SAF_CM/CLARA_AVHRR/V003" TargetMode="External"/><Relationship Id="rId54" Type="http://schemas.openxmlformats.org/officeDocument/2006/relationships/hyperlink" Target="https://doi.org/10.5194/wcd-4-471-2023" TargetMode="External"/><Relationship Id="rId62" Type="http://schemas.openxmlformats.org/officeDocument/2006/relationships/hyperlink" Target="https://doi.org/10.1017/CBO9781107415324.004" TargetMode="External"/><Relationship Id="rId70" Type="http://schemas.openxmlformats.org/officeDocument/2006/relationships/hyperlink" Target="https://doi.org/10.5194/hess-28-3099-2024" TargetMode="External"/><Relationship Id="rId75" Type="http://schemas.openxmlformats.org/officeDocument/2006/relationships/hyperlink" Target="https://doi.org/10.1002/joc.1724" TargetMode="External"/><Relationship Id="rId83" Type="http://schemas.openxmlformats.org/officeDocument/2006/relationships/hyperlink" Target="https://doi.org/10.1175/JCLI-D-16-0836.1" TargetMode="External"/><Relationship Id="rId88" Type="http://schemas.openxmlformats.org/officeDocument/2006/relationships/hyperlink" Target="https://doi.org/10.1017/9781009157896" TargetMode="External"/><Relationship Id="rId91" Type="http://schemas.openxmlformats.org/officeDocument/2006/relationships/hyperlink" Target="https://doi.org/10.5676/EUM_SAF_CM/CLARA_AVHRR/V003" TargetMode="External"/><Relationship Id="rId96" Type="http://schemas.openxmlformats.org/officeDocument/2006/relationships/hyperlink" Target="https://doi.org/10.5194/hess-24-1131-2020" TargetMode="External"/><Relationship Id="rId111" Type="http://schemas.openxmlformats.org/officeDocument/2006/relationships/hyperlink" Target="https://doi.org/10.1038/nclimate2068" TargetMode="External"/><Relationship Id="rId132" Type="http://schemas.openxmlformats.org/officeDocument/2006/relationships/hyperlink" Target="https://gml.noaa.gov/ccgg/trends/data.html" TargetMode="External"/><Relationship Id="rId140" Type="http://schemas.openxmlformats.org/officeDocument/2006/relationships/hyperlink" Target="https://doi.org/10.5194/hess-22-4311-2018" TargetMode="External"/><Relationship Id="rId145" Type="http://schemas.openxmlformats.org/officeDocument/2006/relationships/hyperlink" Target="https://doi.org/10.5194/acp-14-13337-201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hyperlink" Target="https://www.R-project.org/" TargetMode="External"/><Relationship Id="rId28" Type="http://schemas.openxmlformats.org/officeDocument/2006/relationships/hyperlink" Target="https://www.metoffice.gov.uk/hadobs/hadsst4/data/download.html" TargetMode="External"/><Relationship Id="rId36" Type="http://schemas.openxmlformats.org/officeDocument/2006/relationships/hyperlink" Target="https://catalogue.ceda.ac.uk/uuid/ff890589c21f4033803aa550f52c980c" TargetMode="External"/><Relationship Id="rId49" Type="http://schemas.openxmlformats.org/officeDocument/2006/relationships/hyperlink" Target="http://www.gloh2o.org/mswep/" TargetMode="External"/><Relationship Id="rId57" Type="http://schemas.openxmlformats.org/officeDocument/2006/relationships/hyperlink" Target="https://doi.org/10.1175/2009JCLI2735.1" TargetMode="External"/><Relationship Id="rId106" Type="http://schemas.openxmlformats.org/officeDocument/2006/relationships/hyperlink" Target="https://doi.org/10.5194/gmd-10-1903-2017" TargetMode="External"/><Relationship Id="rId114" Type="http://schemas.openxmlformats.org/officeDocument/2006/relationships/hyperlink" Target="https://doi.org/10.1029/2005GL023900" TargetMode="External"/><Relationship Id="rId119" Type="http://schemas.openxmlformats.org/officeDocument/2006/relationships/hyperlink" Target="https://doi.org/10.1029/2022JD036468" TargetMode="External"/><Relationship Id="rId127" Type="http://schemas.openxmlformats.org/officeDocument/2006/relationships/hyperlink" Target="https://doi.org/10.1002/joc.815" TargetMode="External"/><Relationship Id="rId10" Type="http://schemas.openxmlformats.org/officeDocument/2006/relationships/header" Target="header2.xml"/><Relationship Id="rId31" Type="http://schemas.openxmlformats.org/officeDocument/2006/relationships/hyperlink" Target="https://doi.org/10.24381/cds.6860a573" TargetMode="External"/><Relationship Id="rId44" Type="http://schemas.openxmlformats.org/officeDocument/2006/relationships/hyperlink" Target="https://doi.org/10.1007/s00382-015-2511-7" TargetMode="External"/><Relationship Id="rId52" Type="http://schemas.openxmlformats.org/officeDocument/2006/relationships/hyperlink" Target="https://doi.org/10.1126/science.aav4236" TargetMode="External"/><Relationship Id="rId60" Type="http://schemas.openxmlformats.org/officeDocument/2006/relationships/hyperlink" Target="https://doi.org/10.5194/hess-18-2577-2014" TargetMode="External"/><Relationship Id="rId65" Type="http://schemas.openxmlformats.org/officeDocument/2006/relationships/hyperlink" Target="https://doi.org/10.1029/2011GL047862" TargetMode="External"/><Relationship Id="rId73" Type="http://schemas.openxmlformats.org/officeDocument/2006/relationships/hyperlink" Target="https://catalogue.ceda.ac.uk/uuid/ff890589c21f4033803aa550f52c980c" TargetMode="External"/><Relationship Id="rId78" Type="http://schemas.openxmlformats.org/officeDocument/2006/relationships/hyperlink" Target="https://doi.org/10.1002/qj.3803" TargetMode="External"/><Relationship Id="rId81" Type="http://schemas.openxmlformats.org/officeDocument/2006/relationships/hyperlink" Target="https://doi.org/10.1007/s00382-018-4172-9" TargetMode="External"/><Relationship Id="rId86" Type="http://schemas.openxmlformats.org/officeDocument/2006/relationships/hyperlink" Target="https://doi.org/10.1038/s41586-021-03325-5" TargetMode="External"/><Relationship Id="rId94" Type="http://schemas.openxmlformats.org/officeDocument/2006/relationships/hyperlink" Target="https://www.metoffice.gov.uk/hadobs/hadsst4/data/download.html" TargetMode="External"/><Relationship Id="rId99" Type="http://schemas.openxmlformats.org/officeDocument/2006/relationships/hyperlink" Target="https://doi.org/10.1126/sciadv.adk5861" TargetMode="External"/><Relationship Id="rId101" Type="http://schemas.openxmlformats.org/officeDocument/2006/relationships/hyperlink" Target="https://doi.org/10.1175/JCLI-D-11-00553.1" TargetMode="External"/><Relationship Id="rId122" Type="http://schemas.openxmlformats.org/officeDocument/2006/relationships/hyperlink" Target="https://doi.org/10.1016/j.palaeo.2005.10.031" TargetMode="External"/><Relationship Id="rId130" Type="http://schemas.openxmlformats.org/officeDocument/2006/relationships/hyperlink" Target="https://doi.org/10.1038/s41558-018-0177-y" TargetMode="External"/><Relationship Id="rId135" Type="http://schemas.openxmlformats.org/officeDocument/2006/relationships/hyperlink" Target="https://doi.org/10.1098/rstb.2016.0135" TargetMode="External"/><Relationship Id="rId143" Type="http://schemas.openxmlformats.org/officeDocument/2006/relationships/hyperlink" Target="https://doi.org/10.1007/s00382-009-0551-6"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wui.cmsaf.eu/safira/action/viewProduktDetails?fid=40&amp;eid=22277_22492" TargetMode="External"/><Relationship Id="rId109" Type="http://schemas.openxmlformats.org/officeDocument/2006/relationships/hyperlink" Target="https://doi.org/10.1007/s00382-014-2305-3" TargetMode="External"/><Relationship Id="rId34" Type="http://schemas.openxmlformats.org/officeDocument/2006/relationships/hyperlink" Target="http://www.gloh2o.org/mswep/" TargetMode="External"/><Relationship Id="rId50" Type="http://schemas.openxmlformats.org/officeDocument/2006/relationships/hyperlink" Target="https://doi.org/10.5194/hess-25-17-2021" TargetMode="External"/><Relationship Id="rId55" Type="http://schemas.openxmlformats.org/officeDocument/2006/relationships/hyperlink" Target="https://doi.org/10.1038/nature05053" TargetMode="External"/><Relationship Id="rId76" Type="http://schemas.openxmlformats.org/officeDocument/2006/relationships/hyperlink" Target="https://doi.org/10.1175/JHM587.1" TargetMode="External"/><Relationship Id="rId97" Type="http://schemas.openxmlformats.org/officeDocument/2006/relationships/hyperlink" Target="https://doi.org/10.1002/hyp.9740" TargetMode="External"/><Relationship Id="rId104" Type="http://schemas.openxmlformats.org/officeDocument/2006/relationships/hyperlink" Target="https://doi.org/10.1002/joc.4420" TargetMode="External"/><Relationship Id="rId120" Type="http://schemas.openxmlformats.org/officeDocument/2006/relationships/hyperlink" Target="https://doi.org/10.1175/JCLI-D-20-0224.1" TargetMode="External"/><Relationship Id="rId125" Type="http://schemas.openxmlformats.org/officeDocument/2006/relationships/hyperlink" Target="https://doi.org/10.1017/CBO9780511535666.019" TargetMode="External"/><Relationship Id="rId141" Type="http://schemas.openxmlformats.org/officeDocument/2006/relationships/hyperlink" Target="https://doi.org/10.1029/2018GL079203" TargetMode="External"/><Relationship Id="rId146" Type="http://schemas.openxmlformats.org/officeDocument/2006/relationships/hyperlink" Target="https://doi.org/10.1038/srep19124" TargetMode="External"/><Relationship Id="rId7" Type="http://schemas.openxmlformats.org/officeDocument/2006/relationships/hyperlink" Target="https://doi.org/10.5194/hess-29-3277-2025" TargetMode="External"/><Relationship Id="rId71" Type="http://schemas.openxmlformats.org/officeDocument/2006/relationships/hyperlink" Target="https://doi.org/10.1175/2008JCLI2345.1" TargetMode="External"/><Relationship Id="rId92" Type="http://schemas.openxmlformats.org/officeDocument/2006/relationships/hyperlink" Target="https://doi.org/10.5194/hess-23-2351-2019" TargetMode="External"/><Relationship Id="rId2" Type="http://schemas.openxmlformats.org/officeDocument/2006/relationships/styles" Target="styles.xml"/><Relationship Id="rId29" Type="http://schemas.openxmlformats.org/officeDocument/2006/relationships/hyperlink" Target="https://gml.noaa.gov/ccgg/trends/data.html" TargetMode="External"/><Relationship Id="rId24" Type="http://schemas.openxmlformats.org/officeDocument/2006/relationships/hyperlink" Target="https://doi.org/10.5281/zenodo.15389246" TargetMode="External"/><Relationship Id="rId40" Type="http://schemas.openxmlformats.org/officeDocument/2006/relationships/hyperlink" Target="https://doi.org/10.5676/EUM_SAF_CM/CLARA_AVHRR/V003" TargetMode="External"/><Relationship Id="rId45" Type="http://schemas.openxmlformats.org/officeDocument/2006/relationships/hyperlink" Target="https://doi.org/10.1175/JCLI-D-19-0696.1" TargetMode="External"/><Relationship Id="rId66" Type="http://schemas.openxmlformats.org/officeDocument/2006/relationships/hyperlink" Target="https://doi.org/10.1002/2015GL063911" TargetMode="External"/><Relationship Id="rId87" Type="http://schemas.openxmlformats.org/officeDocument/2006/relationships/hyperlink" Target="https://doi.org/10.1038/s41586-021-03325-5" TargetMode="External"/><Relationship Id="rId110" Type="http://schemas.openxmlformats.org/officeDocument/2006/relationships/hyperlink" Target="https://doi.org/10.1038/s43017-021-00195-3" TargetMode="External"/><Relationship Id="rId115" Type="http://schemas.openxmlformats.org/officeDocument/2006/relationships/hyperlink" Target="https://doi.org/10.24381/cds.68d2bb30" TargetMode="External"/><Relationship Id="rId131" Type="http://schemas.openxmlformats.org/officeDocument/2006/relationships/hyperlink" Target="https://doi.org/10.1029/JD094iD06p08549" TargetMode="External"/><Relationship Id="rId136" Type="http://schemas.openxmlformats.org/officeDocument/2006/relationships/hyperlink" Target="https://doi.org/10.1016/j.atmosres.2023.106643" TargetMode="External"/><Relationship Id="rId61" Type="http://schemas.openxmlformats.org/officeDocument/2006/relationships/hyperlink" Target="https://doi.org/10.5281/zenodo.15389246" TargetMode="External"/><Relationship Id="rId82" Type="http://schemas.openxmlformats.org/officeDocument/2006/relationships/hyperlink" Target="https://doi.org/10.1029/2018GL081406" TargetMode="Externa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hyperlink" Target="https://gml.noaa.gov/ccgg/trends/data.html" TargetMode="External"/><Relationship Id="rId35" Type="http://schemas.openxmlformats.org/officeDocument/2006/relationships/hyperlink" Target="https://catalogue.ceda.ac.uk/uuid/ff890589c21f4033803aa550f52c980c" TargetMode="External"/><Relationship Id="rId56" Type="http://schemas.openxmlformats.org/officeDocument/2006/relationships/hyperlink" Target="https://doi.org/10.1029/2000jd000307" TargetMode="External"/><Relationship Id="rId77" Type="http://schemas.openxmlformats.org/officeDocument/2006/relationships/hyperlink" Target="https://doi.org/10.1038/s41586-023-06489-4" TargetMode="External"/><Relationship Id="rId100" Type="http://schemas.openxmlformats.org/officeDocument/2006/relationships/hyperlink" Target="https://doi.org/10.1002/2016GL067738" TargetMode="External"/><Relationship Id="rId105" Type="http://schemas.openxmlformats.org/officeDocument/2006/relationships/hyperlink" Target="https://doi.org/10.1038/s41612-018-0014-z" TargetMode="External"/><Relationship Id="rId126" Type="http://schemas.openxmlformats.org/officeDocument/2006/relationships/hyperlink" Target="https://doi.org/10.1002/2013GL058703" TargetMode="External"/><Relationship Id="rId147" Type="http://schemas.openxmlformats.org/officeDocument/2006/relationships/hyperlink" Target="https://doi.org/10.1126/science.1192666" TargetMode="External"/><Relationship Id="rId8" Type="http://schemas.openxmlformats.org/officeDocument/2006/relationships/hyperlink" Target="mailto:nicolas.duque@unibe.ch" TargetMode="External"/><Relationship Id="rId51" Type="http://schemas.openxmlformats.org/officeDocument/2006/relationships/hyperlink" Target="https://doi.org/10.1038/ngeo2568" TargetMode="External"/><Relationship Id="rId72" Type="http://schemas.openxmlformats.org/officeDocument/2006/relationships/hyperlink" Target="https://doi.org/10.5194/essd-11-717-2019" TargetMode="External"/><Relationship Id="rId93" Type="http://schemas.openxmlformats.org/officeDocument/2006/relationships/hyperlink" Target="https://doi.org/10.1029/2018JD029867" TargetMode="External"/><Relationship Id="rId98" Type="http://schemas.openxmlformats.org/officeDocument/2006/relationships/hyperlink" Target="https://www.hydrosheds.org/products/hydrobasins" TargetMode="External"/><Relationship Id="rId121" Type="http://schemas.openxmlformats.org/officeDocument/2006/relationships/hyperlink" Target="https://doi.org/10.1029/2000WR900395" TargetMode="External"/><Relationship Id="rId142" Type="http://schemas.openxmlformats.org/officeDocument/2006/relationships/hyperlink" Target="https://doi.org/10.1016/j.jhydrol.2024.1306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14790</Words>
  <Characters>84303</Characters>
  <Application>Microsoft Office Word</Application>
  <DocSecurity>0</DocSecurity>
  <Lines>702</Lines>
  <Paragraphs>197</Paragraphs>
  <ScaleCrop>false</ScaleCrop>
  <Company/>
  <LinksUpToDate>false</LinksUpToDate>
  <CharactersWithSpaces>98896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Davison (LLE - Staff)</dc:creator>
  <cp:keywords/>
  <dc:description/>
  <cp:lastModifiedBy>Jeff Davison (LLE - Staff)</cp:lastModifiedBy>
  <cp:revision>2</cp:revision>
  <dcterms:created xsi:type="dcterms:W3CDTF">2026-01-05T15:29:00Z</dcterms:created>
  <dcterms:modified xsi:type="dcterms:W3CDTF">2026-01-05T15:29:00Z</dcterms:modified>
</cp:coreProperties>
</file>